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履歷擂台 EDM製作-2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5143500</wp:posOffset>
            </wp:positionH>
            <wp:positionV relativeFrom="paragraph">
              <wp:posOffset>-285749</wp:posOffset>
            </wp:positionV>
            <wp:extent cx="1800225" cy="1009650"/>
            <wp:effectExtent b="0" l="0" r="0" t="0"/>
            <wp:wrapSquare wrapText="bothSides" distB="0" distT="0" distL="114300" distR="114300"/>
            <wp:docPr descr="Pink gaming mobile phone mock up 3d rendering - 162793151" id="3" name="image3.jpg"/>
            <a:graphic>
              <a:graphicData uri="http://schemas.openxmlformats.org/drawingml/2006/picture">
                <pic:pic>
                  <pic:nvPicPr>
                    <pic:cNvPr descr="Pink gaming mobile phone mock up 3d rendering - 162793151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0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需求：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採用</w:t>
      </w:r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http://192.168.1.242/plan/e_dm/etd111051706/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此版修改版頭與視覺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5143500</wp:posOffset>
            </wp:positionH>
            <wp:positionV relativeFrom="paragraph">
              <wp:posOffset>352425</wp:posOffset>
            </wp:positionV>
            <wp:extent cx="1800225" cy="904875"/>
            <wp:effectExtent b="0" l="0" r="0" t="0"/>
            <wp:wrapSquare wrapText="bothSides" distB="0" distT="0" distL="114300" distR="114300"/>
            <wp:docPr descr="3DVector Conceptual Illustration of Gamification, Interactive Content. - 166635942" id="1" name="image1.jpg"/>
            <a:graphic>
              <a:graphicData uri="http://schemas.openxmlformats.org/drawingml/2006/picture">
                <pic:pic>
                  <pic:nvPicPr>
                    <pic:cNvPr descr="3DVector Conceptual Illustration of Gamification, Interactive Content. - 166635942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文案皆不更動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版頭風格：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參考履歷遊戲色系視覺製作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製作一種玩遊戲感覺的版頭、遊戲畫面感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參考圖編號：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1"/>
          <w:szCs w:val="21"/>
          <w:highlight w:val="white"/>
          <w:rtl w:val="0"/>
        </w:rPr>
        <w:t xml:space="preserve">119684447、166635942、162793151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19"/>
          <w:szCs w:val="19"/>
          <w:highlight w:val="white"/>
          <w:rtl w:val="0"/>
        </w:rPr>
        <w:t xml:space="preserve">連結：https://www.1111.com.tw/185252/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4210050</wp:posOffset>
            </wp:positionH>
            <wp:positionV relativeFrom="paragraph">
              <wp:posOffset>114300</wp:posOffset>
            </wp:positionV>
            <wp:extent cx="2876550" cy="7400925"/>
            <wp:effectExtent b="0" l="0" r="0" t="0"/>
            <wp:wrapSquare wrapText="bothSides" distB="0" distT="0" distL="114300" distR="114300"/>
            <wp:docPr descr="192.168.1.242_plan_e_dm_etd111051706_.png" id="2" name="image2.png"/>
            <a:graphic>
              <a:graphicData uri="http://schemas.openxmlformats.org/drawingml/2006/picture">
                <pic:pic>
                  <pic:nvPicPr>
                    <pic:cNvPr descr="192.168.1.242_plan_e_dm_etd111051706_.png" id="0" name="image2.png"/>
                    <pic:cNvPicPr preferRelativeResize="0"/>
                  </pic:nvPicPr>
                  <pic:blipFill>
                    <a:blip r:embed="rId9"/>
                    <a:srcRect b="6462" l="18848" r="17452" t="223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400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解說欄一：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文案不更動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風格：依據上方版頭視覺修改呈現</w:t>
      </w:r>
    </w:p>
    <w:p w:rsidR="00000000" w:rsidDel="00000000" w:rsidP="00000000" w:rsidRDefault="00000000" w:rsidRPr="00000000" w14:paraId="0000000F">
      <w:pPr>
        <w:rPr>
          <w:rFonts w:ascii="Quattrocento Sans" w:cs="Quattrocento Sans" w:eastAsia="Quattrocento Sans" w:hAnsi="Quattrocento Sans"/>
          <w:b w:val="1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19"/>
          <w:szCs w:val="19"/>
          <w:highlight w:val="white"/>
          <w:rtl w:val="0"/>
        </w:rPr>
        <w:t xml:space="preserve">即刻：https://www.1111.com.tw/185253/</w:t>
      </w:r>
    </w:p>
    <w:p w:rsidR="00000000" w:rsidDel="00000000" w:rsidP="00000000" w:rsidRDefault="00000000" w:rsidRPr="00000000" w14:paraId="00000010">
      <w:pPr>
        <w:rPr>
          <w:rFonts w:ascii="Quattrocento Sans" w:cs="Quattrocento Sans" w:eastAsia="Quattrocento Sans" w:hAnsi="Quattrocento Sans"/>
          <w:b w:val="1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19"/>
          <w:szCs w:val="19"/>
          <w:highlight w:val="white"/>
          <w:rtl w:val="0"/>
        </w:rPr>
        <w:t xml:space="preserve">百萬：https://www.1111.com.tw/185254/</w:t>
      </w:r>
    </w:p>
    <w:p w:rsidR="00000000" w:rsidDel="00000000" w:rsidP="00000000" w:rsidRDefault="00000000" w:rsidRPr="00000000" w14:paraId="00000011">
      <w:pPr>
        <w:rPr>
          <w:rFonts w:ascii="Quattrocento Sans" w:cs="Quattrocento Sans" w:eastAsia="Quattrocento Sans" w:hAnsi="Quattrocento Sans"/>
          <w:b w:val="1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19"/>
          <w:szCs w:val="19"/>
          <w:highlight w:val="white"/>
          <w:rtl w:val="0"/>
        </w:rPr>
        <w:t xml:space="preserve">完賽：https://www.1111.com.tw/185255/</w:t>
      </w:r>
    </w:p>
    <w:p w:rsidR="00000000" w:rsidDel="00000000" w:rsidP="00000000" w:rsidRDefault="00000000" w:rsidRPr="00000000" w14:paraId="00000012">
      <w:pPr>
        <w:rPr>
          <w:rFonts w:ascii="Quattrocento Sans" w:cs="Quattrocento Sans" w:eastAsia="Quattrocento Sans" w:hAnsi="Quattrocento Sans"/>
          <w:b w:val="1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19"/>
          <w:szCs w:val="19"/>
          <w:highlight w:val="white"/>
          <w:rtl w:val="0"/>
        </w:rPr>
        <w:t xml:space="preserve">黃金：https://www.1111.com.tw/185256/</w:t>
      </w:r>
    </w:p>
    <w:p w:rsidR="00000000" w:rsidDel="00000000" w:rsidP="00000000" w:rsidRDefault="00000000" w:rsidRPr="00000000" w14:paraId="00000013">
      <w:pPr>
        <w:rPr>
          <w:rFonts w:ascii="Quattrocento Sans" w:cs="Quattrocento Sans" w:eastAsia="Quattrocento Sans" w:hAnsi="Quattrocento Sans"/>
          <w:b w:val="1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19"/>
          <w:szCs w:val="19"/>
          <w:highlight w:val="white"/>
          <w:rtl w:val="0"/>
        </w:rPr>
        <w:t xml:space="preserve">創意：</w:t>
      </w:r>
      <w:hyperlink r:id="rId10">
        <w:r w:rsidDel="00000000" w:rsidR="00000000" w:rsidRPr="00000000">
          <w:rPr>
            <w:rFonts w:ascii="Quattrocento Sans" w:cs="Quattrocento Sans" w:eastAsia="Quattrocento Sans" w:hAnsi="Quattrocento Sans"/>
            <w:b w:val="1"/>
            <w:color w:val="0000ff"/>
            <w:sz w:val="19"/>
            <w:szCs w:val="19"/>
            <w:highlight w:val="white"/>
            <w:u w:val="single"/>
            <w:rtl w:val="0"/>
          </w:rPr>
          <w:t xml:space="preserve">https://www.1111.com.tw/185257/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Quattrocento Sans" w:cs="Quattrocento Sans" w:eastAsia="Quattrocento Sans" w:hAnsi="Quattrocento Sans"/>
          <w:b w:val="1"/>
          <w:color w:val="33333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末端大按鈕：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文案不更動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風格：依據上方版頭視覺修改呈現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19"/>
          <w:szCs w:val="19"/>
          <w:highlight w:val="white"/>
          <w:rtl w:val="0"/>
        </w:rPr>
        <w:t xml:space="preserve">連結：https://www.1111.com.tw/185258/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解說欄二：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文案不更動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風格：依據上方版頭視覺修改呈現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AI履歷診斷：連結：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333333"/>
          <w:sz w:val="19"/>
          <w:szCs w:val="19"/>
          <w:highlight w:val="white"/>
          <w:u w:val="none"/>
          <w:vertAlign w:val="baseline"/>
          <w:rtl w:val="0"/>
        </w:rPr>
        <w:t xml:space="preserve">https://www.1111.com.tw/185259/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個人亮點：連結：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333333"/>
          <w:sz w:val="19"/>
          <w:szCs w:val="19"/>
          <w:highlight w:val="white"/>
          <w:u w:val="none"/>
          <w:vertAlign w:val="baseline"/>
          <w:rtl w:val="0"/>
        </w:rPr>
        <w:t xml:space="preserve">https://www.1111.com.tw/185260/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有問必答：連結：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333333"/>
          <w:sz w:val="19"/>
          <w:szCs w:val="19"/>
          <w:highlight w:val="white"/>
          <w:u w:val="none"/>
          <w:vertAlign w:val="baseline"/>
          <w:rtl w:val="0"/>
        </w:rPr>
        <w:t xml:space="preserve">https://www.1111.com.tw/185261/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履歷經驗談：連結：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333333"/>
          <w:sz w:val="19"/>
          <w:szCs w:val="19"/>
          <w:highlight w:val="white"/>
          <w:u w:val="none"/>
          <w:vertAlign w:val="baseline"/>
          <w:rtl w:val="0"/>
        </w:rPr>
        <w:t xml:space="preserve">https://www.1111.com.tw/185262/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自傳魔法師：連結：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333333"/>
          <w:sz w:val="19"/>
          <w:szCs w:val="19"/>
          <w:highlight w:val="white"/>
          <w:u w:val="none"/>
          <w:vertAlign w:val="baseline"/>
          <w:rtl w:val="0"/>
        </w:rPr>
        <w:t xml:space="preserve">https://www.1111.com.tw/185263/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履歷攻略：連結：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333333"/>
          <w:sz w:val="19"/>
          <w:szCs w:val="19"/>
          <w:highlight w:val="white"/>
          <w:u w:val="none"/>
          <w:vertAlign w:val="baseline"/>
          <w:rtl w:val="0"/>
        </w:rPr>
        <w:t xml:space="preserve">https://www.1111.com.tw/185264/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履歷建診：連結：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333333"/>
          <w:sz w:val="19"/>
          <w:szCs w:val="19"/>
          <w:highlight w:val="white"/>
          <w:u w:val="none"/>
          <w:vertAlign w:val="baseline"/>
          <w:rtl w:val="0"/>
        </w:rPr>
        <w:t xml:space="preserve">https://www.1111.com.tw/185265/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職務大辭典：連結：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333333"/>
          <w:sz w:val="19"/>
          <w:szCs w:val="19"/>
          <w:highlight w:val="white"/>
          <w:u w:val="none"/>
          <w:vertAlign w:val="baseline"/>
          <w:rtl w:val="0"/>
        </w:rPr>
        <w:t xml:space="preserve">https://www.1111.com.tw/185266/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PMingLiu"/>
  <w:font w:name="Georgia"/>
  <w:font w:name="Arial Unicode M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1"/>
    </w:pPr>
    <w:rPr>
      <w:rFonts w:ascii="PMingLiu" w:cs="PMingLiu" w:eastAsia="PMingLiu" w:hAnsi="PMingLiu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1111.com.tw/185257/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yperlink" Target="http://192.168.1.242/plan/e_dm/etd111051706/" TargetMode="Externa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