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1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MD1 系统使用指南</w:t>
      </w:r>
    </w:p>
    <w:p>
      <w:pPr>
        <w:pStyle w:val="Subtitle"/>
        <w:jc w:val="center"/>
      </w:pPr>
      <w:r>
        <w:t>电脑端环境管理器 + 手机端运行环境</w:t>
      </w:r>
    </w:p>
    <w:p>
      <w:pPr>
        <w:pStyle w:val="MD1Lead"/>
        <w:jc w:val="center"/>
      </w:pPr>
      <w:r>
        <w:t>从连接手机、创建环境，到同步并启动 App 或浏览器的完整操作说明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本指南适用范围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适用于已经完成 MD1 配置的 Android 手机和 MD1 电脑端环境管理器。日常使用主要在电脑端完成；手机端组件更新只在收到明确更新通知和更新包时执行。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 Unicode MS" w:hAnsi="Arial Unicode MS" w:eastAsia="Arial Unicode MS"/>
          <w:color w:val="607083"/>
          <w:sz w:val="18"/>
        </w:rPr>
        <w:t>客户使用版  ·  更新日期：2026 年 8 月 27 日</w:t>
      </w:r>
    </w:p>
    <w:p>
      <w:r>
        <w:br w:type="page"/>
      </w:r>
    </w:p>
    <w:p>
      <w:pPr>
        <w:pStyle w:val="Heading1"/>
      </w:pPr>
      <w:r>
        <w:t>快速开始</w:t>
      </w:r>
    </w:p>
    <w:p>
      <w:r>
        <w:rPr>
          <w:rFonts w:ascii="Arial Unicode MS" w:hAnsi="Arial Unicode MS" w:eastAsia="Arial Unicode MS"/>
        </w:rPr>
        <w:t>第一次使用时，按下面的顺序完成即可。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649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需要完成的操作</w:t>
            </w:r>
          </w:p>
        </w:tc>
        <w:tc>
          <w:tcPr>
            <w:tcW w:type="dxa" w:w="3969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737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1</w:t>
            </w:r>
          </w:p>
        </w:tc>
        <w:tc>
          <w:tcPr>
            <w:tcW w:type="dxa" w:w="464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连接并授权手机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电脑端显示已连接手机和设备信息</w:t>
            </w:r>
          </w:p>
        </w:tc>
      </w:tr>
      <w:tr>
        <w:tc>
          <w:tcPr>
            <w:tcW w:type="dxa" w:w="737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2</w:t>
            </w:r>
          </w:p>
        </w:tc>
        <w:tc>
          <w:tcPr>
            <w:tcW w:type="dxa" w:w="464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新建或批量导入环境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环境出现在电脑端列表</w:t>
            </w:r>
          </w:p>
        </w:tc>
      </w:tr>
      <w:tr>
        <w:tc>
          <w:tcPr>
            <w:tcW w:type="dxa" w:w="737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3</w:t>
            </w:r>
          </w:p>
        </w:tc>
        <w:tc>
          <w:tcPr>
            <w:tcW w:type="dxa" w:w="464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填写平台、地区和网络设置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环境字段完整，代理状态清晰</w:t>
            </w:r>
          </w:p>
        </w:tc>
      </w:tr>
      <w:tr>
        <w:tc>
          <w:tcPr>
            <w:tcW w:type="dxa" w:w="737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4</w:t>
            </w:r>
          </w:p>
        </w:tc>
        <w:tc>
          <w:tcPr>
            <w:tcW w:type="dxa" w:w="464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同步到手机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手机端环境列表出现相同环境</w:t>
            </w:r>
          </w:p>
        </w:tc>
      </w:tr>
      <w:tr>
        <w:tc>
          <w:tcPr>
            <w:tcW w:type="dxa" w:w="737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5</w:t>
            </w:r>
          </w:p>
        </w:tc>
        <w:tc>
          <w:tcPr>
            <w:tcW w:type="dxa" w:w="464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启动并检查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目标 App 或浏览器能够正常打开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8E8"/>
            <w:tcBorders>
              <w:top w:val="single" w:sz="10" w:space="0" w:color="E1A93B"/>
              <w:left w:val="single" w:sz="10" w:space="0" w:color="E1A93B"/>
              <w:bottom w:val="single" w:sz="10" w:space="0" w:color="E1A93B"/>
              <w:right w:val="single" w:sz="10" w:space="0" w:color="E1A93B"/>
              <w:insideH w:val="single" w:sz="10" w:space="0" w:color="E1A93B"/>
              <w:insideV w:val="single" w:sz="10" w:space="0" w:color="E1A93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账号安全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只使用您本人或您已获授权使用的账号、Cookie 和代理。密码、2FA 密钥、Cookie、代理密码等敏感信息不要写入环境名称、备注、截图或共享文档。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</w:rPr>
        <w:t>目录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1. 使用前准备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2. 连接手机并确认授权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3. 认识电脑端主界面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4. 新建单个环境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5. 批量导入环境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6. 设置平台模板和代理模板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7. MD1 浏览器设置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8. 保存、同步到手机并启动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9. 投屏和 2FA 验证码助手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10. 切换环境并检查账号状态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11. 手机端状态和组件更新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12. 删除、清理与数据范围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13. 常见问题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14. 操作完成后检查</w:t>
      </w:r>
    </w:p>
    <w:p>
      <w:r>
        <w:br w:type="page"/>
      </w:r>
    </w:p>
    <w:p>
      <w:pPr>
        <w:pStyle w:val="Heading1"/>
      </w:pPr>
      <w:r>
        <w:t>1. 使用前准备</w:t>
      </w:r>
    </w:p>
    <w:p>
      <w:r>
        <w:rPr>
          <w:rFonts w:ascii="Arial Unicode MS" w:hAnsi="Arial Unicode MS" w:eastAsia="Arial Unicode MS"/>
        </w:rPr>
        <w:t>请在开始操作前确认软件、手机和账号资料都已准备好。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将电脑端完整解压到固定文件夹，不要直接在 ZIP 压缩包内运行。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手机保持正常开机并解锁，使用稳定的 USB 数据线连接电脑。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首次连接手机时，在手机上确认 USB 调试授权，并勾选“始终允许使用这台计算机”。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目标 App 需要先安装到手机中；创建浏览器环境时，还需要准备要访问的网站地址。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如果环境需要代理，请准备协议、IP 或域名、端口以及认证信息。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批量导入时，请从当前电脑端重新下载模板，不要混用旧模板。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4942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hone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94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1：手机已开机并连接 USB，等待电脑端读取。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日常使用原则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手机端状态正常时直接使用即可，不要反复安装手机端组件。只有收到明确的更新通知和对应更新包时，才执行“手机端组件更新”。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连接手机并确认授权</w:t>
      </w:r>
    </w:p>
    <w:p>
      <w:r>
        <w:rPr>
          <w:rFonts w:ascii="Arial Unicode MS" w:hAnsi="Arial Unicode MS" w:eastAsia="Arial Unicode MS"/>
        </w:rPr>
        <w:t>所有写入手机的操作都依赖当前选中的手机，先确认连接再继续。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解锁手机并连接 USB 数据线，在手机提示“允许 USB 调试”时点击“允许”。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打开 MD1 电脑端环境管理器，等待左侧“已连接手机”区域刷新。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如果没有自动刷新，点击顶部“重新检测手机”，再在“选择手机”下拉框中选择目标设备。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确认左侧显示的设备型号、设备标识和 Android 版本与实际手机一致。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需要查看手机画面时，点击顶部“投屏”。投屏用于查看和操作画面，不会代替环境同步。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sktop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2：电脑端启动后的主界面和手机连接区域。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8E8"/>
            <w:tcBorders>
              <w:top w:val="single" w:sz="10" w:space="0" w:color="E1A93B"/>
              <w:left w:val="single" w:sz="10" w:space="0" w:color="E1A93B"/>
              <w:bottom w:val="single" w:sz="10" w:space="0" w:color="E1A93B"/>
              <w:right w:val="single" w:sz="10" w:space="0" w:color="E1A93B"/>
              <w:insideH w:val="single" w:sz="10" w:space="0" w:color="E1A93B"/>
              <w:insideV w:val="single" w:sz="10" w:space="0" w:color="E1A93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没有显示手机时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保持手机解锁，重新插拔数据线，重新确认 USB 调试授权，再点击“重新检测手机”。如果电脑上同时运行了其他手机管理软件，请先关闭它们。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认识电脑端主界面</w:t>
      </w:r>
    </w:p>
    <w:p>
      <w:r>
        <w:rPr>
          <w:rFonts w:ascii="Arial Unicode MS" w:hAnsi="Arial Unicode MS" w:eastAsia="Arial Unicode MS"/>
        </w:rPr>
        <w:t>当前版本的常用操作集中在顶部工具栏、手机端程序区域和环境列表。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界面区域</w:t>
            </w:r>
          </w:p>
        </w:tc>
        <w:tc>
          <w:tcPr>
            <w:tcW w:type="dxa" w:w="3969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主要作用</w:t>
            </w:r>
          </w:p>
        </w:tc>
        <w:tc>
          <w:tcPr>
            <w:tcW w:type="dxa" w:w="3118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常用操作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已连接手机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选择手机并查看设备信息</w:t>
            </w:r>
          </w:p>
        </w:tc>
        <w:tc>
          <w:tcPr>
            <w:tcW w:type="dxa" w:w="311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重新检测手机、切换设备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顶部工具栏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进入模板、投屏和 2FA 功能</w:t>
            </w:r>
          </w:p>
        </w:tc>
        <w:tc>
          <w:tcPr>
            <w:tcW w:type="dxa" w:w="311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模板管理、投屏、2FA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环境导入区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在电脑端和手机端之间传递环境</w:t>
            </w:r>
          </w:p>
        </w:tc>
        <w:tc>
          <w:tcPr>
            <w:tcW w:type="dxa" w:w="311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下载模板、导入表格、从手机读取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搜索与筛选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缩小当前环境列表</w:t>
            </w:r>
          </w:p>
        </w:tc>
        <w:tc>
          <w:tcPr>
            <w:tcW w:type="dxa" w:w="311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按平台、分组、代理或名称筛选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环境列表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查看和维护已创建环境</w:t>
            </w:r>
          </w:p>
        </w:tc>
        <w:tc>
          <w:tcPr>
            <w:tcW w:type="dxa" w:w="311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编辑、删除、同步和启动前检查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手机端程序</w:t>
            </w:r>
          </w:p>
        </w:tc>
        <w:tc>
          <w:tcPr>
            <w:tcW w:type="dxa" w:w="3969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查看手机端状态和更新入口</w:t>
            </w:r>
          </w:p>
        </w:tc>
        <w:tc>
          <w:tcPr>
            <w:tcW w:type="dxa" w:w="311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选择手机更新包、刷新手机运行环境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vironment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3：环境列表、筛选和同步入口示意。</w:t>
      </w:r>
    </w:p>
    <w:p>
      <w:r>
        <w:rPr>
          <w:rFonts w:ascii="Arial Unicode MS" w:hAnsi="Arial Unicode MS" w:eastAsia="Arial Unicode MS"/>
        </w:rPr>
        <w:t>列表规则：先选择正确的平台标签，再进行批量导入、同步或删除。不要在未筛选的平台总列表中盲目全选。</w:t>
      </w:r>
    </w:p>
    <w:p>
      <w:r>
        <w:br w:type="page"/>
      </w:r>
    </w:p>
    <w:p>
      <w:pPr>
        <w:pStyle w:val="Heading1"/>
      </w:pPr>
      <w:r>
        <w:t>4. 新建单个环境</w:t>
      </w:r>
    </w:p>
    <w:p>
      <w:r>
        <w:rPr>
          <w:rFonts w:ascii="Arial Unicode MS" w:hAnsi="Arial Unicode MS" w:eastAsia="Arial Unicode MS"/>
        </w:rPr>
        <w:t>少量创建或需要逐项确认设置时，可以使用“新建环境”。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点击“新建环境”，填写环境名称。建议使用“用途或账号标记 + 国家 + 序号”，例如“Amazon-US-001”。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在“应用与站点”中选择目标平台。原生 App 环境和“MD1 浏览器”环境是两种不同类型，不要混用。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如果创建 MD1 浏览器环境，填写需要打开的站点地址；如果创建 App 环境，只需选择对应平台。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点击“一键随机硬件参数”。创建浏览器环境时，再点击“一键随机浏览器指纹参数”。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选择代理模板；不使用代理时明确选择“不使用代理模板”。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点击“保存到电脑”。需要写入手机时，返回环境列表选中该环境，再点击“导入新环境到手机”。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395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w-enviro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9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4：新建环境编辑窗口，基础信息和代理模板位于同一窗口。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025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建议填写</w:t>
            </w:r>
          </w:p>
        </w:tc>
        <w:tc>
          <w:tcPr>
            <w:tcW w:type="dxa" w:w="3628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170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环境名称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用途或账号标记 + 国家 + 序号</w:t>
            </w:r>
          </w:p>
        </w:tc>
        <w:tc>
          <w:tcPr>
            <w:tcW w:type="dxa" w:w="362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不要包含密码、Cookie 或 2FA 密钥</w:t>
            </w:r>
          </w:p>
        </w:tc>
      </w:tr>
      <w:tr>
        <w:tc>
          <w:tcPr>
            <w:tcW w:type="dxa" w:w="170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国家/地区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与账号和代理地区保持一致</w:t>
            </w:r>
          </w:p>
        </w:tc>
        <w:tc>
          <w:tcPr>
            <w:tcW w:type="dxa" w:w="362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只改显示字段不会改变网络出口</w:t>
            </w:r>
          </w:p>
        </w:tc>
      </w:tr>
      <w:tr>
        <w:tc>
          <w:tcPr>
            <w:tcW w:type="dxa" w:w="170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目标平台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Amazon、Walmart、TikTok、PayPal 或 MD1 浏览器</w:t>
            </w:r>
          </w:p>
        </w:tc>
        <w:tc>
          <w:tcPr>
            <w:tcW w:type="dxa" w:w="362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平台决定启动入口</w:t>
            </w:r>
          </w:p>
        </w:tc>
      </w:tr>
      <w:tr>
        <w:tc>
          <w:tcPr>
            <w:tcW w:type="dxa" w:w="170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站点地址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浏览器需要打开的业务网址</w:t>
            </w:r>
          </w:p>
        </w:tc>
        <w:tc>
          <w:tcPr>
            <w:tcW w:type="dxa" w:w="362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只用于 MD1 浏览器环境</w:t>
            </w:r>
          </w:p>
        </w:tc>
      </w:tr>
      <w:tr>
        <w:tc>
          <w:tcPr>
            <w:tcW w:type="dxa" w:w="170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一键随机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硬件参数和浏览器指纹参数</w:t>
            </w:r>
          </w:p>
        </w:tc>
        <w:tc>
          <w:tcPr>
            <w:tcW w:type="dxa" w:w="362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生成后建议保持稳定</w:t>
            </w:r>
          </w:p>
        </w:tc>
      </w:tr>
      <w:tr>
        <w:tc>
          <w:tcPr>
            <w:tcW w:type="dxa" w:w="170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代理模板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已有模板或不使用</w:t>
            </w:r>
          </w:p>
        </w:tc>
        <w:tc>
          <w:tcPr>
            <w:tcW w:type="dxa" w:w="362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切换账号时复核是否串用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批量导入环境</w:t>
      </w:r>
    </w:p>
    <w:p>
      <w:r>
        <w:rPr>
          <w:rFonts w:ascii="Arial Unicode MS" w:hAnsi="Arial Unicode MS" w:eastAsia="Arial Unicode MS"/>
        </w:rPr>
        <w:t>一次创建多个环境时，按“下载模板 → 填写模板 → 导入电脑端 → 检查 → 同步到手机”的顺序操作。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点击顶部“下载导入模板”，将模板保存到固定文件夹，并复制一份后再填写。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打开模板中的“环境导入”工作表，逐行填写环境名称、平台模板和代理模板；不要修改表头名称。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如需导入 MD1 浏览器 Cookie，在“Cookie 文件”列填写文件路径。Cookie 只适用于浏览器环境，并且必须属于您本人或您获授权使用的账号。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回到电脑端点击“导入环境表格”，选择模板文件，等待导入完成提示。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导入后按平台标签筛选，确认环境数量、名称和代理状态。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选中需要写入手机的环境，点击“导入新环境到手机”，等待操作记录完成。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vironment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5：导入环境后按平台筛选，确认环境数量和状态。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8E8"/>
            <w:tcBorders>
              <w:top w:val="single" w:sz="10" w:space="0" w:color="E1A93B"/>
              <w:left w:val="single" w:sz="10" w:space="0" w:color="E1A93B"/>
              <w:bottom w:val="single" w:sz="10" w:space="0" w:color="E1A93B"/>
              <w:right w:val="single" w:sz="10" w:space="0" w:color="E1A93B"/>
              <w:insideH w:val="single" w:sz="10" w:space="0" w:color="E1A93B"/>
              <w:insideV w:val="single" w:sz="10" w:space="0" w:color="E1A93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批量导入注意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发现失败行时先修复模板，再重新导入；不要把未通过检查的批次直接同步到手机。批量删除前也要确认平台、搜索条件和选中数量。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设置平台模板和代理模板</w:t>
      </w:r>
    </w:p>
    <w:p>
      <w:r>
        <w:rPr>
          <w:rFonts w:ascii="Arial Unicode MS" w:hAnsi="Arial Unicode MS" w:eastAsia="Arial Unicode MS"/>
        </w:rPr>
        <w:t>多个环境使用相同的平台设置或代理时，可以先保存模板，减少重复填写。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mplate-mana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6：模板管理窗口，平台模板和代理模板分别管理。</w:t>
      </w:r>
    </w:p>
    <w:p>
      <w:r>
        <w:rPr>
          <w:rFonts w:ascii="Arial Unicode MS" w:hAnsi="Arial Unicode MS" w:eastAsia="Arial Unicode MS"/>
        </w:rPr>
        <w:t>平台模板：点击顶部“模板管理”，在“平台模板”区域点击“新增”，填写模板名称、目标平台、国家；浏览器环境还需要填写站点地址。保存后，新建环境或批量导入时可以重复使用。</w:t>
      </w:r>
    </w:p>
    <w:p>
      <w:r>
        <w:rPr>
          <w:rFonts w:ascii="Arial Unicode MS" w:hAnsi="Arial Unicode MS" w:eastAsia="Arial Unicode MS"/>
        </w:rPr>
        <w:t>代理模板：在“代理模板”区域点击“新增”，填写协议、国家、IP 或域名、端口和认证信息。保存后，可以点击“添加到手机”，再在环境编辑窗口中选择。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HTTP、HTTPS、SOCKS5 是不同协议，请按代理服务商提供的协议填写。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点击“检测代理”确认连接正常，再把模板绑定到环境。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不使用代理时选择“不使用代理模板”，避免误用其他环境的代理。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环境名称、平台、国家、代理和账号要一一对应，批量同步前再次检查。</w:t>
      </w:r>
    </w:p>
    <w:p>
      <w:r>
        <w:br w:type="page"/>
      </w:r>
    </w:p>
    <w:p>
      <w:pPr>
        <w:pStyle w:val="Heading1"/>
      </w:pPr>
      <w:r>
        <w:t>7. MD1 浏览器设置</w:t>
      </w:r>
    </w:p>
    <w:p>
      <w:r>
        <w:rPr>
          <w:rFonts w:ascii="Arial Unicode MS" w:hAnsi="Arial Unicode MS" w:eastAsia="Arial Unicode MS"/>
        </w:rPr>
        <w:t>MD1 浏览器环境适合打开指定网站，并为不同环境保存独立的浏览器配置。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选择目标平台、国家和站点地址。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点击“一键随机硬件参数”，再点击“一键随机浏览器指纹参数”。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高级设置默认折叠，普通使用无需展开；需要调整时点击“MD1 浏览器指纹设置”标题。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手动修改时，优先保留“跟随 IP 自动匹配”“保护（推荐）”“稳定扰动”等推荐值。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保存后回到环境列表，确认平台标签、指纹状态和代理状态，再同步到手机。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3956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rowser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9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7：MD1 浏览器环境的站点和指纹设置区域。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指纹设置说明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浏览器配置用于管理浏览器运行环境，不能保证平台一定允许登录。出现验证码、设备确认或其他验证时，请按平台页面提示完成。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保存、同步到手机并启动</w:t>
      </w:r>
    </w:p>
    <w:p>
      <w:r>
        <w:rPr>
          <w:rFonts w:ascii="Arial Unicode MS" w:hAnsi="Arial Unicode MS" w:eastAsia="Arial Unicode MS"/>
        </w:rPr>
        <w:t>电脑端用于管理环境，手机端用于实际启动环境；只保存到电脑不会自动写入手机。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在电脑端完成新建或导入后，按平台标签筛选并检查环境数量。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勾选要同步的环境；需要全部同步时使用列表里的“全选”。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点击“导入新环境到手机”，等待操作记录显示完成。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在手机端打开 MD1，进入当前 App 或“环境”入口，确认环境名称和平台信息已经出现。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点击环境卡片上的“启动”。如果出现目标 App 选择，选择与环境绑定的平台。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首次启动时等待页面稳定，再登录或检查网络，不要在启动动画期间连续点击启动、切换和删除。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51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hone-environ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8：手机端环境列表，先确认环境名称和平台，再点击启动。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PayPal 环境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PayPal 使用独立环境。在手机中安装官方 PayPal App 后，在电脑端选择 PayPal 创建环境，再同步到手机启动。新版投屏可以正常查看 PayPal 登录页面。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投屏和 2FA 验证码助手</w:t>
      </w:r>
    </w:p>
    <w:p>
      <w:r>
        <w:rPr>
          <w:rFonts w:ascii="Arial Unicode MS" w:hAnsi="Arial Unicode MS" w:eastAsia="Arial Unicode MS"/>
        </w:rPr>
        <w:t>投屏用于查看和操作手机画面，2FA 用于在电脑端生成一次性验证码。</w:t>
      </w:r>
    </w:p>
    <w:p>
      <w:pPr>
        <w:pStyle w:val="Heading2"/>
      </w:pPr>
      <w:r>
        <w:t>投屏</w:t>
      </w:r>
    </w:p>
    <w:p>
      <w:r>
        <w:rPr>
          <w:rFonts w:ascii="Arial Unicode MS" w:hAnsi="Arial Unicode MS" w:eastAsia="Arial Unicode MS"/>
        </w:rPr>
        <w:t>点击电脑端顶部“投屏”按钮后，会打开“MD1 投屏”窗口。投屏画面和灰色控制侧栏在同一个窗口内，侧栏提供全屏、返回、主页、最近任务、电源、亮屏、息屏、音量和截图等操作。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66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ypal-screenmi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9：新版 MD1 投屏窗口，PayPal 登录页面和同窗控制侧栏均可查看。</w:t>
      </w:r>
    </w:p>
    <w:p>
      <w:pPr>
        <w:pStyle w:val="Heading2"/>
      </w:pPr>
      <w:r>
        <w:t>2FA 验证码助手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点击顶部“2FA”，打开验证码窗口。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粘贴账号安全设置中提供的 Base32 密钥或 otpauth 地址。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点击生成，将当前有效的 6 位验证码填写到目标登录页面。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使用完成后关闭窗口；输入内容会清除，不要把密钥写入环境名称、备注或模板。</w:t>
      </w:r>
    </w:p>
    <w:p>
      <w:r>
        <w:br w:type="page"/>
      </w:r>
    </w:p>
    <w:p>
      <w:pPr>
        <w:pStyle w:val="Heading1"/>
      </w:pPr>
      <w:r>
        <w:t>10. 切换环境并检查账号状态</w:t>
      </w:r>
    </w:p>
    <w:p>
      <w:r>
        <w:rPr>
          <w:rFonts w:ascii="Arial Unicode MS" w:hAnsi="Arial Unicode MS" w:eastAsia="Arial Unicode MS"/>
        </w:rPr>
        <w:t>多个环境之间切换时，始终从 MD1 环境列表进入，避免直接打开系统 App。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先返回手机端 MD1 环境列表，退出或等待当前环境结束。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选择另一个环境并点击“启动”，检查页面、账号标识和网络是否符合预期。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需要切回原环境时，再返回 MD1 列表选择原环境启动。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如果要记录结果，只记录环境名称、检查时间和是否正常，不要记录账号密码、Cookie 或 2FA 密钥。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953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40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环境名称和 ID</w:t>
            </w:r>
          </w:p>
        </w:tc>
        <w:tc>
          <w:tcPr>
            <w:tcW w:type="dxa" w:w="5953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切换后没有互换或覆盖</w:t>
            </w:r>
          </w:p>
        </w:tc>
      </w:tr>
      <w:tr>
        <w:tc>
          <w:tcPr>
            <w:tcW w:type="dxa" w:w="340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目标平台</w:t>
            </w:r>
          </w:p>
        </w:tc>
        <w:tc>
          <w:tcPr>
            <w:tcW w:type="dxa" w:w="5953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启动入口与环境绑定一致</w:t>
            </w:r>
          </w:p>
        </w:tc>
      </w:tr>
      <w:tr>
        <w:tc>
          <w:tcPr>
            <w:tcW w:type="dxa" w:w="340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代理出口</w:t>
            </w:r>
          </w:p>
        </w:tc>
        <w:tc>
          <w:tcPr>
            <w:tcW w:type="dxa" w:w="5953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没有意外复用其他环境的代理</w:t>
            </w:r>
          </w:p>
        </w:tc>
      </w:tr>
      <w:tr>
        <w:tc>
          <w:tcPr>
            <w:tcW w:type="dxa" w:w="340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登录状态</w:t>
            </w:r>
          </w:p>
        </w:tc>
        <w:tc>
          <w:tcPr>
            <w:tcW w:type="dxa" w:w="5953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返回原环境后仍显示原账号状态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切换顺序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先回到 MD1 列表，再停止或等待当前环境结束，选择下一环境启动；不要通过直接打开系统 App 图标绕过环境入口。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手机端状态和组件更新</w:t>
      </w:r>
    </w:p>
    <w:p>
      <w:r>
        <w:rPr>
          <w:rFonts w:ascii="Arial Unicode MS" w:hAnsi="Arial Unicode MS" w:eastAsia="Arial Unicode MS"/>
        </w:rPr>
        <w:t>手机授权、租赁状态和手机端组件都从当前选中的设备读取。</w:t>
      </w:r>
    </w:p>
    <w:p>
      <w:pPr>
        <w:pStyle w:val="Heading2"/>
      </w:pPr>
      <w:r>
        <w:t>手机状态刷新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打开电脑端、重新选择手机或点击“重新检测手机”时，软件会重新读取手机端状态。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如果是包月租赁客户，后台恢复或调整租赁后，请重新连接手机并点击“重新检测手机”；必要时重启 MD1 后再读取。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手机端设置中的授权状态、授权方式和到期信息以手机当前显示为准。</w:t>
      </w:r>
    </w:p>
    <w:p>
      <w:pPr>
        <w:pStyle w:val="Heading2"/>
      </w:pPr>
      <w:r>
        <w:t>手机端组件更新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只有在收到明确的更新通知和手机端更新包时，才执行更新。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连接并选中正确手机，确认左侧设备信息无误。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点击“选择手机更新包”，选择已完整解压目录中的“MD1-PHONE-UPDATE.json”。不要直接选择 ZIP 压缩包。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确认手机保持解锁、数据线稳定连接，再开始更新；更新过程中不要退出电脑端或重复点击。</w:t>
      </w:r>
    </w:p>
    <w:p>
      <w:pPr>
        <w:pStyle w:val="ListNumber"/>
        <w:spacing w:after="80"/>
      </w:pPr>
      <w:r>
        <w:rPr>
          <w:rFonts w:ascii="Arial Unicode MS" w:hAnsi="Arial Unicode MS" w:eastAsia="Arial Unicode MS"/>
          <w:sz w:val="20"/>
        </w:rPr>
        <w:t>更新完成后点击“刷新手机运行环境”，确认状态正常，再继续同步环境。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8E8"/>
            <w:tcBorders>
              <w:top w:val="single" w:sz="10" w:space="0" w:color="E1A93B"/>
              <w:left w:val="single" w:sz="10" w:space="0" w:color="E1A93B"/>
              <w:bottom w:val="single" w:sz="10" w:space="0" w:color="E1A93B"/>
              <w:right w:val="single" w:sz="10" w:space="0" w:color="E1A93B"/>
              <w:insideH w:val="single" w:sz="10" w:space="0" w:color="E1A93B"/>
              <w:insideV w:val="single" w:sz="10" w:space="0" w:color="E1A93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不需要重复更新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如果手机端程序区域显示“已配置”或当前版本正常，请直接使用。无法确认版本或更新失败时，保留提示信息并联系 MD1 支持人员。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删除、清理与数据范围</w:t>
      </w:r>
    </w:p>
    <w:p>
      <w:r>
        <w:rPr>
          <w:rFonts w:ascii="Arial Unicode MS" w:hAnsi="Arial Unicode MS" w:eastAsia="Arial Unicode MS"/>
        </w:rPr>
        <w:t>删除前先确认当前连接状态、平台筛选和选中数量。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082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影响范围</w:t>
            </w:r>
          </w:p>
        </w:tc>
        <w:tc>
          <w:tcPr>
            <w:tcW w:type="dxa" w:w="3005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已连接手机时删除</w:t>
            </w:r>
          </w:p>
        </w:tc>
        <w:tc>
          <w:tcPr>
            <w:tcW w:type="dxa" w:w="408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按确认提示处理电脑端和匹配的手机环境</w:t>
            </w:r>
          </w:p>
        </w:tc>
        <w:tc>
          <w:tcPr>
            <w:tcW w:type="dxa" w:w="300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仔细阅读二次确认提示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未连接手机时删除</w:t>
            </w:r>
          </w:p>
        </w:tc>
        <w:tc>
          <w:tcPr>
            <w:tcW w:type="dxa" w:w="408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只处理电脑端当前列表</w:t>
            </w:r>
          </w:p>
        </w:tc>
        <w:tc>
          <w:tcPr>
            <w:tcW w:type="dxa" w:w="300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之后连接手机再重新读取确认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批量删除</w:t>
            </w:r>
          </w:p>
        </w:tc>
        <w:tc>
          <w:tcPr>
            <w:tcW w:type="dxa" w:w="408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处理当前筛选结果中的多个环境</w:t>
            </w:r>
          </w:p>
        </w:tc>
        <w:tc>
          <w:tcPr>
            <w:tcW w:type="dxa" w:w="300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先检查平台、搜索条件和数量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删除模板</w:t>
            </w:r>
          </w:p>
        </w:tc>
        <w:tc>
          <w:tcPr>
            <w:tcW w:type="dxa" w:w="4082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电脑模板和手机模板分别处理</w:t>
            </w:r>
          </w:p>
        </w:tc>
        <w:tc>
          <w:tcPr>
            <w:tcW w:type="dxa" w:w="300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根据按钮文字确认位置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删除或清理前先选择正确的平台标签。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执行批量操作前确认底部显示的选中数量。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删除后如需确认手机状态，点击“从手机读取环境”重新读取。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不要在没有确认范围的情况下使用批量删除。</w:t>
      </w:r>
    </w:p>
    <w:p>
      <w:r>
        <w:br w:type="page"/>
      </w:r>
    </w:p>
    <w:p>
      <w:pPr>
        <w:pStyle w:val="Heading1"/>
      </w:pPr>
      <w:r>
        <w:t>13. 常见问题</w:t>
      </w:r>
    </w:p>
    <w:p>
      <w:r>
        <w:rPr>
          <w:rFonts w:ascii="Arial Unicode MS" w:hAnsi="Arial Unicode MS" w:eastAsia="Arial Unicode MS"/>
        </w:rPr>
        <w:t>遇到问题时，先停止连续点击，按下面的顺序检查。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061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4025"/>
            <w:shd w:fill="102536"/>
            <w:tcBorders>
              <w:top w:val="single" w:sz="6" w:space="0" w:color="102536"/>
              <w:left w:val="single" w:sz="6" w:space="0" w:color="102536"/>
              <w:bottom w:val="single" w:sz="6" w:space="0" w:color="102536"/>
              <w:right w:val="single" w:sz="6" w:space="0" w:color="102536"/>
              <w:insideH w:val="single" w:sz="6" w:space="0" w:color="102536"/>
              <w:insideV w:val="single" w:sz="6" w:space="0" w:color="10253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电脑端未连接手机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手机解锁、USB 调试授权、数据线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重新确认授权并点击“重新检测手机”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投屏能开但环境没同步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是否执行同步操作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选中环境后点击“导入新环境到手机”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环境没有出现在手机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当前手机和平台是否正确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重新连接，读取手机环境并再次同步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代理检测失败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协议、主机、端口和认证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修正代理模板后重新检测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PayPal 登录页显示异常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手机端版本、官方 App 和投屏状态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重启投屏并重新启动 PayPal 环境；仍异常时联系支持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租赁状态没有更新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是否重新读取手机状态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重连手机、点击“重新检测手机”或重启 MD1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2FA 验证码不通过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电脑时间、密钥格式和时间窗口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同步系统时间，确认密钥后生成新码</w:t>
            </w:r>
          </w:p>
        </w:tc>
      </w:tr>
      <w:tr>
        <w:tc>
          <w:tcPr>
            <w:tcW w:type="dxa" w:w="2268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手机更新按钮无法使用</w:t>
            </w:r>
          </w:p>
        </w:tc>
        <w:tc>
          <w:tcPr>
            <w:tcW w:type="dxa" w:w="3061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是否选择正确更新文件</w:t>
            </w:r>
          </w:p>
        </w:tc>
        <w:tc>
          <w:tcPr>
            <w:tcW w:type="dxa" w:w="4025"/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30495D"/>
                <w:sz w:val="17"/>
              </w:rPr>
              <w:t>只在收到更新包时选择 MD1-PHONE-UPDATE.json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联系支持时请提供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电脑系统、手机型号、当前操作步骤和软件提示即可。不要发送密码、Cookie、2FA 密钥或代理密码。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操作完成后检查</w:t>
      </w:r>
    </w:p>
    <w:p>
      <w:r>
        <w:rPr>
          <w:rFonts w:ascii="Arial Unicode MS" w:hAnsi="Arial Unicode MS" w:eastAsia="Arial Unicode MS"/>
        </w:rPr>
        <w:t>下面各项都正常后，即可开始日常使用。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电脑端可以启动，顶部工具栏和当前版本说明可见。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目标手机已授权，左侧设备信息与实际手机一致。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手机端程序状态正常；如刚完成更新，已经点击“刷新手机运行环境”。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新建环境可以保存到电脑，并能成功同步到手机。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批量模板导入成功，失败行已单独处理。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代理模板已保存并完成检测（适用时）。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MD1 浏览器一键随机正常，高级设置可以展开。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目标 App 可以启动，两个环境之间切换后没有账号、代理或站点数据混用。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2FA 助手可以生成当前验证码，使用完成后已关闭窗口。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删除或清理操作范围已确认。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sz w:val="20"/>
        </w:rPr>
        <w:t>密码、Cookie、2FA 密钥和代理密码没有写入环境名称、备注、截图或共享文档。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F7"/>
            <w:tcBorders>
              <w:top w:val="single" w:sz="10" w:space="0" w:color="20A9BB"/>
              <w:left w:val="single" w:sz="10" w:space="0" w:color="20A9BB"/>
              <w:bottom w:val="single" w:sz="10" w:space="0" w:color="20A9BB"/>
              <w:right w:val="single" w:sz="10" w:space="0" w:color="20A9BB"/>
              <w:insideH w:val="single" w:sz="10" w:space="0" w:color="20A9BB"/>
              <w:insideV w:val="single" w:sz="10" w:space="0" w:color="20A9B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D7D8D"/>
                <w:sz w:val="21"/>
              </w:rPr>
              <w:t>操作原则</w:t>
            </w:r>
          </w:p>
          <w:p>
            <w:r>
              <w:rPr>
                <w:rFonts w:ascii="Arial Unicode MS" w:hAnsi="Arial Unicode MS" w:eastAsia="Arial Unicode MS"/>
                <w:color w:val="30495D"/>
                <w:sz w:val="19"/>
              </w:rPr>
              <w:t>同步前先确认选中的环境，启动前先确认代理，切换账号前先回到 MD1 环境列表。任何一步出现异常时，先停止当前操作并保留提示信息。</w:t>
            </w:r>
          </w:p>
        </w:tc>
      </w:tr>
    </w:tbl>
    <w:p>
      <w:pPr>
        <w:spacing w:after="0"/>
      </w:pPr>
    </w:p>
    <w:p>
      <w:pPr>
        <w:pStyle w:val="MD1Small"/>
      </w:pPr>
      <w:r>
        <w:rPr>
          <w:rFonts w:ascii="Arial Unicode MS" w:hAnsi="Arial Unicode MS" w:eastAsia="Arial Unicode MS"/>
        </w:rPr>
        <w:t>本指南中的截图用于说明按钮位置和操作顺序。不同版本的状态文字可能略有差异，请以您当前软件界面显示的内容为准。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07083"/>
        <w:sz w:val="16"/>
      </w:rPr>
      <w:t xml:space="preserve">MD1 系统使用指南  · 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drawing>
        <wp:inline xmlns:a="http://schemas.openxmlformats.org/drawingml/2006/main" xmlns:pic="http://schemas.openxmlformats.org/drawingml/2006/picture">
          <wp:extent cx="172800" cy="172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1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" cy="1728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 Unicode MS" w:hAnsi="Arial Unicode MS" w:eastAsia="Arial Unicode MS"/>
        <w:b/>
        <w:color w:val="607083"/>
        <w:sz w:val="17"/>
      </w:rPr>
      <w:t xml:space="preserve">  MD1 电脑端环境管理器 + 手机端运行环境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 Unicode MS" w:hAnsi="Arial Unicode MS" w:eastAsia="Arial Unicode MS"/>
      <w:color w:val="202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25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D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025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60708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40"/>
    </w:pPr>
    <w:rPr>
      <w:rFonts w:ascii="Arial Unicode MS" w:hAnsi="Arial Unicode MS" w:eastAsia="Arial Unicode MS"/>
      <w:b w:val="0"/>
      <w:bCs/>
      <w:color w:val="60708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1Lead">
    <w:name w:val="MD1 Lead"/>
    <w:basedOn w:val="Normal"/>
    <w:pPr>
      <w:spacing w:after="280" w:line="324" w:lineRule="auto"/>
    </w:pPr>
    <w:rPr>
      <w:rFonts w:ascii="Arial Unicode MS" w:hAnsi="Arial Unicode MS" w:eastAsia="Arial Unicode MS"/>
      <w:color w:val="0D7D8D"/>
      <w:sz w:val="28"/>
    </w:rPr>
  </w:style>
  <w:style w:type="paragraph" w:customStyle="1" w:styleId="MD1Small">
    <w:name w:val="MD1 Small"/>
    <w:basedOn w:val="Normal"/>
    <w:pPr>
      <w:spacing w:after="60"/>
    </w:pPr>
    <w:rPr>
      <w:rFonts w:ascii="Arial Unicode MS" w:hAnsi="Arial Unicode MS" w:eastAsia="Arial Unicode MS"/>
      <w:color w:val="60708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MD1 系统使用指南</dc:title>
  <dc:subject>MD1 电脑端环境管理器和手机端运行环境使用说明</dc:subject>
  <dc:creator>MD1</dc:creator>
  <cp:keywords/>
  <dc:description>客户使用版，更新于 2026-08-27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