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Maestro del Producto — v4</w:t>
      </w:r>
    </w:p>
    <w:p>
      <w:pPr>
        <w:pStyle w:val="Heading1"/>
      </w:pPr>
      <w:r>
        <w:t>1. Resumen Ejecutivo</w:t>
      </w:r>
    </w:p>
    <w:p>
      <w:r>
        <w:t>Construiremos una experiencia de noticias personalizada en tiempo real, con baja fricción y sin geolocalización precisa. El sistema:</w:t>
        <w:br/>
        <w:t>- Home con cuatro bloques: Para ti, Local (sesgo por IP aproximada), Global y Últimas.</w:t>
        <w:br/>
        <w:t>- Aprende implícitamente (sin formularios) y ofrece chips de filtro (País, Idioma, Categoría).</w:t>
        <w:br/>
        <w:t>- Respeta reglas de frescura (≤72h), no-duplicados y preferencias negativas (‘Ver menos de esta fuente’).</w:t>
        <w:br/>
        <w:t>- Identidad: usuarios anónimos por cookie (SameSite=Lax) y registrados opcionalmente; sin PII sensible.</w:t>
        <w:br/>
        <w:t>- Instrumentación de señales: impresión, clic, lectura (dwell), scroll, guardar/compartir, ver menos, ver otras coberturas, cambios de chips, resumen de sesión.</w:t>
        <w:br/>
      </w:r>
    </w:p>
    <w:p>
      <w:pPr>
        <w:pStyle w:val="Heading1"/>
      </w:pPr>
      <w:r>
        <w:t>2. Problema a Resolver</w:t>
      </w:r>
    </w:p>
    <w:p>
      <w:r>
        <w:t>Las personas enfrentan sobrecarga informativa y desean relevancia inmediata, frescura, diversidad de fuentes y una experiencia limpia sin repetidos.</w:t>
      </w:r>
    </w:p>
    <w:p>
      <w:pPr>
        <w:pStyle w:val="Heading1"/>
      </w:pPr>
      <w:r>
        <w:t>3. Objetivos del Producto (funcionales)</w:t>
      </w:r>
    </w:p>
    <w:p>
      <w:r>
        <w:t>- Entregar un feed personalizado desde la primera sesión (adaptación a partir de 1–3 interacciones).</w:t>
        <w:br/>
        <w:t>- Mantener frescura y evitar duplicados/near-duplicates.</w:t>
        <w:br/>
        <w:t>- Permitir control ligero: chips, ‘Ver menos’, ‘Ver otras coberturas’, guardar, compartir.</w:t>
        <w:br/>
        <w:t>- Incorporar tendencias globales y sesgo local por IP (sin GPS).</w:t>
      </w:r>
    </w:p>
    <w:p>
      <w:pPr>
        <w:pStyle w:val="Heading1"/>
      </w:pPr>
      <w:r>
        <w:t>4. Alcance</w:t>
      </w:r>
    </w:p>
    <w:p>
      <w:r>
        <w:t>Incluye: Home con bloques Para ti, Local, Global, Últimas; sistema de chips (País, Idioma, Categoría); identidad anónima y registro opcional; telemetría completa.</w:t>
        <w:br/>
        <w:t>No incluye: login social, comentarios, notificaciones push ni monetización en esta fase académica.</w:t>
      </w:r>
    </w:p>
    <w:p>
      <w:pPr>
        <w:pStyle w:val="Heading1"/>
      </w:pPr>
      <w:r>
        <w:t>5. Bloques de Contenido</w:t>
      </w:r>
    </w:p>
    <w:p>
      <w:r>
        <w:t>- Para ti: personalización por señales implícitas con TS contextual.</w:t>
        <w:br/>
        <w:t>- Local: sesgo por país/ciudad aproximados (IP).</w:t>
        <w:br/>
        <w:t>- Global: tendencias de alto interés + frescura.</w:t>
        <w:br/>
        <w:t>- Últimas: orden cronológico controlando duplicados y coberturas.</w:t>
      </w:r>
    </w:p>
    <w:p>
      <w:pPr>
        <w:pStyle w:val="Heading1"/>
      </w:pPr>
      <w:r>
        <w:t>6. Controles y Comportamientos</w:t>
      </w:r>
    </w:p>
    <w:p>
      <w:r>
        <w:t>Chips (País, Idioma, Categoría): por defecto sesgo suave; si Categoría está activa → filtrado estricto.</w:t>
        <w:br/>
        <w:t>Acciones por tarjeta: Guardar, Compartir, Ver menos de esta fuente, Ver otras coberturas.</w:t>
      </w:r>
    </w:p>
    <w:p>
      <w:pPr>
        <w:pStyle w:val="Heading1"/>
      </w:pPr>
      <w:r>
        <w:t>7. Reglas de Negocio</w:t>
      </w:r>
    </w:p>
    <w:p>
      <w:r>
        <w:t>No duplicados exactos en la misma vista; near-duplicates agrupados y mostrados como ‘otras coberturas’.</w:t>
        <w:br/>
        <w:t>Frescura: prioridad a artículos recientes, ventana operativa ≤72h (decaimiento).</w:t>
        <w:br/>
        <w:t>Preferencias negativas por fuente: penalización persistente para el mismo usuario.</w:t>
      </w:r>
    </w:p>
    <w:p>
      <w:pPr>
        <w:pStyle w:val="Heading1"/>
      </w:pPr>
      <w:r>
        <w:t>8. Identidad, Sesiones y Privacidad</w:t>
      </w:r>
    </w:p>
    <w:p>
      <w:r>
        <w:t>Usuario anónimo: cookie (SameSite=Lax) con ID anónimo; fallback de huella ligera solo si es imprescindible.</w:t>
        <w:br/>
        <w:t>Usuario registrado: consolida histórico anónimo en su cuenta; ofrece eliminación de datos.</w:t>
        <w:br/>
        <w:t>Sin PII sensible; no se ofrece opt-out global, se mantienen controles granulares.</w:t>
      </w:r>
    </w:p>
    <w:p>
      <w:pPr>
        <w:pStyle w:val="Heading1"/>
      </w:pPr>
      <w:r>
        <w:t>9. Modelo de Contenido (Noticias)</w:t>
      </w:r>
    </w:p>
    <w:p>
      <w:r>
        <w:t>Normalización de campos: title, description, keywords, source, pubDate, language, country, category, image_url, etc.; hash de duplicados.</w:t>
      </w:r>
    </w:p>
    <w:p>
      <w:pPr>
        <w:pStyle w:val="Heading1"/>
      </w:pPr>
      <w:r>
        <w:t>10. Señales y Eventos (Telemetría)</w:t>
      </w:r>
    </w:p>
    <w:p>
      <w:r>
        <w:t>Impresión, Clic, Engagement (dwell, scroll), Guardar, Compartir, Ver menos, Ver otras coberturas, chip_change y session_summary; incluir eventos y métricas para la pantalla ‘Ver todas las noticias’.</w:t>
      </w:r>
    </w:p>
    <w:p>
      <w:pPr>
        <w:pStyle w:val="Heading1"/>
      </w:pPr>
      <w:r>
        <w:t>11. Arquitectura Algorítmica (por bloque)</w:t>
      </w:r>
    </w:p>
    <w:p>
      <w:r>
        <w:t>- Para ti: Thompson Sampling Contextual Bandit (online).</w:t>
        <w:br/>
        <w:t>- Local y Global: **TS global** ‘en definición’; los **contextos se ajustarán tras el piloto**.</w:t>
        <w:br/>
        <w:t>- Últimas: orden cronológico.</w:t>
        <w:br/>
        <w:t>Baseline de comparación: epsilon-greedy.</w:t>
      </w:r>
    </w:p>
    <w:p>
      <w:pPr>
        <w:pStyle w:val="Heading1"/>
      </w:pPr>
      <w:r>
        <w:t>12. Manejo de Duplicados y Clustering (MVP)</w:t>
      </w:r>
    </w:p>
    <w:p>
      <w:r>
        <w:t>TF–IDF completo (título+descripción+keywords) + similitud coseno; DBSCAN (espacio coseno) con eps=0.25, min_samples=2 y Δt ≤ 6h.</w:t>
        <w:br/>
        <w:t>Regla de interfaz: mostrar 1 principal por cluster y ofrecer ‘Ver otras coberturas’ para variantes.</w:t>
      </w:r>
    </w:p>
    <w:p>
      <w:pPr>
        <w:pStyle w:val="Heading1"/>
      </w:pPr>
      <w:r>
        <w:t>13. Frescura y Diversidad (definiciones)</w:t>
      </w:r>
    </w:p>
    <w:p>
      <w:r>
        <w:t>Frescura: prioridad decreciente con la edad, ventana operativa ≤72h.</w:t>
        <w:br/>
        <w:t>Diversidad: entropía de Shannon normalizada por log(K) sobre categorías clicadas por sesión (objetivo se fija en Mapa de Éxito).</w:t>
      </w:r>
    </w:p>
    <w:p>
      <w:pPr>
        <w:pStyle w:val="Heading1"/>
      </w:pPr>
      <w:r>
        <w:t>14. Métricas de Observación</w:t>
      </w:r>
    </w:p>
    <w:p>
      <w:r>
        <w:t>CTR por bloque; dwell/scroll; artículos por sesión; diversidad (entropía); uptake de frescura; uso de ‘ver menos’ y ‘otras coberturas’.</w:t>
      </w:r>
    </w:p>
    <w:p>
      <w:pPr>
        <w:pStyle w:val="Heading1"/>
      </w:pPr>
      <w:r>
        <w:t>15. Conclusión</w:t>
      </w:r>
    </w:p>
    <w:p>
      <w:r>
        <w:t>Este documento articula qué construir y cómo debe comportarse el sistema, alineado con los acuerdos: TS global ‘en definición’ para Local/Global, recompensa por definirse tras piloto, clustering MVP acordado.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