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A434C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0" w:beforeLines="50" w:beforeAutospacing="0" w:after="0" w:afterLines="50" w:line="312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概念结构设计文档 - 第9组</w:t>
      </w:r>
    </w:p>
    <w:p w14:paraId="54A57437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0" w:beforeLines="50" w:beforeAutospacing="0" w:after="0" w:afterLines="50" w:line="312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1. 概述</w:t>
      </w:r>
    </w:p>
    <w:p w14:paraId="34DEB8F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Lines="50" w:beforeAutospacing="0" w:after="0" w:afterLines="50" w:line="312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default" w:ascii="Times New Roman" w:hAnsi="Times New Roman" w:eastAsia="宋体" w:cs="宋体"/>
          <w:sz w:val="24"/>
        </w:rPr>
        <w:t>在需求分析的基础上，本阶段通过对“国家标准设备管理系统”中涉及的实体、属性及它们之间的联系进行抽象，建立独立于具体 DBMS 的概念模型。我们采用</w:t>
      </w:r>
      <w:r>
        <w:rPr>
          <w:rStyle w:val="10"/>
          <w:rFonts w:hint="default" w:ascii="Times New Roman" w:hAnsi="Times New Roman" w:eastAsia="宋体" w:cs="宋体"/>
          <w:sz w:val="24"/>
        </w:rPr>
        <w:t>自底向上</w:t>
      </w:r>
      <w:r>
        <w:rPr>
          <w:rFonts w:hint="default" w:ascii="Times New Roman" w:hAnsi="Times New Roman" w:eastAsia="宋体" w:cs="宋体"/>
          <w:sz w:val="24"/>
        </w:rPr>
        <w:t>的设计策略，首先构建各业务模块的局部 E-R 图，最后集成全局 E-R 图。</w:t>
      </w:r>
    </w:p>
    <w:p w14:paraId="45D7B7DE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0" w:beforeLines="50" w:beforeAutospacing="0" w:after="0" w:afterLines="50" w:line="312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2. 局部 E-R 模型设计</w:t>
      </w:r>
    </w:p>
    <w:p w14:paraId="2370F1F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Lines="50" w:beforeAutospacing="0" w:after="0" w:afterLines="50" w:line="312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default" w:ascii="Times New Roman" w:hAnsi="Times New Roman" w:eastAsia="宋体" w:cs="宋体"/>
          <w:sz w:val="24"/>
        </w:rPr>
        <w:t>本系统核心业务分为四个局部模型，分别描述资产基础、流动、维保及处置过程。</w:t>
      </w:r>
    </w:p>
    <w:p w14:paraId="00C838ED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0" w:beforeLines="50" w:beforeAutospacing="0" w:after="0" w:afterLines="50" w:line="312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2.1 设备基础与分类局部 E-R 图</w:t>
      </w:r>
    </w:p>
    <w:p w14:paraId="19CCD1F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Lines="50" w:beforeAutospacing="0" w:after="0" w:afterLines="50" w:line="312" w:lineRule="auto"/>
        <w:jc w:val="center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733800" cy="4867275"/>
            <wp:effectExtent l="0" t="0" r="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4867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D4A7E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0" w:beforeLines="50" w:beforeAutospacing="0" w:after="0" w:afterLines="50" w:line="312" w:lineRule="auto"/>
        <w:jc w:val="center"/>
        <w:textAlignment w:val="auto"/>
        <w:rPr>
          <w:rFonts w:hint="default" w:ascii="Times New Roman" w:hAnsi="Times New Roman" w:eastAsia="宋体"/>
          <w:sz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图1 设备基础与分类局部 E-R 图</w:t>
      </w:r>
    </w:p>
    <w:p w14:paraId="4881658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Lines="50" w:beforeAutospacing="0" w:after="0" w:afterLines="50" w:line="312" w:lineRule="auto"/>
        <w:ind w:left="720"/>
        <w:textAlignment w:val="auto"/>
        <w:rPr>
          <w:rFonts w:ascii="Times New Roman" w:hAnsi="Times New Roman" w:eastAsia="宋体"/>
          <w:sz w:val="24"/>
        </w:rPr>
      </w:pPr>
      <w:r>
        <w:rPr>
          <w:rStyle w:val="10"/>
          <w:rFonts w:hint="default" w:ascii="Times New Roman" w:hAnsi="Times New Roman" w:eastAsia="宋体" w:cs="宋体"/>
          <w:sz w:val="24"/>
        </w:rPr>
        <w:t>描述：</w:t>
      </w:r>
      <w:r>
        <w:rPr>
          <w:rFonts w:hint="default" w:ascii="Times New Roman" w:hAnsi="Times New Roman" w:eastAsia="宋体" w:cs="宋体"/>
          <w:sz w:val="24"/>
        </w:rPr>
        <w:t xml:space="preserve"> 该模块定义了资产的核心台账属性及国标分类归属。</w:t>
      </w:r>
    </w:p>
    <w:p w14:paraId="0CD4903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Lines="50" w:beforeAutospacing="0" w:after="0" w:afterLines="50" w:line="312" w:lineRule="auto"/>
        <w:ind w:left="720"/>
        <w:textAlignment w:val="auto"/>
        <w:rPr>
          <w:rFonts w:ascii="Times New Roman" w:hAnsi="Times New Roman" w:eastAsia="宋体"/>
          <w:sz w:val="24"/>
        </w:rPr>
      </w:pPr>
      <w:r>
        <w:rPr>
          <w:rStyle w:val="10"/>
          <w:rFonts w:hint="default" w:ascii="Times New Roman" w:hAnsi="Times New Roman" w:eastAsia="宋体" w:cs="宋体"/>
          <w:sz w:val="24"/>
        </w:rPr>
        <w:t>实体说明：</w:t>
      </w:r>
      <w:r>
        <w:rPr>
          <w:rFonts w:hint="default" w:ascii="Times New Roman" w:hAnsi="Times New Roman" w:eastAsia="宋体" w:cs="宋体"/>
          <w:sz w:val="24"/>
        </w:rPr>
        <w:t xml:space="preserve"> “设备”实体与“设备分类”实体之间存在</w:t>
      </w:r>
      <w:r>
        <w:rPr>
          <w:rStyle w:val="10"/>
          <w:rFonts w:hint="default" w:ascii="Times New Roman" w:hAnsi="Times New Roman" w:eastAsia="宋体" w:cs="宋体"/>
          <w:sz w:val="24"/>
        </w:rPr>
        <w:t>属于</w:t>
      </w:r>
      <w:r>
        <w:rPr>
          <w:rFonts w:hint="default" w:ascii="Times New Roman" w:hAnsi="Times New Roman" w:eastAsia="宋体" w:cs="宋体"/>
          <w:sz w:val="24"/>
        </w:rPr>
        <w:t>联系 。</w:t>
      </w:r>
    </w:p>
    <w:p w14:paraId="6C6C78F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Lines="50" w:beforeAutospacing="0" w:after="0" w:afterLines="50" w:line="312" w:lineRule="auto"/>
        <w:ind w:left="720"/>
        <w:textAlignment w:val="auto"/>
        <w:rPr>
          <w:rFonts w:ascii="Times New Roman" w:hAnsi="Times New Roman" w:eastAsia="宋体"/>
          <w:sz w:val="24"/>
        </w:rPr>
      </w:pPr>
      <w:r>
        <w:rPr>
          <w:rStyle w:val="10"/>
          <w:rFonts w:hint="default" w:ascii="Times New Roman" w:hAnsi="Times New Roman" w:eastAsia="宋体" w:cs="宋体"/>
          <w:sz w:val="24"/>
        </w:rPr>
        <w:t>联系类型：</w:t>
      </w:r>
      <w:r>
        <w:rPr>
          <w:rFonts w:hint="default" w:ascii="Times New Roman" w:hAnsi="Times New Roman" w:eastAsia="宋体" w:cs="宋体"/>
          <w:sz w:val="24"/>
        </w:rPr>
        <w:t xml:space="preserve"> 1:n（一个分类可包含多台设备，一台设备仅属于一个分类）。</w:t>
      </w:r>
    </w:p>
    <w:p w14:paraId="2F3CBFCA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0" w:beforeLines="50" w:beforeAutospacing="0" w:after="0" w:afterLines="50" w:line="312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2.2 设备调拨与部门局部 E-R 图</w:t>
      </w:r>
    </w:p>
    <w:p w14:paraId="7D0CC92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Lines="50" w:beforeAutospacing="0" w:after="0" w:afterLines="50" w:line="312" w:lineRule="auto"/>
        <w:jc w:val="center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733800" cy="4676775"/>
            <wp:effectExtent l="0" t="0" r="0" b="190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4676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94C51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0" w:beforeLines="50" w:beforeAutospacing="0" w:after="0" w:afterLines="50" w:line="312" w:lineRule="auto"/>
        <w:jc w:val="center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图2 设备调拨与部门局部 E-R 图</w:t>
      </w:r>
    </w:p>
    <w:p w14:paraId="64EAC2C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Lines="50" w:beforeAutospacing="0" w:after="0" w:afterLines="50" w:line="312" w:lineRule="auto"/>
        <w:ind w:left="720"/>
        <w:textAlignment w:val="auto"/>
        <w:rPr>
          <w:rFonts w:ascii="Times New Roman" w:hAnsi="Times New Roman" w:eastAsia="宋体"/>
          <w:sz w:val="24"/>
        </w:rPr>
      </w:pPr>
      <w:r>
        <w:rPr>
          <w:rStyle w:val="10"/>
          <w:rFonts w:hint="default" w:ascii="Times New Roman" w:hAnsi="Times New Roman" w:eastAsia="宋体" w:cs="宋体"/>
          <w:sz w:val="24"/>
        </w:rPr>
        <w:t>描述：</w:t>
      </w:r>
      <w:r>
        <w:rPr>
          <w:rFonts w:hint="default" w:ascii="Times New Roman" w:hAnsi="Times New Roman" w:eastAsia="宋体" w:cs="宋体"/>
          <w:sz w:val="24"/>
        </w:rPr>
        <w:t xml:space="preserve"> 描述资产在组织机构内部各使用单位间的流转关系。</w:t>
      </w:r>
    </w:p>
    <w:p w14:paraId="05F9A21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Lines="50" w:beforeAutospacing="0" w:after="0" w:afterLines="50" w:line="312" w:lineRule="auto"/>
        <w:ind w:left="720"/>
        <w:textAlignment w:val="auto"/>
        <w:rPr>
          <w:rFonts w:ascii="Times New Roman" w:hAnsi="Times New Roman" w:eastAsia="宋体"/>
          <w:sz w:val="24"/>
        </w:rPr>
      </w:pPr>
      <w:r>
        <w:rPr>
          <w:rStyle w:val="10"/>
          <w:rFonts w:hint="default" w:ascii="Times New Roman" w:hAnsi="Times New Roman" w:eastAsia="宋体" w:cs="宋体"/>
          <w:sz w:val="24"/>
        </w:rPr>
        <w:t>实体说明：</w:t>
      </w:r>
      <w:r>
        <w:rPr>
          <w:rFonts w:hint="default" w:ascii="Times New Roman" w:hAnsi="Times New Roman" w:eastAsia="宋体" w:cs="宋体"/>
          <w:sz w:val="24"/>
        </w:rPr>
        <w:t xml:space="preserve"> “设备”与“使用单位”通过</w:t>
      </w:r>
      <w:r>
        <w:rPr>
          <w:rStyle w:val="10"/>
          <w:rFonts w:hint="default" w:ascii="Times New Roman" w:hAnsi="Times New Roman" w:eastAsia="宋体" w:cs="宋体"/>
          <w:b w:val="0"/>
          <w:bCs/>
          <w:sz w:val="24"/>
        </w:rPr>
        <w:t>调拨</w:t>
      </w:r>
      <w:r>
        <w:rPr>
          <w:rFonts w:hint="default" w:ascii="Times New Roman" w:hAnsi="Times New Roman" w:eastAsia="宋体" w:cs="宋体"/>
          <w:sz w:val="24"/>
        </w:rPr>
        <w:t>行为产生关联 。</w:t>
      </w:r>
    </w:p>
    <w:p w14:paraId="18E4822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Lines="50" w:beforeAutospacing="0" w:after="0" w:afterLines="50" w:line="312" w:lineRule="auto"/>
        <w:ind w:left="720"/>
        <w:textAlignment w:val="auto"/>
        <w:rPr>
          <w:rFonts w:ascii="Times New Roman" w:hAnsi="Times New Roman" w:eastAsia="宋体"/>
          <w:sz w:val="24"/>
        </w:rPr>
      </w:pPr>
      <w:r>
        <w:rPr>
          <w:rStyle w:val="10"/>
          <w:rFonts w:hint="default" w:ascii="Times New Roman" w:hAnsi="Times New Roman" w:eastAsia="宋体" w:cs="宋体"/>
          <w:sz w:val="24"/>
        </w:rPr>
        <w:t>联系类型：</w:t>
      </w:r>
      <w:r>
        <w:rPr>
          <w:rFonts w:hint="default" w:ascii="Times New Roman" w:hAnsi="Times New Roman" w:eastAsia="宋体" w:cs="宋体"/>
          <w:sz w:val="24"/>
        </w:rPr>
        <w:t xml:space="preserve"> m:n（一台设备可多次调拨给不同单位，一个单位可接收多台设备），调拨属性包括调拨日期、经办人、新旧单位及原值变动等 。</w:t>
      </w:r>
    </w:p>
    <w:p w14:paraId="1FD44723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0" w:beforeLines="50" w:beforeAutospacing="0" w:after="0" w:afterLines="50" w:line="312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2.3 设备检修局部 E-R 图</w:t>
      </w:r>
    </w:p>
    <w:p w14:paraId="6AFB396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Lines="50" w:beforeAutospacing="0" w:after="0" w:afterLines="50" w:line="312" w:lineRule="auto"/>
        <w:jc w:val="center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781425" cy="4581525"/>
            <wp:effectExtent l="0" t="0" r="13335" b="571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4581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3410C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0" w:beforeLines="50" w:beforeAutospacing="0" w:after="0" w:afterLines="50" w:line="312" w:lineRule="auto"/>
        <w:jc w:val="center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图3 设备检修局部 E-R 图</w:t>
      </w:r>
    </w:p>
    <w:p w14:paraId="546F243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Lines="50" w:beforeAutospacing="0" w:after="0" w:afterLines="50" w:line="312" w:lineRule="auto"/>
        <w:ind w:left="720"/>
        <w:textAlignment w:val="auto"/>
        <w:rPr>
          <w:rFonts w:ascii="Times New Roman" w:hAnsi="Times New Roman" w:eastAsia="宋体"/>
          <w:sz w:val="24"/>
        </w:rPr>
      </w:pPr>
      <w:r>
        <w:rPr>
          <w:rStyle w:val="10"/>
          <w:rFonts w:hint="default" w:ascii="Times New Roman" w:hAnsi="Times New Roman" w:eastAsia="宋体" w:cs="宋体"/>
          <w:sz w:val="24"/>
        </w:rPr>
        <w:t>描述：</w:t>
      </w:r>
      <w:r>
        <w:rPr>
          <w:rFonts w:hint="default" w:ascii="Times New Roman" w:hAnsi="Times New Roman" w:eastAsia="宋体" w:cs="宋体"/>
          <w:sz w:val="24"/>
        </w:rPr>
        <w:t xml:space="preserve"> 记录资产在使用过程中的性能维护。</w:t>
      </w:r>
    </w:p>
    <w:p w14:paraId="323DD28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Lines="50" w:beforeAutospacing="0" w:after="0" w:afterLines="50" w:line="312" w:lineRule="auto"/>
        <w:ind w:left="720"/>
        <w:textAlignment w:val="auto"/>
        <w:rPr>
          <w:rFonts w:ascii="Times New Roman" w:hAnsi="Times New Roman" w:eastAsia="宋体"/>
          <w:sz w:val="24"/>
        </w:rPr>
      </w:pPr>
      <w:r>
        <w:rPr>
          <w:rStyle w:val="10"/>
          <w:rFonts w:hint="default" w:ascii="Times New Roman" w:hAnsi="Times New Roman" w:eastAsia="宋体" w:cs="宋体"/>
          <w:sz w:val="24"/>
        </w:rPr>
        <w:t>联系类型：</w:t>
      </w:r>
      <w:r>
        <w:rPr>
          <w:rFonts w:hint="default" w:ascii="Times New Roman" w:hAnsi="Times New Roman" w:eastAsia="宋体" w:cs="宋体"/>
          <w:sz w:val="24"/>
        </w:rPr>
        <w:t xml:space="preserve"> 1:n（一台设备对应多张检修单，一张检修单仅针对一台设备）。</w:t>
      </w:r>
    </w:p>
    <w:p w14:paraId="5175673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Lines="50" w:beforeAutospacing="0" w:after="0" w:afterLines="50" w:line="312" w:lineRule="auto"/>
        <w:ind w:left="720"/>
        <w:textAlignment w:val="auto"/>
        <w:rPr>
          <w:rFonts w:ascii="Times New Roman" w:hAnsi="Times New Roman" w:eastAsia="宋体"/>
          <w:sz w:val="24"/>
        </w:rPr>
      </w:pPr>
      <w:r>
        <w:rPr>
          <w:rStyle w:val="10"/>
          <w:rFonts w:hint="default" w:ascii="Times New Roman" w:hAnsi="Times New Roman" w:eastAsia="宋体" w:cs="宋体"/>
          <w:sz w:val="24"/>
        </w:rPr>
        <w:t>关键属性：</w:t>
      </w:r>
      <w:r>
        <w:rPr>
          <w:rFonts w:hint="default" w:ascii="Times New Roman" w:hAnsi="Times New Roman" w:eastAsia="宋体" w:cs="宋体"/>
          <w:sz w:val="24"/>
        </w:rPr>
        <w:t xml:space="preserve"> 检修单包含检修单号、日期、内容、费用及检修人 。</w:t>
      </w:r>
    </w:p>
    <w:p w14:paraId="202D39CC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0" w:beforeLines="50" w:beforeAutospacing="0" w:after="0" w:afterLines="50" w:line="312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2.4 设备报废局部 E-R 图</w:t>
      </w:r>
    </w:p>
    <w:p w14:paraId="49E086F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Lines="50" w:beforeAutospacing="0" w:after="0" w:afterLines="50" w:line="312" w:lineRule="auto"/>
        <w:jc w:val="center"/>
        <w:textAlignment w:val="auto"/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733800" cy="4867275"/>
            <wp:effectExtent l="0" t="0" r="0" b="952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4867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69AF0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Lines="50" w:beforeAutospacing="0" w:after="0" w:afterLines="50" w:line="312" w:lineRule="auto"/>
        <w:jc w:val="center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图4 设备报废局部 E-R 图</w:t>
      </w:r>
    </w:p>
    <w:p w14:paraId="318E9F1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Lines="50" w:beforeAutospacing="0" w:after="0" w:afterLines="50" w:line="312" w:lineRule="auto"/>
        <w:ind w:left="720"/>
        <w:textAlignment w:val="auto"/>
        <w:rPr>
          <w:rFonts w:ascii="Times New Roman" w:hAnsi="Times New Roman" w:eastAsia="宋体"/>
          <w:sz w:val="24"/>
        </w:rPr>
      </w:pPr>
      <w:r>
        <w:rPr>
          <w:rStyle w:val="10"/>
          <w:rFonts w:hint="default" w:ascii="Times New Roman" w:hAnsi="Times New Roman" w:eastAsia="宋体" w:cs="宋体"/>
          <w:sz w:val="24"/>
        </w:rPr>
        <w:t>描述：</w:t>
      </w:r>
      <w:r>
        <w:rPr>
          <w:rFonts w:hint="default" w:ascii="Times New Roman" w:hAnsi="Times New Roman" w:eastAsia="宋体" w:cs="宋体"/>
          <w:sz w:val="24"/>
        </w:rPr>
        <w:t xml:space="preserve"> 描述资产全生命周期的终点处理。</w:t>
      </w:r>
    </w:p>
    <w:p w14:paraId="4C0F164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Lines="50" w:beforeAutospacing="0" w:after="0" w:afterLines="50" w:line="312" w:lineRule="auto"/>
        <w:ind w:left="720"/>
        <w:textAlignment w:val="auto"/>
        <w:rPr>
          <w:rFonts w:ascii="Times New Roman" w:hAnsi="Times New Roman" w:eastAsia="宋体"/>
          <w:sz w:val="24"/>
        </w:rPr>
      </w:pPr>
      <w:r>
        <w:rPr>
          <w:rStyle w:val="10"/>
          <w:rFonts w:hint="default" w:ascii="Times New Roman" w:hAnsi="Times New Roman" w:eastAsia="宋体" w:cs="宋体"/>
          <w:sz w:val="24"/>
        </w:rPr>
        <w:t>联系类型：</w:t>
      </w:r>
      <w:r>
        <w:rPr>
          <w:rFonts w:hint="default" w:ascii="Times New Roman" w:hAnsi="Times New Roman" w:eastAsia="宋体" w:cs="宋体"/>
          <w:sz w:val="24"/>
        </w:rPr>
        <w:t xml:space="preserve"> 1:1（一台设备仅能执行一次报废处理，一条报废登记对应一台唯一设备）。</w:t>
      </w:r>
    </w:p>
    <w:p w14:paraId="6026792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Lines="50" w:beforeAutospacing="0" w:after="0" w:afterLines="50" w:line="312" w:lineRule="auto"/>
        <w:ind w:left="720"/>
        <w:textAlignment w:val="auto"/>
        <w:rPr>
          <w:rFonts w:ascii="Times New Roman" w:hAnsi="Times New Roman" w:eastAsia="宋体"/>
          <w:sz w:val="24"/>
        </w:rPr>
      </w:pPr>
      <w:r>
        <w:rPr>
          <w:rStyle w:val="10"/>
          <w:rFonts w:hint="default" w:ascii="Times New Roman" w:hAnsi="Times New Roman" w:eastAsia="宋体" w:cs="宋体"/>
          <w:sz w:val="24"/>
        </w:rPr>
        <w:t>关键属性：</w:t>
      </w:r>
      <w:r>
        <w:rPr>
          <w:rFonts w:hint="default" w:ascii="Times New Roman" w:hAnsi="Times New Roman" w:eastAsia="宋体" w:cs="宋体"/>
          <w:sz w:val="24"/>
        </w:rPr>
        <w:t xml:space="preserve"> 包括报废日期、报废单号、原因及审批人 。</w:t>
      </w:r>
    </w:p>
    <w:p w14:paraId="4BD1866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Lines="50" w:beforeAutospacing="0" w:after="0" w:afterLines="50" w:line="312" w:lineRule="auto"/>
        <w:textAlignment w:val="auto"/>
        <w:rPr>
          <w:rFonts w:ascii="Times New Roman" w:hAnsi="Times New Roman" w:eastAsia="宋体"/>
          <w:sz w:val="24"/>
        </w:rPr>
      </w:pPr>
    </w:p>
    <w:p w14:paraId="402E6F15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0" w:beforeLines="50" w:beforeAutospacing="0" w:after="0" w:afterLines="50" w:line="312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3. 全局 E-R 模型集成</w:t>
      </w:r>
    </w:p>
    <w:p w14:paraId="049B48E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Lines="50" w:beforeAutospacing="0" w:after="0" w:afterLines="50" w:line="312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hint="default" w:ascii="Times New Roman" w:hAnsi="Times New Roman" w:eastAsia="宋体" w:cs="宋体"/>
          <w:sz w:val="24"/>
        </w:rPr>
        <w:t>通过合并上述四个局部 E-R 图，我们构建了“国家标准设备管理系统”的全局 E-R 图。在集成过程中，我们以“设备”实体为核心纽带，统一了各模块间的公共实体（如使用单位、设备实体），消除了冗余并明确了复杂联系。</w:t>
      </w:r>
    </w:p>
    <w:p w14:paraId="69B05135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0" w:beforeLines="50" w:beforeAutospacing="0" w:after="0" w:afterLines="50" w:line="312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3.1 全局 E-R 图展示</w:t>
      </w:r>
      <w:bookmarkStart w:id="0" w:name="_GoBack"/>
      <w:bookmarkEnd w:id="0"/>
    </w:p>
    <w:p w14:paraId="7DD8800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Lines="50" w:beforeAutospacing="0" w:after="0" w:afterLines="50" w:line="312" w:lineRule="auto"/>
        <w:jc w:val="center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02020" cy="3777615"/>
            <wp:effectExtent l="0" t="0" r="2540" b="190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2020" cy="3777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00EED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Lines="50" w:beforeAutospacing="0" w:after="0" w:afterLines="50" w:line="312" w:lineRule="auto"/>
        <w:jc w:val="center"/>
        <w:textAlignment w:val="auto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图5 全局 E-R 图</w:t>
      </w:r>
    </w:p>
    <w:p w14:paraId="0DA7BC0A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0" w:beforeLines="50" w:beforeAutospacing="0" w:after="0" w:afterLines="50" w:line="312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3.2 实体属性一览表</w:t>
      </w:r>
    </w:p>
    <w:p w14:paraId="22DDFB2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Lines="50" w:beforeAutospacing="0" w:after="0" w:afterLines="50" w:line="312" w:lineRule="auto"/>
        <w:textAlignment w:val="auto"/>
        <w:rPr>
          <w:rStyle w:val="9"/>
          <w:woUserID w:val="0"/>
        </w:rPr>
      </w:pPr>
      <w:r>
        <w:rPr>
          <w:rFonts w:hint="default" w:ascii="Times New Roman" w:hAnsi="Times New Roman" w:eastAsia="宋体" w:cs="宋体"/>
          <w:sz w:val="24"/>
        </w:rPr>
        <w:t>根据全局 E-R 图 ，主要实体属性定义如下：</w:t>
      </w:r>
    </w:p>
    <w:tbl>
      <w:tblPr>
        <w:tblStyle w:val="8"/>
        <w:tblW w:w="851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9"/>
        <w:gridCol w:w="5128"/>
        <w:gridCol w:w="1821"/>
      </w:tblGrid>
      <w:tr w14:paraId="3215C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5" w:hRule="atLeast"/>
          <w:tblHeader/>
          <w:jc w:val="center"/>
        </w:trPr>
        <w:tc>
          <w:tcPr>
            <w:tcW w:w="1569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E78C3B">
            <w:pPr>
              <w:pStyle w:val="7"/>
              <w:bidi w:val="0"/>
              <w:rPr>
                <w:rFonts w:hint="default"/>
              </w:rPr>
            </w:pPr>
            <w:r>
              <w:rPr>
                <w:rFonts w:hint="default"/>
              </w:rPr>
              <w:t>实体名称</w:t>
            </w:r>
          </w:p>
        </w:tc>
        <w:tc>
          <w:tcPr>
            <w:tcW w:w="5128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C1FBCC">
            <w:pPr>
              <w:pStyle w:val="7"/>
              <w:bidi w:val="0"/>
              <w:rPr>
                <w:rFonts w:hint="default"/>
              </w:rPr>
            </w:pPr>
            <w:r>
              <w:rPr>
                <w:rFonts w:hint="default"/>
              </w:rPr>
              <w:t>核心属性</w:t>
            </w:r>
          </w:p>
        </w:tc>
        <w:tc>
          <w:tcPr>
            <w:tcW w:w="1821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E5B84E">
            <w:pPr>
              <w:pStyle w:val="7"/>
              <w:bidi w:val="0"/>
              <w:rPr>
                <w:rFonts w:hint="default"/>
              </w:rPr>
            </w:pPr>
            <w:r>
              <w:rPr>
                <w:rFonts w:hint="default"/>
              </w:rPr>
              <w:t>标识符（主码）</w:t>
            </w:r>
          </w:p>
        </w:tc>
      </w:tr>
      <w:tr w14:paraId="58A8C3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53" w:hRule="atLeast"/>
          <w:jc w:val="center"/>
        </w:trPr>
        <w:tc>
          <w:tcPr>
            <w:tcW w:w="1569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87E90D">
            <w:pPr>
              <w:pStyle w:val="7"/>
              <w:bidi w:val="0"/>
              <w:rPr>
                <w:rFonts w:hint="default"/>
              </w:rPr>
            </w:pPr>
            <w:r>
              <w:rPr>
                <w:rFonts w:hint="default"/>
              </w:rPr>
              <w:t>设备</w:t>
            </w:r>
          </w:p>
        </w:tc>
        <w:tc>
          <w:tcPr>
            <w:tcW w:w="5128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2321B0">
            <w:pPr>
              <w:pStyle w:val="7"/>
              <w:bidi w:val="0"/>
              <w:rPr>
                <w:rFonts w:hint="default"/>
              </w:rPr>
            </w:pPr>
            <w:r>
              <w:rPr>
                <w:rFonts w:hint="default"/>
              </w:rPr>
              <w:t>名称、规格型号、原值、状态、购入日期、设备编号</w:t>
            </w:r>
          </w:p>
        </w:tc>
        <w:tc>
          <w:tcPr>
            <w:tcW w:w="1821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A2AC8D">
            <w:pPr>
              <w:pStyle w:val="7"/>
              <w:bidi w:val="0"/>
              <w:rPr>
                <w:rFonts w:hint="default"/>
              </w:rPr>
            </w:pPr>
            <w:r>
              <w:rPr>
                <w:rFonts w:hint="default"/>
              </w:rPr>
              <w:t>设备编号</w:t>
            </w:r>
          </w:p>
        </w:tc>
      </w:tr>
      <w:tr w14:paraId="49997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5" w:hRule="atLeast"/>
          <w:jc w:val="center"/>
        </w:trPr>
        <w:tc>
          <w:tcPr>
            <w:tcW w:w="1569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05BAC2">
            <w:pPr>
              <w:pStyle w:val="7"/>
              <w:bidi w:val="0"/>
              <w:rPr>
                <w:rFonts w:hint="default"/>
              </w:rPr>
            </w:pPr>
            <w:r>
              <w:rPr>
                <w:rFonts w:hint="default"/>
              </w:rPr>
              <w:t>使用单位</w:t>
            </w:r>
          </w:p>
        </w:tc>
        <w:tc>
          <w:tcPr>
            <w:tcW w:w="5128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A7D4B4">
            <w:pPr>
              <w:pStyle w:val="7"/>
              <w:bidi w:val="0"/>
              <w:rPr>
                <w:rFonts w:hint="default"/>
              </w:rPr>
            </w:pPr>
            <w:r>
              <w:rPr>
                <w:rFonts w:hint="default"/>
              </w:rPr>
              <w:t>单位代码、单位名称、负责人</w:t>
            </w:r>
          </w:p>
        </w:tc>
        <w:tc>
          <w:tcPr>
            <w:tcW w:w="1821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C58349">
            <w:pPr>
              <w:pStyle w:val="7"/>
              <w:bidi w:val="0"/>
              <w:rPr>
                <w:rFonts w:hint="default"/>
              </w:rPr>
            </w:pPr>
            <w:r>
              <w:rPr>
                <w:rFonts w:hint="default"/>
              </w:rPr>
              <w:t>单位代码</w:t>
            </w:r>
          </w:p>
        </w:tc>
      </w:tr>
      <w:tr w14:paraId="20106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53" w:hRule="atLeast"/>
          <w:jc w:val="center"/>
        </w:trPr>
        <w:tc>
          <w:tcPr>
            <w:tcW w:w="1569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F6296B8">
            <w:pPr>
              <w:pStyle w:val="7"/>
              <w:bidi w:val="0"/>
              <w:rPr>
                <w:rFonts w:hint="default"/>
              </w:rPr>
            </w:pPr>
            <w:r>
              <w:rPr>
                <w:rFonts w:hint="default"/>
              </w:rPr>
              <w:t>国家标准分类</w:t>
            </w:r>
          </w:p>
        </w:tc>
        <w:tc>
          <w:tcPr>
            <w:tcW w:w="5128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A6209A6">
            <w:pPr>
              <w:pStyle w:val="7"/>
              <w:bidi w:val="0"/>
              <w:rPr>
                <w:rFonts w:hint="default"/>
              </w:rPr>
            </w:pPr>
            <w:r>
              <w:rPr>
                <w:rFonts w:hint="default"/>
              </w:rPr>
              <w:t>分类编码、分类名称、预计使用年限、残值率</w:t>
            </w:r>
          </w:p>
        </w:tc>
        <w:tc>
          <w:tcPr>
            <w:tcW w:w="1821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48C931">
            <w:pPr>
              <w:pStyle w:val="7"/>
              <w:bidi w:val="0"/>
              <w:rPr>
                <w:rFonts w:hint="default"/>
              </w:rPr>
            </w:pPr>
            <w:r>
              <w:rPr>
                <w:rFonts w:hint="default"/>
              </w:rPr>
              <w:t>分类编码</w:t>
            </w:r>
          </w:p>
        </w:tc>
      </w:tr>
      <w:tr w14:paraId="6C34C6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53" w:hRule="atLeast"/>
          <w:jc w:val="center"/>
        </w:trPr>
        <w:tc>
          <w:tcPr>
            <w:tcW w:w="1569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B887DD">
            <w:pPr>
              <w:pStyle w:val="7"/>
              <w:bidi w:val="0"/>
              <w:rPr>
                <w:rFonts w:hint="default"/>
              </w:rPr>
            </w:pPr>
            <w:r>
              <w:rPr>
                <w:rFonts w:hint="default"/>
              </w:rPr>
              <w:t>检修记录</w:t>
            </w:r>
          </w:p>
        </w:tc>
        <w:tc>
          <w:tcPr>
            <w:tcW w:w="5128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299DAA">
            <w:pPr>
              <w:pStyle w:val="7"/>
              <w:bidi w:val="0"/>
              <w:rPr>
                <w:rFonts w:hint="default"/>
              </w:rPr>
            </w:pPr>
            <w:r>
              <w:rPr>
                <w:rFonts w:hint="default"/>
              </w:rPr>
              <w:t>检修单号、检修日期、检修内容、维修费用、检修人</w:t>
            </w:r>
          </w:p>
        </w:tc>
        <w:tc>
          <w:tcPr>
            <w:tcW w:w="1821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6DD47E">
            <w:pPr>
              <w:pStyle w:val="7"/>
              <w:bidi w:val="0"/>
              <w:rPr>
                <w:rFonts w:hint="default"/>
              </w:rPr>
            </w:pPr>
            <w:r>
              <w:rPr>
                <w:rFonts w:hint="default"/>
              </w:rPr>
              <w:t>检修单号</w:t>
            </w:r>
          </w:p>
        </w:tc>
      </w:tr>
      <w:tr w14:paraId="3EA73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53" w:hRule="atLeast"/>
          <w:jc w:val="center"/>
        </w:trPr>
        <w:tc>
          <w:tcPr>
            <w:tcW w:w="1569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C4F1D0">
            <w:pPr>
              <w:pStyle w:val="7"/>
              <w:bidi w:val="0"/>
              <w:rPr>
                <w:rFonts w:hint="default"/>
              </w:rPr>
            </w:pPr>
            <w:r>
              <w:rPr>
                <w:rFonts w:hint="default"/>
              </w:rPr>
              <w:t>报废登记</w:t>
            </w:r>
          </w:p>
        </w:tc>
        <w:tc>
          <w:tcPr>
            <w:tcW w:w="5128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0F8ABF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报废单号、报废日期、报废原因、审批人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设备编号</w:t>
            </w:r>
          </w:p>
        </w:tc>
        <w:tc>
          <w:tcPr>
            <w:tcW w:w="1821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400024B">
            <w:pPr>
              <w:pStyle w:val="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设备编号</w:t>
            </w:r>
          </w:p>
        </w:tc>
      </w:tr>
      <w:tr w14:paraId="4E5A1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2" w:hRule="atLeast"/>
          <w:jc w:val="center"/>
        </w:trPr>
        <w:tc>
          <w:tcPr>
            <w:tcW w:w="1569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B36D62D">
            <w:pPr>
              <w:pStyle w:val="7"/>
              <w:bidi w:val="0"/>
              <w:rPr>
                <w:rFonts w:hint="default"/>
              </w:rPr>
            </w:pPr>
            <w:r>
              <w:rPr>
                <w:rFonts w:hint="default"/>
              </w:rPr>
              <w:t>调拨记录</w:t>
            </w:r>
          </w:p>
        </w:tc>
        <w:tc>
          <w:tcPr>
            <w:tcW w:w="5128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AFADB5">
            <w:pPr>
              <w:pStyle w:val="7"/>
              <w:bidi w:val="0"/>
              <w:rPr>
                <w:rFonts w:hint="default"/>
              </w:rPr>
            </w:pPr>
            <w:r>
              <w:rPr>
                <w:rFonts w:hint="default"/>
              </w:rPr>
              <w:t>调拨日期、经办人、原单位、新单位</w:t>
            </w:r>
          </w:p>
        </w:tc>
        <w:tc>
          <w:tcPr>
            <w:tcW w:w="1821" w:type="dxa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877828">
            <w:pPr>
              <w:pStyle w:val="7"/>
              <w:bidi w:val="0"/>
              <w:rPr>
                <w:rFonts w:hint="default"/>
              </w:rPr>
            </w:pPr>
            <w:r>
              <w:rPr>
                <w:rFonts w:hint="default"/>
              </w:rPr>
              <w:t>调拨单号</w:t>
            </w:r>
          </w:p>
        </w:tc>
      </w:tr>
    </w:tbl>
    <w:p w14:paraId="1C677C7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0" w:beforeLines="50" w:beforeAutospacing="0" w:after="0" w:afterLines="50" w:line="312" w:lineRule="auto"/>
        <w:textAlignment w:val="auto"/>
        <w:rPr>
          <w:rFonts w:ascii="Times New Roman" w:hAnsi="Times New Roman" w:eastAsia="宋体"/>
          <w:sz w:val="24"/>
        </w:rPr>
      </w:pPr>
    </w:p>
    <w:p w14:paraId="27A411A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0" w:beforeLines="50" w:beforeAutospacing="0" w:after="0" w:afterLines="50" w:line="312" w:lineRule="auto"/>
        <w:textAlignment w:val="auto"/>
        <w:rPr>
          <w:rFonts w:ascii="Times New Roman" w:hAnsi="Times New Roman" w:eastAsia="宋体"/>
          <w:sz w:val="24"/>
        </w:rPr>
      </w:pP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1A3DFD"/>
    <w:rsid w:val="60777609"/>
    <w:rsid w:val="65FA6864"/>
    <w:rsid w:val="6D7177FD"/>
    <w:rsid w:val="7C53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288" w:beforeAutospacing="0" w:after="192" w:afterAutospacing="0"/>
      <w:jc w:val="left"/>
    </w:pPr>
    <w:rPr>
      <w:rFonts w:hint="eastAsia" w:ascii="宋体" w:hAnsi="宋体" w:eastAsia="宋体" w:cs="宋体"/>
      <w:b/>
      <w:bCs/>
      <w:color w:val="333333"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288" w:beforeAutospacing="0" w:after="192" w:afterAutospacing="0"/>
      <w:jc w:val="left"/>
    </w:pPr>
    <w:rPr>
      <w:rFonts w:hint="eastAsia" w:ascii="宋体" w:hAnsi="宋体" w:eastAsia="宋体" w:cs="宋体"/>
      <w:b/>
      <w:bCs/>
      <w:color w:val="333333"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288" w:beforeAutospacing="0" w:after="192" w:afterAutospacing="0"/>
      <w:jc w:val="left"/>
    </w:pPr>
    <w:rPr>
      <w:rFonts w:hint="eastAsia" w:ascii="宋体" w:hAnsi="宋体" w:eastAsia="宋体" w:cs="宋体"/>
      <w:b/>
      <w:bCs/>
      <w:color w:val="333333"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9">
    <w:name w:val="Default Paragraph Font"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qFormat/>
    <w:uiPriority w:val="0"/>
    <w:pPr>
      <w:spacing w:before="0" w:beforeAutospacing="1" w:after="192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935</Words>
  <Characters>995</Characters>
  <Lines>0</Lines>
  <Paragraphs>0</Paragraphs>
  <TotalTime>1</TotalTime>
  <ScaleCrop>false</ScaleCrop>
  <LinksUpToDate>false</LinksUpToDate>
  <CharactersWithSpaces>1065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2026-01-01T08:57:00Z</dcterms:created>
  <dc:creator>袁志刚</dc:creator>
  <cp:lastModifiedBy>独忠ꦿོ</cp:lastModifiedBy>
  <dcterms:modified xsi:type="dcterms:W3CDTF">2026-01-01T14:02:15Z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eyJoZGlkIjoiZDkwM2Q5N2RiYzkyMTJlY2I5MzUxOGFiOTUxNzFkYWUiLCJ1c2VySWQiOiI1MzE1NjkzODgifQ==</vt:lpwstr>
  </property>
  <property fmtid="{D5CDD505-2E9C-101B-9397-08002B2CF9AE}" pid="4" name="ICV">
    <vt:lpwstr>7C1995FC159F41FE8E6A13162572CE87_12</vt:lpwstr>
  </property>
</Properties>
</file>