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5C62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逻辑结构设计文档 - 第9组</w:t>
      </w:r>
    </w:p>
    <w:p w14:paraId="0043F61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1. 概述</w:t>
      </w:r>
    </w:p>
    <w:p w14:paraId="044998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本阶段的任务是将概念结构设计阶段完成的全局 E-R 图转换为 MySQL 数据库支持的关系模型。转换过程中遵循数据库设计规范，确保所有关系模式至少达到</w:t>
      </w:r>
      <w:r>
        <w:rPr>
          <w:rStyle w:val="10"/>
          <w:rFonts w:hint="default" w:ascii="Times New Roman" w:hAnsi="Times New Roman" w:eastAsia="宋体" w:cs="宋体"/>
          <w:sz w:val="24"/>
        </w:rPr>
        <w:t>第三范式 (3NF)</w:t>
      </w:r>
      <w:r>
        <w:rPr>
          <w:rFonts w:hint="default" w:ascii="Times New Roman" w:hAnsi="Times New Roman" w:eastAsia="宋体" w:cs="宋体"/>
          <w:sz w:val="24"/>
        </w:rPr>
        <w:t>，以消除数据冗余和操作异常。</w:t>
      </w:r>
    </w:p>
    <w:p w14:paraId="14F4EE5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 关系模式转化规则</w:t>
      </w:r>
    </w:p>
    <w:p w14:paraId="062C8FA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按照 E-R 图向关系模式转换的原则，具体规则如下：</w:t>
      </w:r>
    </w:p>
    <w:p w14:paraId="3E1880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479" w:leftChars="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实体转换</w:t>
      </w:r>
      <w:r>
        <w:rPr>
          <w:rFonts w:hint="default" w:ascii="Times New Roman" w:hAnsi="Times New Roman" w:eastAsia="宋体" w:cs="宋体"/>
          <w:sz w:val="24"/>
        </w:rPr>
        <w:t>：每个独立实体转换为一个独立的关系模式。</w:t>
      </w:r>
    </w:p>
    <w:p w14:paraId="5EE83E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479" w:leftChars="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1:n 联系转换</w:t>
      </w:r>
      <w:r>
        <w:rPr>
          <w:rFonts w:hint="default" w:ascii="Times New Roman" w:hAnsi="Times New Roman" w:eastAsia="宋体" w:cs="宋体"/>
          <w:sz w:val="24"/>
        </w:rPr>
        <w:t>：在“n”端实体对应的关系模式中引入“1”端实体的标识符作为外键 。</w:t>
      </w:r>
    </w:p>
    <w:p w14:paraId="1665C3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479" w:leftChars="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m:n 联系转换</w:t>
      </w:r>
      <w:r>
        <w:rPr>
          <w:rFonts w:hint="default" w:ascii="Times New Roman" w:hAnsi="Times New Roman" w:eastAsia="宋体" w:cs="宋体"/>
          <w:sz w:val="24"/>
        </w:rPr>
        <w:t>：将联系转换为一个独立的关系模式（如调拨记录），其属性包括联系双方的主码及联系自身的属性 。</w:t>
      </w:r>
    </w:p>
    <w:p w14:paraId="76ECBF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479" w:leftChars="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1:1 联系转换</w:t>
      </w:r>
      <w:r>
        <w:rPr>
          <w:rFonts w:hint="default" w:ascii="Times New Roman" w:hAnsi="Times New Roman" w:eastAsia="宋体" w:cs="宋体"/>
          <w:sz w:val="24"/>
        </w:rPr>
        <w:t>：针对报废业务，将报废表的主码设为设备表的主码，实现强制性一对一约束 。</w:t>
      </w:r>
    </w:p>
    <w:p w14:paraId="2EE2C2FA">
      <w:pPr>
        <w:pStyle w:val="5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转换后的关系模式</w:t>
      </w:r>
    </w:p>
    <w:p w14:paraId="0312290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jc w:val="center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074285" cy="3068955"/>
            <wp:effectExtent l="0" t="0" r="635" b="9525"/>
            <wp:docPr id="1" name="图片 1" descr="9b165a59-1bab-482f-bd37-5a7d68218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b165a59-1bab-482f-bd37-5a7d682185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428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B414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jc w:val="center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 w:eastAsia="宋体"/>
          <w:sz w:val="24"/>
          <w:lang w:val="en-US" w:eastAsia="zh-CN"/>
        </w:rPr>
        <w:t>图1 设备管理系统关系模式图示</w:t>
      </w:r>
    </w:p>
    <w:p w14:paraId="4F1460C7">
      <w:pPr>
        <w:pStyle w:val="6"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基础信息模块</w:t>
      </w:r>
      <w:r>
        <w:rPr>
          <w:rFonts w:hint="default" w:ascii="Times New Roman" w:hAnsi="Times New Roman" w:eastAsia="宋体" w:cs="宋体"/>
          <w:b w:val="0"/>
          <w:bCs/>
          <w:sz w:val="24"/>
        </w:rPr>
        <w:t>（注：下划线表示主码，斜体表示外码）</w:t>
      </w:r>
    </w:p>
    <w:p w14:paraId="21C3DB90"/>
    <w:p w14:paraId="411CD23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国家标准设备分类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category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3567D3E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360" w:leftChars="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分类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Fonts w:hint="default" w:ascii="Times New Roman" w:hAnsi="Times New Roman" w:eastAsia="宋体" w:cs="宋体"/>
          <w:sz w:val="24"/>
          <w:u w:val="single"/>
        </w:rPr>
        <w:t>分类编码</w:t>
      </w:r>
      <w:r>
        <w:rPr>
          <w:rFonts w:hint="default" w:ascii="Times New Roman" w:hAnsi="Times New Roman" w:eastAsia="宋体" w:cs="宋体"/>
          <w:sz w:val="24"/>
        </w:rPr>
        <w:t xml:space="preserve">, 分类名称, 预计使用年限, 残值率) </w:t>
      </w:r>
    </w:p>
    <w:p w14:paraId="1226EF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设备使用单位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department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2E84C30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360" w:leftChars="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单位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Fonts w:hint="default" w:ascii="Times New Roman" w:hAnsi="Times New Roman" w:eastAsia="宋体" w:cs="宋体"/>
          <w:sz w:val="24"/>
          <w:u w:val="single"/>
        </w:rPr>
        <w:t>单位代码</w:t>
      </w:r>
      <w:r>
        <w:rPr>
          <w:rFonts w:hint="default" w:ascii="Times New Roman" w:hAnsi="Times New Roman" w:eastAsia="宋体" w:cs="宋体"/>
          <w:sz w:val="24"/>
        </w:rPr>
        <w:t xml:space="preserve">, 单位名称, 负责人) </w:t>
      </w:r>
    </w:p>
    <w:p w14:paraId="03A46C71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3.2 设备核心模块</w:t>
      </w:r>
    </w:p>
    <w:p w14:paraId="1451D1F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360" w:leftChars="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设备信息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equipment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0E9F7BE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Fonts w:hint="default" w:ascii="Times New Roman" w:hAnsi="Times New Roman" w:eastAsia="宋体" w:cs="宋体"/>
          <w:sz w:val="24"/>
          <w:u w:val="single"/>
        </w:rPr>
        <w:t>设备编号</w:t>
      </w:r>
      <w:r>
        <w:rPr>
          <w:rFonts w:hint="default" w:ascii="Times New Roman" w:hAnsi="Times New Roman" w:eastAsia="宋体" w:cs="宋体"/>
          <w:sz w:val="24"/>
        </w:rPr>
        <w:t xml:space="preserve">, 设备名称, 规格型号, 设备状态, 购入日期, 原值, </w:t>
      </w:r>
      <w:r>
        <w:rPr>
          <w:rStyle w:val="11"/>
          <w:rFonts w:hint="default" w:ascii="Times New Roman" w:hAnsi="Times New Roman" w:eastAsia="宋体" w:cs="宋体"/>
          <w:sz w:val="24"/>
        </w:rPr>
        <w:t>当前单位代码</w:t>
      </w:r>
      <w:r>
        <w:rPr>
          <w:rFonts w:hint="default" w:ascii="Times New Roman" w:hAnsi="Times New Roman" w:eastAsia="宋体" w:cs="宋体"/>
          <w:sz w:val="24"/>
        </w:rPr>
        <w:t xml:space="preserve">, </w:t>
      </w:r>
      <w:r>
        <w:rPr>
          <w:rStyle w:val="11"/>
          <w:rFonts w:hint="default" w:ascii="Times New Roman" w:hAnsi="Times New Roman" w:eastAsia="宋体" w:cs="宋体"/>
          <w:sz w:val="24"/>
        </w:rPr>
        <w:t>分类编码</w:t>
      </w:r>
      <w:r>
        <w:rPr>
          <w:rFonts w:hint="default" w:ascii="Times New Roman" w:hAnsi="Times New Roman" w:eastAsia="宋体" w:cs="宋体"/>
          <w:sz w:val="24"/>
        </w:rPr>
        <w:t xml:space="preserve">) </w:t>
      </w:r>
    </w:p>
    <w:p w14:paraId="028341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外键说明</w:t>
      </w:r>
      <w:r>
        <w:rPr>
          <w:rFonts w:hint="default" w:ascii="Times New Roman" w:hAnsi="Times New Roman" w:eastAsia="宋体" w:cs="宋体"/>
          <w:sz w:val="24"/>
        </w:rPr>
        <w:t>：单位代码参照单位表，分类编码参照分类表。</w:t>
      </w:r>
    </w:p>
    <w:p w14:paraId="72A0AA67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3.3 业务记录模块</w:t>
      </w:r>
    </w:p>
    <w:p w14:paraId="7C3AE05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设备调拨记录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transfer_record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7EB5438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360" w:leftChars="0" w:firstLine="416" w:firstLineChars="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调拨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Fonts w:hint="default" w:ascii="Times New Roman" w:hAnsi="Times New Roman" w:eastAsia="宋体" w:cs="宋体"/>
          <w:sz w:val="24"/>
          <w:u w:val="single"/>
        </w:rPr>
        <w:t>调拨单号</w:t>
      </w:r>
      <w:r>
        <w:rPr>
          <w:rFonts w:hint="default" w:ascii="Times New Roman" w:hAnsi="Times New Roman" w:eastAsia="宋体" w:cs="宋体"/>
          <w:sz w:val="24"/>
        </w:rPr>
        <w:t xml:space="preserve">, </w:t>
      </w:r>
      <w:r>
        <w:rPr>
          <w:rStyle w:val="11"/>
          <w:rFonts w:hint="default" w:ascii="Times New Roman" w:hAnsi="Times New Roman" w:eastAsia="宋体" w:cs="宋体"/>
          <w:sz w:val="24"/>
        </w:rPr>
        <w:t>设备编号</w:t>
      </w:r>
      <w:r>
        <w:rPr>
          <w:rFonts w:hint="default" w:ascii="Times New Roman" w:hAnsi="Times New Roman" w:eastAsia="宋体" w:cs="宋体"/>
          <w:sz w:val="24"/>
        </w:rPr>
        <w:t xml:space="preserve">, </w:t>
      </w:r>
      <w:r>
        <w:rPr>
          <w:rStyle w:val="11"/>
          <w:rFonts w:hint="default" w:ascii="Times New Roman" w:hAnsi="Times New Roman" w:eastAsia="宋体" w:cs="宋体"/>
          <w:sz w:val="24"/>
        </w:rPr>
        <w:t>原单位代码</w:t>
      </w:r>
      <w:r>
        <w:rPr>
          <w:rFonts w:hint="default" w:ascii="Times New Roman" w:hAnsi="Times New Roman" w:eastAsia="宋体" w:cs="宋体"/>
          <w:sz w:val="24"/>
        </w:rPr>
        <w:t xml:space="preserve">, </w:t>
      </w:r>
      <w:r>
        <w:rPr>
          <w:rStyle w:val="11"/>
          <w:rFonts w:hint="default" w:ascii="Times New Roman" w:hAnsi="Times New Roman" w:eastAsia="宋体" w:cs="宋体"/>
          <w:sz w:val="24"/>
        </w:rPr>
        <w:t>新单位代码</w:t>
      </w:r>
      <w:r>
        <w:rPr>
          <w:rFonts w:hint="default" w:ascii="Times New Roman" w:hAnsi="Times New Roman" w:eastAsia="宋体" w:cs="宋体"/>
          <w:sz w:val="24"/>
        </w:rPr>
        <w:t xml:space="preserve">, 调拨日期, 变动类型, 经办人, 调拨原因) </w:t>
      </w:r>
    </w:p>
    <w:p w14:paraId="71A63B7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外键说明</w:t>
      </w:r>
      <w:r>
        <w:rPr>
          <w:rFonts w:hint="default"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原、新</w:t>
      </w:r>
      <w:r>
        <w:rPr>
          <w:rFonts w:hint="default" w:ascii="Times New Roman" w:hAnsi="Times New Roman" w:eastAsia="宋体" w:cs="宋体"/>
          <w:sz w:val="24"/>
        </w:rPr>
        <w:t>单位代码参照单位表，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编码参照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表。</w:t>
      </w:r>
    </w:p>
    <w:p w14:paraId="2370956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设备检修记录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maintenance_record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10D31C4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360" w:leftChars="0" w:firstLine="416" w:firstLineChars="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检修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Fonts w:hint="default" w:ascii="Times New Roman" w:hAnsi="Times New Roman" w:eastAsia="宋体" w:cs="宋体"/>
          <w:sz w:val="24"/>
          <w:u w:val="single"/>
        </w:rPr>
        <w:t>检修单号</w:t>
      </w:r>
      <w:r>
        <w:rPr>
          <w:rFonts w:hint="default" w:ascii="Times New Roman" w:hAnsi="Times New Roman" w:eastAsia="宋体" w:cs="宋体"/>
          <w:sz w:val="24"/>
        </w:rPr>
        <w:t xml:space="preserve">, </w:t>
      </w:r>
      <w:r>
        <w:rPr>
          <w:rStyle w:val="11"/>
          <w:rFonts w:hint="default" w:ascii="Times New Roman" w:hAnsi="Times New Roman" w:eastAsia="宋体" w:cs="宋体"/>
          <w:sz w:val="24"/>
        </w:rPr>
        <w:t>设备编号</w:t>
      </w:r>
      <w:r>
        <w:rPr>
          <w:rFonts w:hint="default" w:ascii="Times New Roman" w:hAnsi="Times New Roman" w:eastAsia="宋体" w:cs="宋体"/>
          <w:sz w:val="24"/>
        </w:rPr>
        <w:t xml:space="preserve">, 检修日期, 检修内容描述, 检修费用, 检修人) </w:t>
      </w:r>
    </w:p>
    <w:p w14:paraId="20D148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外键说明</w:t>
      </w:r>
      <w:r>
        <w:rPr>
          <w:rFonts w:hint="default"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编码参照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表。</w:t>
      </w:r>
    </w:p>
    <w:p w14:paraId="0710D76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 w:hanging="36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设备报废信息</w:t>
      </w:r>
      <w:r>
        <w:rPr>
          <w:rFonts w:hint="default" w:ascii="Times New Roman" w:hAnsi="Times New Roman" w:eastAsia="宋体" w:cs="宋体"/>
          <w:sz w:val="24"/>
        </w:rPr>
        <w:t xml:space="preserve"> (</w:t>
      </w:r>
      <w:r>
        <w:rPr>
          <w:rStyle w:val="12"/>
          <w:rFonts w:hint="default" w:ascii="Times New Roman" w:hAnsi="Times New Roman" w:eastAsia="宋体" w:cs="宋体"/>
          <w:sz w:val="24"/>
        </w:rPr>
        <w:t>scrap_record</w:t>
      </w:r>
      <w:r>
        <w:rPr>
          <w:rFonts w:hint="default" w:ascii="Times New Roman" w:hAnsi="Times New Roman" w:eastAsia="宋体" w:cs="宋体"/>
          <w:sz w:val="24"/>
        </w:rPr>
        <w:t>)</w:t>
      </w:r>
    </w:p>
    <w:p w14:paraId="2EC739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firstLine="720" w:firstLineChars="30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报废</w:t>
      </w:r>
      <w:r>
        <w:rPr>
          <w:rFonts w:hint="default" w:ascii="Times New Roman" w:hAnsi="Times New Roman" w:eastAsia="宋体" w:cs="宋体"/>
          <w:sz w:val="24"/>
        </w:rPr>
        <w:t>(</w:t>
      </w:r>
      <w:r>
        <w:rPr>
          <w:rStyle w:val="11"/>
          <w:rFonts w:hint="default" w:ascii="Times New Roman" w:hAnsi="Times New Roman" w:eastAsia="宋体" w:cs="宋体"/>
          <w:sz w:val="24"/>
          <w:u w:val="single"/>
        </w:rPr>
        <w:t>设备编号</w:t>
      </w:r>
      <w:r>
        <w:rPr>
          <w:rFonts w:hint="default" w:ascii="Times New Roman" w:hAnsi="Times New Roman" w:eastAsia="宋体" w:cs="宋体"/>
          <w:sz w:val="24"/>
        </w:rPr>
        <w:t xml:space="preserve">, 报废单号, 报废日期, 审批人, 报废原因) </w:t>
      </w:r>
    </w:p>
    <w:p w14:paraId="2DA1A6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hint="default" w:ascii="Times New Roman" w:hAnsi="Times New Roman" w:eastAsia="宋体" w:cs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外键说明</w:t>
      </w:r>
      <w:r>
        <w:rPr>
          <w:rFonts w:hint="default" w:ascii="Times New Roman" w:hAnsi="Times New Roman" w:eastAsia="宋体" w:cs="宋体"/>
          <w:sz w:val="24"/>
        </w:rPr>
        <w:t>：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编码参照</w:t>
      </w:r>
      <w:r>
        <w:rPr>
          <w:rFonts w:hint="eastAsia" w:ascii="Times New Roman" w:hAnsi="Times New Roman" w:eastAsia="宋体" w:cs="宋体"/>
          <w:sz w:val="24"/>
          <w:lang w:val="en-US" w:eastAsia="zh-CN"/>
        </w:rPr>
        <w:t>设备</w:t>
      </w:r>
      <w:r>
        <w:rPr>
          <w:rFonts w:hint="default" w:ascii="Times New Roman" w:hAnsi="Times New Roman" w:eastAsia="宋体" w:cs="宋体"/>
          <w:sz w:val="24"/>
        </w:rPr>
        <w:t>表。</w:t>
      </w:r>
    </w:p>
    <w:p w14:paraId="2A2936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特别说明</w:t>
      </w:r>
      <w:r>
        <w:rPr>
          <w:rFonts w:hint="default" w:ascii="Times New Roman" w:hAnsi="Times New Roman" w:eastAsia="宋体" w:cs="宋体"/>
          <w:sz w:val="24"/>
        </w:rPr>
        <w:t>：此处“设备编号”既是主码也是外码，体现 1:1 关系 。</w:t>
      </w:r>
    </w:p>
    <w:p w14:paraId="30DD7851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4. 数据完整性设计</w:t>
      </w:r>
    </w:p>
    <w:p w14:paraId="6856D1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为保证系统数据的准确性，逻辑设计阶段定义了以下约束：</w:t>
      </w:r>
    </w:p>
    <w:p w14:paraId="6586B0A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实体完整性</w:t>
      </w:r>
      <w:r>
        <w:rPr>
          <w:rFonts w:hint="default" w:ascii="Times New Roman" w:hAnsi="Times New Roman" w:eastAsia="宋体" w:cs="宋体"/>
          <w:sz w:val="24"/>
        </w:rPr>
        <w:t>：所有表的主码字段均不能为空且唯一 。</w:t>
      </w:r>
    </w:p>
    <w:p w14:paraId="0DD97F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参照完整性</w:t>
      </w:r>
      <w:r>
        <w:rPr>
          <w:rFonts w:hint="default" w:ascii="Times New Roman" w:hAnsi="Times New Roman" w:eastAsia="宋体" w:cs="宋体"/>
          <w:sz w:val="24"/>
        </w:rPr>
        <w:t>：</w:t>
      </w:r>
    </w:p>
    <w:p w14:paraId="5F6FDB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Fonts w:hint="default" w:ascii="Times New Roman" w:hAnsi="Times New Roman" w:eastAsia="宋体" w:cs="宋体"/>
          <w:sz w:val="24"/>
        </w:rPr>
        <w:t xml:space="preserve">调拨、检修、报废记录中的 </w:t>
      </w:r>
      <w:r>
        <w:rPr>
          <w:rStyle w:val="12"/>
          <w:rFonts w:hint="default" w:ascii="Times New Roman" w:hAnsi="Times New Roman" w:eastAsia="宋体" w:cs="宋体"/>
          <w:sz w:val="24"/>
        </w:rPr>
        <w:t>equip_id</w:t>
      </w:r>
      <w:r>
        <w:rPr>
          <w:rFonts w:hint="default" w:ascii="Times New Roman" w:hAnsi="Times New Roman" w:eastAsia="宋体" w:cs="宋体"/>
          <w:sz w:val="24"/>
        </w:rPr>
        <w:t xml:space="preserve"> 必须存在于 </w:t>
      </w:r>
      <w:r>
        <w:rPr>
          <w:rStyle w:val="12"/>
          <w:rFonts w:hint="default" w:ascii="Times New Roman" w:hAnsi="Times New Roman" w:eastAsia="宋体" w:cs="宋体"/>
          <w:sz w:val="24"/>
        </w:rPr>
        <w:t>equipment</w:t>
      </w:r>
      <w:r>
        <w:rPr>
          <w:rFonts w:hint="default" w:ascii="Times New Roman" w:hAnsi="Times New Roman" w:eastAsia="宋体" w:cs="宋体"/>
          <w:sz w:val="24"/>
        </w:rPr>
        <w:t xml:space="preserve"> 表中 。</w:t>
      </w:r>
    </w:p>
    <w:p w14:paraId="549596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Fonts w:hint="default" w:ascii="Times New Roman" w:hAnsi="Times New Roman" w:eastAsia="宋体" w:cs="宋体"/>
          <w:sz w:val="24"/>
        </w:rPr>
        <w:t xml:space="preserve">设备表中的 </w:t>
      </w:r>
      <w:r>
        <w:rPr>
          <w:rStyle w:val="12"/>
          <w:rFonts w:hint="default" w:ascii="Times New Roman" w:hAnsi="Times New Roman" w:eastAsia="宋体" w:cs="宋体"/>
          <w:sz w:val="24"/>
        </w:rPr>
        <w:t>unit_code</w:t>
      </w:r>
      <w:r>
        <w:rPr>
          <w:rFonts w:hint="default" w:ascii="Times New Roman" w:hAnsi="Times New Roman" w:eastAsia="宋体" w:cs="宋体"/>
          <w:sz w:val="24"/>
        </w:rPr>
        <w:t xml:space="preserve"> 和 </w:t>
      </w:r>
      <w:r>
        <w:rPr>
          <w:rStyle w:val="12"/>
          <w:rFonts w:hint="default" w:ascii="Times New Roman" w:hAnsi="Times New Roman" w:eastAsia="宋体" w:cs="宋体"/>
          <w:sz w:val="24"/>
        </w:rPr>
        <w:t>category_id</w:t>
      </w:r>
      <w:r>
        <w:rPr>
          <w:rFonts w:hint="default" w:ascii="Times New Roman" w:hAnsi="Times New Roman" w:eastAsia="宋体" w:cs="宋体"/>
          <w:sz w:val="24"/>
        </w:rPr>
        <w:t xml:space="preserve"> 必须分别在单位表和分类表中存在 。</w:t>
      </w:r>
    </w:p>
    <w:p w14:paraId="284DCB0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用户定义完整性</w:t>
      </w:r>
      <w:r>
        <w:rPr>
          <w:rFonts w:hint="default" w:ascii="Times New Roman" w:hAnsi="Times New Roman" w:eastAsia="宋体" w:cs="宋体"/>
          <w:sz w:val="24"/>
        </w:rPr>
        <w:t>：</w:t>
      </w:r>
    </w:p>
    <w:p w14:paraId="0DCB4B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Style w:val="10"/>
          <w:rFonts w:hint="default" w:ascii="Times New Roman" w:hAnsi="Times New Roman" w:eastAsia="宋体" w:cs="宋体"/>
          <w:sz w:val="24"/>
        </w:rPr>
        <w:t>状态约束</w:t>
      </w:r>
      <w:r>
        <w:rPr>
          <w:rFonts w:hint="default" w:ascii="Times New Roman" w:hAnsi="Times New Roman" w:eastAsia="宋体" w:cs="宋体"/>
          <w:sz w:val="24"/>
        </w:rPr>
        <w:t>：设备状态限定为“在用”、“维修”、“报废” 。</w:t>
      </w:r>
    </w:p>
    <w:p w14:paraId="1195FD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Style w:val="10"/>
          <w:rFonts w:hint="default" w:ascii="Times New Roman" w:hAnsi="Times New Roman" w:eastAsia="宋体" w:cs="宋体"/>
          <w:sz w:val="24"/>
        </w:rPr>
        <w:t>数值约束</w:t>
      </w:r>
      <w:r>
        <w:rPr>
          <w:rFonts w:hint="default" w:ascii="Times New Roman" w:hAnsi="Times New Roman" w:eastAsia="宋体" w:cs="宋体"/>
          <w:sz w:val="24"/>
        </w:rPr>
        <w:t>：原值、预计使用年限必须大于 0 。</w:t>
      </w:r>
    </w:p>
    <w:p w14:paraId="2886055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Style w:val="10"/>
          <w:rFonts w:hint="default" w:ascii="Times New Roman" w:hAnsi="Times New Roman" w:eastAsia="宋体" w:cs="宋体"/>
          <w:sz w:val="24"/>
        </w:rPr>
        <w:t>唯一约束</w:t>
      </w:r>
      <w:r>
        <w:rPr>
          <w:rFonts w:hint="default" w:ascii="Times New Roman" w:hAnsi="Times New Roman" w:eastAsia="宋体" w:cs="宋体"/>
          <w:sz w:val="24"/>
        </w:rPr>
        <w:t>：报废单号 (</w:t>
      </w:r>
      <w:r>
        <w:rPr>
          <w:rStyle w:val="12"/>
          <w:rFonts w:hint="default" w:ascii="Times New Roman" w:hAnsi="Times New Roman" w:eastAsia="宋体" w:cs="宋体"/>
          <w:sz w:val="24"/>
        </w:rPr>
        <w:t>scrap_no</w:t>
      </w:r>
      <w:r>
        <w:rPr>
          <w:rFonts w:hint="default" w:ascii="Times New Roman" w:hAnsi="Times New Roman" w:eastAsia="宋体" w:cs="宋体"/>
          <w:sz w:val="24"/>
        </w:rPr>
        <w:t>) 在全系统中唯一 。</w:t>
      </w:r>
    </w:p>
    <w:p w14:paraId="5C1F2B7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5. 范式评价</w:t>
      </w:r>
    </w:p>
    <w:p w14:paraId="5709BFA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firstLine="420" w:firstLineChars="0"/>
        <w:textAlignment w:val="auto"/>
        <w:rPr>
          <w:rFonts w:ascii="Times New Roman" w:hAnsi="Times New Roman" w:eastAsia="宋体"/>
          <w:sz w:val="24"/>
        </w:rPr>
      </w:pPr>
      <w:bookmarkStart w:id="0" w:name="_GoBack"/>
      <w:bookmarkEnd w:id="0"/>
      <w:r>
        <w:rPr>
          <w:rFonts w:hint="default" w:ascii="Times New Roman" w:hAnsi="Times New Roman" w:eastAsia="宋体" w:cs="宋体"/>
          <w:sz w:val="24"/>
        </w:rPr>
        <w:t xml:space="preserve">本设计的关系模式均满足 </w:t>
      </w:r>
      <w:r>
        <w:rPr>
          <w:rStyle w:val="10"/>
          <w:rFonts w:hint="default" w:ascii="Times New Roman" w:hAnsi="Times New Roman" w:eastAsia="宋体" w:cs="宋体"/>
          <w:sz w:val="24"/>
        </w:rPr>
        <w:t>3NF</w:t>
      </w:r>
      <w:r>
        <w:rPr>
          <w:rFonts w:hint="default" w:ascii="Times New Roman" w:hAnsi="Times New Roman" w:eastAsia="宋体" w:cs="宋体"/>
          <w:sz w:val="24"/>
        </w:rPr>
        <w:t>：</w:t>
      </w:r>
    </w:p>
    <w:p w14:paraId="29B224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Fonts w:hint="default" w:ascii="Times New Roman" w:hAnsi="Times New Roman" w:eastAsia="宋体" w:cs="宋体"/>
          <w:sz w:val="24"/>
        </w:rPr>
        <w:t>所有属性都是原子的，满足 1NF 。</w:t>
      </w:r>
    </w:p>
    <w:p w14:paraId="4D083EB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Fonts w:hint="default" w:ascii="Times New Roman" w:hAnsi="Times New Roman" w:eastAsia="宋体" w:cs="宋体"/>
          <w:sz w:val="24"/>
        </w:rPr>
        <w:t>非主属性完全函数依赖于主码，满足 2NF 。</w:t>
      </w:r>
    </w:p>
    <w:p w14:paraId="61F1698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beforeAutospacing="0" w:after="0" w:afterLines="50" w:afterAutospacing="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宋体"/>
          <w:sz w:val="24"/>
          <w:lang w:val="en-US" w:eastAsia="zh-CN"/>
        </w:rPr>
        <w:t>·</w:t>
      </w:r>
      <w:r>
        <w:rPr>
          <w:rFonts w:hint="default" w:ascii="Times New Roman" w:hAnsi="Times New Roman" w:eastAsia="宋体" w:cs="宋体"/>
          <w:sz w:val="24"/>
        </w:rPr>
        <w:t>不存在非主属性对主码的传递函数依赖，满足 3NF 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A1A7C1"/>
    <w:multiLevelType w:val="multilevel"/>
    <w:tmpl w:val="90A1A7C1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3DC07B1B"/>
    <w:multiLevelType w:val="multilevel"/>
    <w:tmpl w:val="3DC07B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2F7DD5"/>
    <w:multiLevelType w:val="multilevel"/>
    <w:tmpl w:val="6D2F7D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C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192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2026-01-01T09:34:15Z</dcterms:created>
  <dc:creator>袁志刚</dc:creator>
  <cp:lastModifiedBy>独忠ꦿོ</cp:lastModifiedBy>
  <dcterms:modified xsi:type="dcterms:W3CDTF">2026-01-01T09:50:52Z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eyJoZGlkIjoiZDkwM2Q5N2RiYzkyMTJlY2I5MzUxOGFiOTUxNzFkYWUiLCJ1c2VySWQiOiI1MzE1NjkzODgifQ==</vt:lpwstr>
  </property>
  <property fmtid="{D5CDD505-2E9C-101B-9397-08002B2CF9AE}" pid="4" name="ICV">
    <vt:lpwstr>8D2AF316F7A549B69A08F2D16C024F55_12</vt:lpwstr>
  </property>
</Properties>
</file>