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UPM Engine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UPM Engine 是 UPM 的执行引擎，它使用Kubernetes Operator 框架设计，它是一组基于 Kubernetes 的扩展套件，主要聚焦于通用有状态服务自动化和数据应用高级运维自动</w:t>
      </w:r>
      <w:r>
        <w:rPr>
          <w:rFonts w:eastAsia="等线" w:ascii="Arial" w:cs="Arial" w:hAnsi="Arial"/>
          <w:i w:val="true"/>
          <w:sz w:val="22"/>
        </w:rPr>
        <w:t>。</w:t>
      </w:r>
      <w:r>
        <w:rPr>
          <w:rFonts w:eastAsia="等线" w:ascii="Arial" w:cs="Arial" w:hAnsi="Arial"/>
          <w:sz w:val="22"/>
        </w:rPr>
        <w:t>为Kubernetes 由两个自主研发的Operator 构成的。为了更好的支持多种数据库的类型，并且支持多种数据库的集群架构，我们设计了一个通用的工作负载，来满足数据库及中间件服务的工作负载管理模式。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Kubernetes 中，无论你的负载是由单个组件还是由多个一同工作的组件构成， 你都可以在一组 </w:t>
      </w:r>
      <w:hyperlink r:id="rId4">
        <w:r>
          <w:rPr>
            <w:rFonts w:eastAsia="等线" w:ascii="Arial" w:cs="Arial" w:hAnsi="Arial"/>
            <w:b w:val="true"/>
            <w:color w:val="3370ff"/>
            <w:sz w:val="22"/>
          </w:rPr>
          <w:t>Pod</w:t>
        </w:r>
      </w:hyperlink>
      <w:r>
        <w:rPr>
          <w:rFonts w:eastAsia="等线" w:ascii="Arial" w:cs="Arial" w:hAnsi="Arial"/>
          <w:sz w:val="22"/>
        </w:rPr>
        <w:t xml:space="preserve"> 中运行它。 在 Kubernetes 中，Pod 代表的是集群上处于运行状态的一组 </w:t>
      </w:r>
      <w:hyperlink r:id="rId5">
        <w:r>
          <w:rPr>
            <w:rFonts w:eastAsia="等线" w:ascii="Arial" w:cs="Arial" w:hAnsi="Arial"/>
            <w:color w:val="3370ff"/>
            <w:sz w:val="22"/>
          </w:rPr>
          <w:t>容器</w:t>
        </w:r>
      </w:hyperlink>
      <w:r>
        <w:rPr>
          <w:rFonts w:eastAsia="等线" w:ascii="Arial" w:cs="Arial" w:hAnsi="Arial"/>
          <w:sz w:val="22"/>
        </w:rPr>
        <w:t>的集合。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在UPM 中，我们使用 Unit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Kubernetes Pod 遵循</w:t>
      </w:r>
      <w:hyperlink r:id="rId6">
        <w:r>
          <w:rPr>
            <w:rFonts w:eastAsia="等线" w:ascii="Arial" w:cs="Arial" w:hAnsi="Arial"/>
            <w:color w:val="3370ff"/>
            <w:sz w:val="22"/>
          </w:rPr>
          <w:t>预定义的生命周期</w:t>
        </w:r>
      </w:hyperlink>
      <w:r>
        <w:rPr>
          <w:rFonts w:eastAsia="等线" w:ascii="Arial" w:cs="Arial" w:hAnsi="Arial"/>
          <w:sz w:val="22"/>
        </w:rPr>
        <w:t xml:space="preserve">。 例如，当在你的集群中运行了某个 Pod，但是 Pod 所在的 </w:t>
      </w:r>
      <w:hyperlink r:id="rId7">
        <w:r>
          <w:rPr>
            <w:rFonts w:eastAsia="等线" w:ascii="Arial" w:cs="Arial" w:hAnsi="Arial"/>
            <w:color w:val="3370ff"/>
            <w:sz w:val="22"/>
          </w:rPr>
          <w:t>节点</w:t>
        </w:r>
      </w:hyperlink>
      <w:r>
        <w:rPr>
          <w:rFonts w:eastAsia="等线" w:ascii="Arial" w:cs="Arial" w:hAnsi="Arial"/>
          <w:sz w:val="22"/>
        </w:rPr>
        <w:t xml:space="preserve"> 出现致命错误时， 所有该节点上的 Pod 的状态都会变成失败。Kubernetes 将这类失败视为最终状态： 即使该节点后来恢复正常运行，你也需要创建新的 Pod 以恢复应用。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不过，为了减轻用户的使用负担，通常不需要用户直接管理每个 </w:t>
      </w:r>
      <w:r>
        <w:rPr>
          <w:rFonts w:eastAsia="Consolas" w:ascii="Consolas" w:cs="Consolas" w:hAnsi="Consolas"/>
          <w:sz w:val="22"/>
          <w:shd w:fill="EFF0F1"/>
        </w:rPr>
        <w:t>Pod</w:t>
      </w:r>
      <w:r>
        <w:rPr>
          <w:rFonts w:eastAsia="等线" w:ascii="Arial" w:cs="Arial" w:hAnsi="Arial"/>
          <w:sz w:val="22"/>
        </w:rPr>
        <w:t>。 而是使用</w:t>
      </w:r>
      <w:r>
        <w:rPr>
          <w:rFonts w:eastAsia="等线" w:ascii="Arial" w:cs="Arial" w:hAnsi="Arial"/>
          <w:b w:val="true"/>
          <w:sz w:val="22"/>
        </w:rPr>
        <w:t>负载资源</w:t>
      </w:r>
      <w:r>
        <w:rPr>
          <w:rFonts w:eastAsia="等线" w:ascii="Arial" w:cs="Arial" w:hAnsi="Arial"/>
          <w:sz w:val="22"/>
        </w:rPr>
        <w:t xml:space="preserve">来替用户管理一组 Pod。 这些负载资源通过配置 </w:t>
      </w:r>
      <w:hyperlink r:id="rId8">
        <w:r>
          <w:rPr>
            <w:rFonts w:eastAsia="等线" w:ascii="Arial" w:cs="Arial" w:hAnsi="Arial"/>
            <w:color w:val="3370ff"/>
            <w:sz w:val="22"/>
          </w:rPr>
          <w:t>控制器</w:t>
        </w:r>
      </w:hyperlink>
      <w:r>
        <w:rPr>
          <w:rFonts w:eastAsia="等线" w:ascii="Arial" w:cs="Arial" w:hAnsi="Arial"/>
          <w:sz w:val="22"/>
        </w:rPr>
        <w:t xml:space="preserve"> 来确保正确类型的、处于运行状态的 Pod 个数是正确的，与用户所指定的状态相一致。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Operator 提供了多种自定义资源定义 (CRD)，特别是</w:t>
      </w:r>
      <w:r>
        <w:rPr>
          <w:rFonts w:eastAsia="Consolas" w:ascii="Consolas" w:cs="Consolas" w:hAnsi="Consolas"/>
          <w:sz w:val="22"/>
          <w:shd w:fill="EFF0F1"/>
        </w:rPr>
        <w:t>UnitSet</w:t>
      </w:r>
      <w:r>
        <w:rPr>
          <w:rFonts w:eastAsia="等线" w:ascii="Arial" w:cs="Arial" w:hAnsi="Arial"/>
          <w:sz w:val="22"/>
        </w:rPr>
        <w:t>.它是您在使用 Unit Operator 时与之交互的主要自定义资源 (CR)。</w:t>
      </w:r>
      <w:r>
        <w:rPr>
          <w:rFonts w:eastAsia="Consolas" w:ascii="Consolas" w:cs="Consolas" w:hAnsi="Consolas"/>
          <w:sz w:val="22"/>
          <w:shd w:fill="EFF0F1"/>
        </w:rPr>
        <w:t>UnitSet</w:t>
      </w:r>
      <w:r>
        <w:rPr>
          <w:rFonts w:eastAsia="等线" w:ascii="Arial" w:cs="Arial" w:hAnsi="Arial"/>
          <w:sz w:val="22"/>
        </w:rPr>
        <w:t xml:space="preserve"> 考虑到可配置和部署的软件组件的数量，其本质上是复杂的。。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下图概述了构成</w:t>
      </w:r>
      <w:r>
        <w:rPr>
          <w:rFonts w:eastAsia="Consolas" w:ascii="Consolas" w:cs="Consolas" w:hAnsi="Consolas"/>
          <w:sz w:val="22"/>
          <w:shd w:fill="EFF0F1"/>
        </w:rPr>
        <w:t>UnitSet</w:t>
      </w:r>
      <w:r>
        <w:rPr>
          <w:rFonts w:eastAsia="等线" w:ascii="Arial" w:cs="Arial" w:hAnsi="Arial"/>
          <w:sz w:val="22"/>
        </w:rPr>
        <w:t xml:space="preserve"> .关键部分用指向相关对象的箭头突出显示。本文档的以下部分将解释该图的各个部分。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0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48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2.jpe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kubernetes.io/zh-cn/docs/concepts/workloads/pods" TargetMode="External" Type="http://schemas.openxmlformats.org/officeDocument/2006/relationships/hyperlink"/><Relationship Id="rId5" Target="https://kubernetes.io/zh-cn/docs/concepts/containers/" TargetMode="External" Type="http://schemas.openxmlformats.org/officeDocument/2006/relationships/hyperlink"/><Relationship Id="rId6" Target="https://kubernetes.io/zh-cn/docs/concepts/workloads/pods/pod-lifecycle/" TargetMode="External" Type="http://schemas.openxmlformats.org/officeDocument/2006/relationships/hyperlink"/><Relationship Id="rId7" Target="https://kubernetes.io/zh-cn/docs/concepts/architecture/nodes/" TargetMode="External" Type="http://schemas.openxmlformats.org/officeDocument/2006/relationships/hyperlink"/><Relationship Id="rId8" Target="https://kubernetes.io/zh-cn/docs/concepts/architecture/controller/" TargetMode="External" Type="http://schemas.openxmlformats.org/officeDocument/2006/relationships/hyperlink"/><Relationship Id="rId9" Target="media/image1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2026-03-27T05:39:40Z</dcterms:created>
  <dc:creator>Apache POI</dc:creator>
</cp:coreProperties>
</file>