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F519" w14:textId="30E8E4F1" w:rsidR="0016331D" w:rsidRDefault="00000000">
      <w:pPr>
        <w:spacing w:before="2880" w:after="3120"/>
        <w:jc w:val="center"/>
      </w:pPr>
      <w:r>
        <w:rPr>
          <w:rFonts w:ascii="Source Sans 3" w:eastAsia="Source Sans 3" w:hAnsi="Source Sans 3" w:cs="Source Sans 3"/>
          <w:b/>
          <w:bCs/>
          <w:color w:val="1428A0"/>
          <w:sz w:val="56"/>
          <w:szCs w:val="56"/>
        </w:rPr>
        <w:t>Continuous Kidney Replacement Therapy Protocol</w:t>
      </w:r>
    </w:p>
    <w:tbl>
      <w:tblPr>
        <w:tblW w:w="5443" w:type="dxa"/>
        <w:tblInd w:w="362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16331D" w14:paraId="1B10F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6" w:type="dxa"/>
            <w:shd w:val="clear" w:color="auto" w:fill="E8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1A" w14:textId="77777777" w:rsidR="0016331D" w:rsidRDefault="00000000">
            <w:pPr>
              <w:spacing w:line="264" w:lineRule="auto"/>
              <w:jc w:val="center"/>
            </w:pPr>
            <w:r>
              <w:rPr>
                <w:rFonts w:ascii="Source Sans 3" w:eastAsia="Source Sans 3" w:hAnsi="Source Sans 3" w:cs="Source Sans 3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shd w:val="clear" w:color="auto" w:fill="E8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1B" w14:textId="77777777" w:rsidR="0016331D" w:rsidRDefault="00000000">
            <w:pPr>
              <w:spacing w:line="264" w:lineRule="auto"/>
              <w:jc w:val="center"/>
            </w:pPr>
            <w:r>
              <w:rPr>
                <w:rFonts w:ascii="Source Sans 3" w:eastAsia="Source Sans 3" w:hAnsi="Source Sans 3" w:cs="Source Sans 3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16331D" w14:paraId="1B10F51F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1D" w14:textId="739B28FF" w:rsidR="0016331D" w:rsidRPr="008C1E18" w:rsidRDefault="00000000">
            <w:pPr>
              <w:spacing w:line="264" w:lineRule="auto"/>
              <w:jc w:val="center"/>
              <w:rPr>
                <w:rFonts w:ascii="Source Sans 3" w:hAnsi="Source Sans 3" w:hint="eastAsia"/>
              </w:rPr>
            </w:pPr>
            <w:r w:rsidRPr="00F24C18">
              <w:rPr>
                <w:rFonts w:ascii="Source Sans 3" w:eastAsia="Source Sans 3" w:hAnsi="Source Sans 3" w:cs="Source Sans 3"/>
                <w:color w:val="000000"/>
                <w:sz w:val="22"/>
                <w:szCs w:val="22"/>
              </w:rPr>
              <w:t xml:space="preserve">Initial </w:t>
            </w:r>
            <w:r w:rsidR="008C1E18">
              <w:rPr>
                <w:rFonts w:ascii="Source Sans 3" w:hAnsi="Source Sans 3" w:cs="Source Sans 3" w:hint="eastAsia"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1E" w14:textId="2916A1EA" w:rsidR="0016331D" w:rsidRPr="00F24C18" w:rsidRDefault="0016331D">
            <w:pPr>
              <w:spacing w:line="264" w:lineRule="auto"/>
              <w:jc w:val="center"/>
              <w:rPr>
                <w:rFonts w:ascii="Source Sans 3" w:hAnsi="Source Sans 3"/>
              </w:rPr>
            </w:pPr>
          </w:p>
        </w:tc>
      </w:tr>
      <w:tr w:rsidR="00F24C18" w14:paraId="284DEFCC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0EE7E" w14:textId="77777777" w:rsidR="00F24C18" w:rsidRPr="00F24C18" w:rsidRDefault="00F24C18">
            <w:pPr>
              <w:spacing w:line="264" w:lineRule="auto"/>
              <w:jc w:val="center"/>
              <w:rPr>
                <w:rFonts w:ascii="Source Sans 3" w:eastAsia="Source Sans 3" w:hAnsi="Source Sans 3" w:cs="Source Sans 3"/>
                <w:color w:val="000000"/>
                <w:sz w:val="22"/>
                <w:szCs w:val="22"/>
              </w:rPr>
            </w:pP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A2BC5" w14:textId="77777777" w:rsidR="00F24C18" w:rsidRPr="00F24C18" w:rsidRDefault="00F24C18">
            <w:pPr>
              <w:spacing w:line="264" w:lineRule="auto"/>
              <w:jc w:val="center"/>
              <w:rPr>
                <w:rFonts w:ascii="Source Sans 3" w:eastAsia="Source Sans 3" w:hAnsi="Source Sans 3" w:cs="Source Sans 3"/>
                <w:color w:val="000000"/>
                <w:sz w:val="22"/>
                <w:szCs w:val="22"/>
              </w:rPr>
            </w:pPr>
          </w:p>
        </w:tc>
      </w:tr>
      <w:tr w:rsidR="00F24C18" w14:paraId="212FE488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B5C18" w14:textId="77777777" w:rsidR="00F24C18" w:rsidRPr="00F24C18" w:rsidRDefault="00F24C18">
            <w:pPr>
              <w:spacing w:line="264" w:lineRule="auto"/>
              <w:jc w:val="center"/>
              <w:rPr>
                <w:rFonts w:ascii="Source Sans 3" w:eastAsia="Source Sans 3" w:hAnsi="Source Sans 3" w:cs="Source Sans 3"/>
                <w:color w:val="000000"/>
                <w:sz w:val="22"/>
                <w:szCs w:val="22"/>
              </w:rPr>
            </w:pP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8CCA7" w14:textId="77777777" w:rsidR="00F24C18" w:rsidRPr="00F24C18" w:rsidRDefault="00F24C18">
            <w:pPr>
              <w:spacing w:line="264" w:lineRule="auto"/>
              <w:jc w:val="center"/>
              <w:rPr>
                <w:rFonts w:ascii="Source Sans 3" w:eastAsia="Source Sans 3" w:hAnsi="Source Sans 3" w:cs="Source Sans 3"/>
                <w:color w:val="000000"/>
                <w:sz w:val="22"/>
                <w:szCs w:val="22"/>
              </w:rPr>
            </w:pPr>
          </w:p>
        </w:tc>
      </w:tr>
      <w:tr w:rsidR="00F24C18" w14:paraId="76C08F4B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47942" w14:textId="665F77D3" w:rsidR="00F24C18" w:rsidRPr="00F24C18" w:rsidRDefault="00F24C18">
            <w:pPr>
              <w:spacing w:line="264" w:lineRule="auto"/>
              <w:jc w:val="center"/>
              <w:rPr>
                <w:rFonts w:ascii="Source Sans 3" w:eastAsia="Source Sans 3" w:hAnsi="Source Sans 3" w:cs="Source Sans 3"/>
                <w:color w:val="000000"/>
                <w:sz w:val="22"/>
                <w:szCs w:val="22"/>
              </w:rPr>
            </w:pPr>
            <w:r w:rsidRPr="00F24C18">
              <w:rPr>
                <w:rFonts w:ascii="Source Sans 3" w:eastAsia="맑은 고딕" w:hAnsi="Source Sans 3" w:cs="맑은 고딕"/>
                <w:color w:val="000000"/>
                <w:sz w:val="22"/>
                <w:szCs w:val="22"/>
              </w:rPr>
              <w:t>th</w:t>
            </w:r>
            <w:r w:rsidRPr="00F24C18">
              <w:rPr>
                <w:rFonts w:ascii="Source Sans 3" w:eastAsia="Source Sans 3" w:hAnsi="Source Sans 3" w:cs="Source Sans 3"/>
                <w:color w:val="000000"/>
                <w:sz w:val="22"/>
                <w:szCs w:val="22"/>
              </w:rPr>
              <w:t xml:space="preserve">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8CC1" w14:textId="5D5BE2BF" w:rsidR="00F24C18" w:rsidRPr="00F24C18" w:rsidRDefault="00F24C18">
            <w:pPr>
              <w:spacing w:line="264" w:lineRule="auto"/>
              <w:jc w:val="center"/>
              <w:rPr>
                <w:rFonts w:ascii="Source Sans 3" w:eastAsia="Source Sans 3" w:hAnsi="Source Sans 3" w:cs="Source Sans 3"/>
                <w:color w:val="000000"/>
                <w:sz w:val="22"/>
                <w:szCs w:val="22"/>
              </w:rPr>
            </w:pPr>
            <w:r w:rsidRPr="00F24C18">
              <w:rPr>
                <w:rFonts w:ascii="Source Sans 3" w:eastAsia="Source Sans 3" w:hAnsi="Source Sans 3" w:cs="Source Sans 3"/>
                <w:color w:val="000000"/>
                <w:sz w:val="22"/>
                <w:szCs w:val="22"/>
              </w:rPr>
              <w:t>2026.04.26</w:t>
            </w:r>
          </w:p>
        </w:tc>
      </w:tr>
    </w:tbl>
    <w:p w14:paraId="1B10F520" w14:textId="77777777" w:rsidR="0016331D" w:rsidRDefault="0016331D">
      <w:pPr>
        <w:sectPr w:rsidR="0016331D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B10F521" w14:textId="1F04D58E" w:rsidR="0016331D" w:rsidRPr="00FD0EAB" w:rsidRDefault="00000000">
      <w:pPr>
        <w:pStyle w:val="a4"/>
        <w:numPr>
          <w:ilvl w:val="0"/>
          <w:numId w:val="2"/>
        </w:numPr>
        <w:rPr>
          <w:caps/>
        </w:rPr>
      </w:pPr>
      <w:r w:rsidRPr="00FD0EAB">
        <w:rPr>
          <w:rFonts w:ascii="Source Sans 3" w:eastAsia="Source Sans 3" w:hAnsi="Source Sans 3" w:cs="Source Sans 3"/>
          <w:b/>
          <w:bCs/>
          <w:caps/>
          <w:color w:val="1428A0"/>
          <w:sz w:val="32"/>
          <w:szCs w:val="32"/>
        </w:rPr>
        <w:lastRenderedPageBreak/>
        <w:t xml:space="preserve">Initiation of </w:t>
      </w:r>
      <w:r w:rsidR="0029270E" w:rsidRPr="0029270E">
        <w:rPr>
          <w:rFonts w:ascii="Source Sans 3" w:eastAsia="Source Sans 3" w:hAnsi="Source Sans 3" w:cs="Source Sans 3"/>
          <w:b/>
          <w:bCs/>
          <w:caps/>
          <w:color w:val="1428A0"/>
          <w:sz w:val="32"/>
          <w:szCs w:val="32"/>
        </w:rPr>
        <w:t xml:space="preserve">Continuous Kidney Replacement Therapy </w:t>
      </w:r>
    </w:p>
    <w:p w14:paraId="1B10F522" w14:textId="77777777" w:rsidR="0016331D" w:rsidRDefault="00000000">
      <w:pPr>
        <w:pStyle w:val="a4"/>
        <w:numPr>
          <w:ilvl w:val="1"/>
          <w:numId w:val="2"/>
        </w:numPr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Indications for CKRT</w:t>
      </w:r>
    </w:p>
    <w:p w14:paraId="1B10F523" w14:textId="77777777" w:rsidR="0016331D" w:rsidRPr="00C31DED" w:rsidRDefault="00000000">
      <w:pPr>
        <w:pStyle w:val="a4"/>
        <w:numPr>
          <w:ilvl w:val="2"/>
          <w:numId w:val="2"/>
        </w:numPr>
        <w:rPr>
          <w:b/>
          <w:bCs/>
        </w:r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General indication</w:t>
      </w:r>
      <w:r w:rsidRPr="002051C3">
        <w:rPr>
          <w:rFonts w:ascii="Source Sans 3" w:eastAsia="Source Sans 3" w:hAnsi="Source Sans 3" w:cs="Source Sans 3"/>
          <w:color w:val="000000"/>
          <w:sz w:val="24"/>
          <w:szCs w:val="24"/>
        </w:rPr>
        <w:t>:</w:t>
      </w: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 xml:space="preserve"> </w:t>
      </w:r>
      <w:r w:rsidRPr="002051C3">
        <w:rPr>
          <w:rFonts w:ascii="Source Sans 3" w:eastAsia="Source Sans 3" w:hAnsi="Source Sans 3" w:cs="Source Sans 3"/>
          <w:color w:val="000000"/>
          <w:sz w:val="24"/>
          <w:szCs w:val="24"/>
        </w:rPr>
        <w:t xml:space="preserve">kidney replacement therapy is indicated and </w:t>
      </w:r>
      <w:r w:rsidRPr="00C31DED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hemodynamic instability is present</w:t>
      </w:r>
    </w:p>
    <w:p w14:paraId="1B10F524" w14:textId="77777777" w:rsidR="0016331D" w:rsidRDefault="00000000">
      <w:pPr>
        <w:pStyle w:val="a4"/>
        <w:numPr>
          <w:ilvl w:val="2"/>
          <w:numId w:val="2"/>
        </w:numPr>
      </w:pPr>
      <w:r w:rsidRPr="002051C3">
        <w:rPr>
          <w:rFonts w:ascii="Source Sans 3" w:eastAsia="Source Sans 3" w:hAnsi="Source Sans 3" w:cs="Source Sans 3"/>
          <w:color w:val="000000"/>
          <w:sz w:val="24"/>
          <w:szCs w:val="24"/>
        </w:rPr>
        <w:t>Even when vital signs are relatively stable, CKRT should be considered</w:t>
      </w: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 xml:space="preserve"> in the following clinical settings:</w:t>
      </w:r>
    </w:p>
    <w:p w14:paraId="1B10F525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Risk of increased intracerebral pressure (IICP)</w:t>
      </w:r>
    </w:p>
    <w:p w14:paraId="1B10F526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High metabolic demand</w:t>
      </w:r>
    </w:p>
    <w:p w14:paraId="1B10F527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Severe volume overload</w:t>
      </w:r>
    </w:p>
    <w:p w14:paraId="1B10F528" w14:textId="54DAF118" w:rsidR="0016331D" w:rsidRPr="007E26FF" w:rsidRDefault="00000000" w:rsidP="007E26FF">
      <w:pPr>
        <w:pStyle w:val="a4"/>
        <w:numPr>
          <w:ilvl w:val="2"/>
          <w:numId w:val="2"/>
        </w:numPr>
        <w:ind w:left="624" w:hanging="340"/>
        <w:rPr>
          <w:sz w:val="18"/>
          <w:szCs w:val="18"/>
        </w:rPr>
      </w:pPr>
      <w:r w:rsidRPr="007E26FF">
        <w:rPr>
          <w:rFonts w:ascii="Source Sans 3" w:eastAsia="Source Sans 3" w:hAnsi="Source Sans 3" w:cs="Source Sans 3"/>
          <w:color w:val="000000"/>
          <w:sz w:val="22"/>
          <w:szCs w:val="22"/>
        </w:rPr>
        <w:t>Refer to the indications below, but final decisions on CKRT initiation and prescription should always be made in consultation with the on-call nephrology fellow responsible for CKRT, taking each patient's individual situation into account</w:t>
      </w:r>
    </w:p>
    <w:p w14:paraId="1B10F529" w14:textId="77777777" w:rsidR="0016331D" w:rsidRDefault="00000000" w:rsidP="0069140F">
      <w:pPr>
        <w:spacing w:before="360" w:after="60" w:line="276" w:lineRule="auto"/>
        <w:rPr>
          <w:rFonts w:ascii="Source Sans 3" w:hAnsi="Source Sans 3" w:cs="Source Sans 3"/>
          <w:b/>
          <w:bCs/>
          <w:color w:val="000000"/>
          <w:sz w:val="22"/>
          <w:szCs w:val="22"/>
        </w:rPr>
      </w:pPr>
      <w:r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Table 1. Clinical settings in which CKRT is preferred</w:t>
      </w:r>
    </w:p>
    <w:tbl>
      <w:tblPr>
        <w:tblStyle w:val="ac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4"/>
      </w:tblGrid>
      <w:tr w:rsidR="00E232FC" w:rsidRPr="00BE496D" w14:paraId="35E1099B" w14:textId="77777777" w:rsidTr="00360474">
        <w:tc>
          <w:tcPr>
            <w:tcW w:w="9014" w:type="dxa"/>
            <w:shd w:val="clear" w:color="auto" w:fill="BEDAFF"/>
          </w:tcPr>
          <w:p w14:paraId="4842631C" w14:textId="541FAEDC" w:rsidR="00E232FC" w:rsidRPr="00BE496D" w:rsidRDefault="00C22805" w:rsidP="00EC6BC6">
            <w:pPr>
              <w:rPr>
                <w:rFonts w:ascii="Source Sans 3" w:eastAsia="삼성명조 L" w:hAnsi="Source Sans 3"/>
                <w:b/>
                <w:sz w:val="22"/>
                <w:szCs w:val="22"/>
              </w:rPr>
            </w:pPr>
            <w:r w:rsidRPr="00BE496D">
              <w:rPr>
                <w:rFonts w:ascii="Source Sans 3" w:eastAsia="Source Sans 3" w:hAnsi="Source Sans 3" w:cs="Source Sans 3"/>
                <w:b/>
                <w:bCs/>
                <w:color w:val="000000"/>
                <w:sz w:val="22"/>
                <w:szCs w:val="22"/>
              </w:rPr>
              <w:t>Clinical settings in which CKRT is preferred</w:t>
            </w:r>
          </w:p>
        </w:tc>
      </w:tr>
      <w:tr w:rsidR="00E232FC" w:rsidRPr="00BE496D" w14:paraId="792A879B" w14:textId="77777777" w:rsidTr="00360474">
        <w:tc>
          <w:tcPr>
            <w:tcW w:w="9014" w:type="dxa"/>
          </w:tcPr>
          <w:p w14:paraId="153A5062" w14:textId="0E501C65" w:rsidR="00E232FC" w:rsidRPr="00BE496D" w:rsidRDefault="007525F1" w:rsidP="00EC6BC6">
            <w:pPr>
              <w:rPr>
                <w:rFonts w:ascii="Source Sans 3" w:eastAsia="삼성명조 L" w:hAnsi="Source Sans 3"/>
                <w:sz w:val="22"/>
                <w:szCs w:val="22"/>
              </w:rPr>
            </w:pPr>
            <w:r w:rsidRPr="00BE496D">
              <w:rPr>
                <w:rFonts w:ascii="Source Sans 3" w:eastAsiaTheme="minorHAnsi" w:hAnsi="Source Sans 3"/>
                <w:sz w:val="22"/>
                <w:szCs w:val="22"/>
              </w:rPr>
              <w:t>With / at risk for hemodynamic instability</w:t>
            </w:r>
          </w:p>
        </w:tc>
      </w:tr>
      <w:tr w:rsidR="00E232FC" w:rsidRPr="00BE496D" w14:paraId="2F12F2A0" w14:textId="77777777" w:rsidTr="00360474">
        <w:tc>
          <w:tcPr>
            <w:tcW w:w="9014" w:type="dxa"/>
          </w:tcPr>
          <w:p w14:paraId="12681CE4" w14:textId="6277EEC3" w:rsidR="000D153D" w:rsidRPr="00BE496D" w:rsidRDefault="000D153D" w:rsidP="000D153D">
            <w:pPr>
              <w:rPr>
                <w:rFonts w:ascii="Source Sans 3" w:eastAsiaTheme="minorHAnsi" w:hAnsi="Source Sans 3"/>
                <w:sz w:val="22"/>
                <w:szCs w:val="22"/>
              </w:rPr>
            </w:pPr>
            <w:r w:rsidRPr="00BE496D">
              <w:rPr>
                <w:rFonts w:ascii="Source Sans 3" w:eastAsiaTheme="minorHAnsi" w:hAnsi="Source Sans 3"/>
                <w:sz w:val="22"/>
                <w:szCs w:val="22"/>
              </w:rPr>
              <w:t>With / at risk for increased intracerebral pressure</w:t>
            </w:r>
          </w:p>
          <w:p w14:paraId="1668019F" w14:textId="003AA348" w:rsidR="00E232FC" w:rsidRPr="00BE496D" w:rsidRDefault="00BE496D" w:rsidP="000D153D">
            <w:pPr>
              <w:rPr>
                <w:rFonts w:ascii="Source Sans 3" w:eastAsia="삼성명조 L" w:hAnsi="Source Sans 3"/>
                <w:sz w:val="22"/>
                <w:szCs w:val="22"/>
              </w:rPr>
            </w:pPr>
            <w:r w:rsidRPr="00BE496D">
              <w:rPr>
                <w:rFonts w:ascii="Source Sans 3" w:eastAsiaTheme="minorHAnsi" w:hAnsi="Source Sans 3"/>
                <w:sz w:val="22"/>
                <w:szCs w:val="22"/>
              </w:rPr>
              <w:t xml:space="preserve">e.g., </w:t>
            </w:r>
            <w:r w:rsidR="000D153D" w:rsidRPr="00BE496D">
              <w:rPr>
                <w:rFonts w:ascii="Source Sans 3" w:eastAsiaTheme="minorHAnsi" w:hAnsi="Source Sans 3"/>
                <w:sz w:val="22"/>
                <w:szCs w:val="22"/>
              </w:rPr>
              <w:t>Hepatic failure, stroke or head trauma, high risk for cerebral edema</w:t>
            </w:r>
          </w:p>
        </w:tc>
      </w:tr>
      <w:tr w:rsidR="00E232FC" w:rsidRPr="00BE496D" w14:paraId="775E7FB8" w14:textId="77777777" w:rsidTr="00360474">
        <w:tc>
          <w:tcPr>
            <w:tcW w:w="9014" w:type="dxa"/>
          </w:tcPr>
          <w:p w14:paraId="5E059906" w14:textId="77777777" w:rsidR="00965B4A" w:rsidRPr="00BE496D" w:rsidRDefault="00965B4A" w:rsidP="00965B4A">
            <w:pPr>
              <w:rPr>
                <w:rFonts w:ascii="Source Sans 3" w:eastAsiaTheme="minorHAnsi" w:hAnsi="Source Sans 3"/>
                <w:sz w:val="22"/>
                <w:szCs w:val="22"/>
              </w:rPr>
            </w:pPr>
            <w:r w:rsidRPr="00BE496D">
              <w:rPr>
                <w:rFonts w:ascii="Source Sans 3" w:eastAsiaTheme="minorHAnsi" w:hAnsi="Source Sans 3"/>
                <w:sz w:val="22"/>
                <w:szCs w:val="22"/>
              </w:rPr>
              <w:t>Increased metabolic need</w:t>
            </w:r>
          </w:p>
          <w:p w14:paraId="6D7D34C6" w14:textId="668A6C7D" w:rsidR="00E232FC" w:rsidRPr="00BE496D" w:rsidRDefault="00BE496D" w:rsidP="00965B4A">
            <w:pPr>
              <w:rPr>
                <w:rFonts w:ascii="Source Sans 3" w:eastAsia="삼성명조 L" w:hAnsi="Source Sans 3"/>
                <w:sz w:val="22"/>
                <w:szCs w:val="22"/>
              </w:rPr>
            </w:pPr>
            <w:r w:rsidRPr="00BE496D">
              <w:rPr>
                <w:rFonts w:ascii="Source Sans 3" w:eastAsiaTheme="minorHAnsi" w:hAnsi="Source Sans 3"/>
                <w:sz w:val="22"/>
                <w:szCs w:val="22"/>
              </w:rPr>
              <w:t xml:space="preserve">e.g., </w:t>
            </w:r>
            <w:r w:rsidR="00965B4A" w:rsidRPr="00BE496D">
              <w:rPr>
                <w:rFonts w:ascii="Source Sans 3" w:eastAsiaTheme="minorHAnsi" w:hAnsi="Source Sans 3"/>
                <w:sz w:val="22"/>
                <w:szCs w:val="22"/>
              </w:rPr>
              <w:t>Massive burn, sepsis, multiple organ failure</w:t>
            </w:r>
          </w:p>
        </w:tc>
      </w:tr>
      <w:tr w:rsidR="00E232FC" w:rsidRPr="00BE496D" w14:paraId="1D60DFCE" w14:textId="77777777" w:rsidTr="00360474">
        <w:tc>
          <w:tcPr>
            <w:tcW w:w="9014" w:type="dxa"/>
          </w:tcPr>
          <w:p w14:paraId="520EC99D" w14:textId="77777777" w:rsidR="00C22805" w:rsidRPr="00BE496D" w:rsidRDefault="00C22805" w:rsidP="00C22805">
            <w:pPr>
              <w:rPr>
                <w:rFonts w:ascii="Source Sans 3" w:eastAsiaTheme="minorHAnsi" w:hAnsi="Source Sans 3"/>
                <w:sz w:val="22"/>
                <w:szCs w:val="22"/>
              </w:rPr>
            </w:pPr>
            <w:r w:rsidRPr="00BE496D">
              <w:rPr>
                <w:rFonts w:ascii="Source Sans 3" w:eastAsiaTheme="minorHAnsi" w:hAnsi="Source Sans 3"/>
                <w:sz w:val="22"/>
                <w:szCs w:val="22"/>
              </w:rPr>
              <w:t>Severe volume overload and high obligatory fluid intake</w:t>
            </w:r>
          </w:p>
          <w:p w14:paraId="3C9E3B97" w14:textId="6770F789" w:rsidR="00E232FC" w:rsidRPr="00BE496D" w:rsidRDefault="00BE496D" w:rsidP="00C22805">
            <w:pPr>
              <w:rPr>
                <w:rFonts w:ascii="Source Sans 3" w:eastAsia="삼성명조 L" w:hAnsi="Source Sans 3"/>
                <w:sz w:val="22"/>
                <w:szCs w:val="22"/>
              </w:rPr>
            </w:pPr>
            <w:r w:rsidRPr="00BE496D">
              <w:rPr>
                <w:rFonts w:ascii="Source Sans 3" w:eastAsiaTheme="minorHAnsi" w:hAnsi="Source Sans 3"/>
                <w:sz w:val="22"/>
                <w:szCs w:val="22"/>
              </w:rPr>
              <w:t xml:space="preserve">e.g., </w:t>
            </w:r>
            <w:r w:rsidR="00C22805" w:rsidRPr="00BE496D">
              <w:rPr>
                <w:rFonts w:ascii="Source Sans 3" w:eastAsiaTheme="minorHAnsi" w:hAnsi="Source Sans 3"/>
                <w:sz w:val="22"/>
                <w:szCs w:val="22"/>
              </w:rPr>
              <w:t>Massive volume overload, receiving large amounts of fluids or blood products, when volume manage is critical</w:t>
            </w:r>
          </w:p>
        </w:tc>
      </w:tr>
    </w:tbl>
    <w:p w14:paraId="1B10F538" w14:textId="23DDD068" w:rsidR="0016331D" w:rsidRPr="00F1671F" w:rsidRDefault="007814B5" w:rsidP="00C31DED">
      <w:pPr>
        <w:pStyle w:val="a4"/>
        <w:numPr>
          <w:ilvl w:val="4"/>
          <w:numId w:val="2"/>
        </w:numPr>
        <w:ind w:left="284" w:hanging="284"/>
        <w:rPr>
          <w:i/>
          <w:iCs/>
        </w:rPr>
      </w:pPr>
      <w:r w:rsidRPr="00125A7E">
        <w:rPr>
          <w:rFonts w:ascii="Source Sans 3" w:hAnsi="Source Sans 3" w:cs="Source Sans 3" w:hint="eastAsia"/>
          <w:b/>
          <w:bCs/>
          <w:i/>
          <w:iCs/>
          <w:color w:val="000000"/>
          <w:sz w:val="22"/>
          <w:szCs w:val="22"/>
        </w:rPr>
        <w:t>Note</w:t>
      </w:r>
      <w:r w:rsidRPr="00F1671F">
        <w:rPr>
          <w:rFonts w:ascii="Source Sans 3" w:hAnsi="Source Sans 3" w:cs="Source Sans 3" w:hint="eastAsia"/>
          <w:i/>
          <w:iCs/>
          <w:color w:val="000000"/>
          <w:sz w:val="22"/>
          <w:szCs w:val="22"/>
        </w:rPr>
        <w:t xml:space="preserve">: </w:t>
      </w:r>
      <w:r w:rsidR="00000000" w:rsidRPr="00F1671F">
        <w:rPr>
          <w:rFonts w:ascii="Source Sans 3" w:eastAsia="Source Sans 3" w:hAnsi="Source Sans 3" w:cs="Source Sans 3"/>
          <w:i/>
          <w:iCs/>
          <w:color w:val="000000"/>
          <w:sz w:val="22"/>
          <w:szCs w:val="22"/>
        </w:rPr>
        <w:t>In acute kidney injury patients with concomitant acute brain injury or IICP</w:t>
      </w:r>
      <w:r w:rsidR="00000000" w:rsidRPr="00ED7CDC">
        <w:rPr>
          <w:rFonts w:ascii="Source Sans 3" w:eastAsia="Source Sans 3" w:hAnsi="Source Sans 3" w:cs="Source Sans 3"/>
          <w:b/>
          <w:bCs/>
          <w:i/>
          <w:iCs/>
          <w:color w:val="000000"/>
          <w:sz w:val="22"/>
          <w:szCs w:val="22"/>
        </w:rPr>
        <w:t>, intermittent hemodialysis (HD) may worsen cerebral edema</w:t>
      </w:r>
      <w:r w:rsidR="00000000" w:rsidRPr="00F1671F">
        <w:rPr>
          <w:rFonts w:ascii="Source Sans 3" w:eastAsia="Source Sans 3" w:hAnsi="Source Sans 3" w:cs="Source Sans 3"/>
          <w:i/>
          <w:iCs/>
          <w:color w:val="000000"/>
          <w:sz w:val="22"/>
          <w:szCs w:val="22"/>
        </w:rPr>
        <w:t>, so CKRT is preferred</w:t>
      </w:r>
    </w:p>
    <w:p w14:paraId="1B10F539" w14:textId="0F90DA02" w:rsidR="0016331D" w:rsidRPr="00F1671F" w:rsidRDefault="00F1671F" w:rsidP="00C31DED">
      <w:pPr>
        <w:pStyle w:val="a4"/>
        <w:numPr>
          <w:ilvl w:val="4"/>
          <w:numId w:val="2"/>
        </w:numPr>
        <w:ind w:left="284" w:hanging="284"/>
        <w:rPr>
          <w:i/>
          <w:iCs/>
        </w:rPr>
      </w:pPr>
      <w:r w:rsidRPr="00125A7E">
        <w:rPr>
          <w:rFonts w:ascii="Source Sans 3" w:hAnsi="Source Sans 3" w:cs="Source Sans 3" w:hint="eastAsia"/>
          <w:b/>
          <w:bCs/>
          <w:i/>
          <w:iCs/>
          <w:color w:val="000000"/>
          <w:sz w:val="22"/>
          <w:szCs w:val="22"/>
        </w:rPr>
        <w:t>Note</w:t>
      </w:r>
      <w:r w:rsidRPr="00F1671F">
        <w:rPr>
          <w:rFonts w:ascii="Source Sans 3" w:hAnsi="Source Sans 3" w:cs="Source Sans 3" w:hint="eastAsia"/>
          <w:i/>
          <w:iCs/>
          <w:color w:val="000000"/>
          <w:sz w:val="22"/>
          <w:szCs w:val="22"/>
        </w:rPr>
        <w:t xml:space="preserve">: </w:t>
      </w:r>
      <w:r w:rsidR="00000000" w:rsidRPr="00F1671F">
        <w:rPr>
          <w:rFonts w:ascii="Source Sans 3" w:eastAsia="Source Sans 3" w:hAnsi="Source Sans 3" w:cs="Source Sans 3"/>
          <w:i/>
          <w:iCs/>
          <w:color w:val="000000"/>
          <w:sz w:val="22"/>
          <w:szCs w:val="22"/>
        </w:rPr>
        <w:t xml:space="preserve">In severe hyperkalemia accompanied by EKG changes, HD can remove larger amounts of potassium more rapidly than CKRT; therefore, in patients with </w:t>
      </w:r>
      <w:r w:rsidR="00000000" w:rsidRPr="00125A7E">
        <w:rPr>
          <w:rFonts w:ascii="Source Sans 3" w:eastAsia="Source Sans 3" w:hAnsi="Source Sans 3" w:cs="Source Sans 3"/>
          <w:b/>
          <w:bCs/>
          <w:i/>
          <w:iCs/>
          <w:color w:val="000000"/>
          <w:sz w:val="22"/>
          <w:szCs w:val="22"/>
        </w:rPr>
        <w:t>severe hyperkalemia who are not hypotensive, HD is preferable</w:t>
      </w:r>
    </w:p>
    <w:p w14:paraId="3794383F" w14:textId="77777777" w:rsidR="0029270E" w:rsidRDefault="0029270E">
      <w:pPr>
        <w:widowControl/>
        <w:wordWrap/>
        <w:autoSpaceDE/>
        <w:autoSpaceDN/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br w:type="page"/>
      </w:r>
    </w:p>
    <w:p w14:paraId="1B10F53A" w14:textId="761FA89B" w:rsidR="0016331D" w:rsidRDefault="00000000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lastRenderedPageBreak/>
        <w:t>Explanation and informed consent</w:t>
      </w:r>
    </w:p>
    <w:p w14:paraId="1B10F53B" w14:textId="00979B98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Obtain informed consent before starting CKRT</w:t>
      </w:r>
    </w:p>
    <w:p w14:paraId="1B10F53C" w14:textId="110D263E" w:rsidR="0016331D" w:rsidRDefault="00000000">
      <w:pPr>
        <w:pStyle w:val="a4"/>
        <w:numPr>
          <w:ilvl w:val="5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If ≥ 1 month has elapsed since CKRT discontinuation while the patient remained in the ICU, a new informed consent is required when restarting CKRT</w:t>
      </w:r>
    </w:p>
    <w:p w14:paraId="1B10F53D" w14:textId="4080DA16" w:rsidR="0016331D" w:rsidRDefault="00000000">
      <w:pPr>
        <w:pStyle w:val="a4"/>
        <w:numPr>
          <w:ilvl w:val="5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If CKRT was discontinued less than 1 month ago, but the patient was transferred to the ward and then re-admitted to the ICU, a new informed consent is required when restarting CKRT</w:t>
      </w:r>
    </w:p>
    <w:p w14:paraId="1B10F53E" w14:textId="77777777" w:rsidR="0016331D" w:rsidRDefault="00000000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Standard prescription</w:t>
      </w:r>
    </w:p>
    <w:p w14:paraId="1B10F53F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CKRT</w:t>
      </w:r>
    </w:p>
    <w:p w14:paraId="1B10F540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Blood flow rate: 100–200 mL/min</w:t>
      </w:r>
    </w:p>
    <w:p w14:paraId="1B10F541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Dialysate flow rate: 800–2000 mL/hr</w:t>
      </w:r>
    </w:p>
    <w:p w14:paraId="1B10F542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Replacement flow rate: 800–2000 mL/hr (pre : post = 8 : 2)</w:t>
      </w:r>
    </w:p>
    <w:p w14:paraId="1B10F543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Net balance: 0 balance ~ negative 200 mL/hr</w:t>
      </w:r>
    </w:p>
    <w:p w14:paraId="1B10F544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Anticoagulation: none / heparin / nafamostat (Futhan)</w:t>
      </w:r>
    </w:p>
    <w:p w14:paraId="4B8163E4" w14:textId="167E5F04" w:rsidR="009937B4" w:rsidRPr="009937B4" w:rsidRDefault="00000000" w:rsidP="00C76472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Laboratory follow-up</w:t>
      </w:r>
    </w:p>
    <w:p w14:paraId="1B10F546" w14:textId="205A83DC" w:rsidR="0016331D" w:rsidRPr="00F2775E" w:rsidRDefault="00000000" w:rsidP="009937B4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F2775E">
        <w:rPr>
          <w:rFonts w:ascii="Source Sans 3" w:eastAsia="Source Sans 3" w:hAnsi="Source Sans 3" w:cs="Source Sans 3"/>
          <w:color w:val="000000"/>
          <w:sz w:val="22"/>
          <w:szCs w:val="22"/>
        </w:rPr>
        <w:t>Electrolytes, HCO₃⁻, iCa / P / Mg</w:t>
      </w:r>
    </w:p>
    <w:p w14:paraId="1B10F547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Every 6–8 hours initially; every 12 hours when stable</w:t>
      </w:r>
    </w:p>
    <w:p w14:paraId="1B10F548" w14:textId="77777777" w:rsidR="0016331D" w:rsidRDefault="00000000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Dose</w:t>
      </w:r>
    </w:p>
    <w:p w14:paraId="1B10F549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Initial dose prescription</w:t>
      </w:r>
    </w:p>
    <w:p w14:paraId="1B10F54A" w14:textId="3F0DE1CD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Goal: CKRT dose is determined by the effluent flow rate. At our institution, </w:t>
      </w:r>
      <w:r w:rsidRPr="00F24114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the initial dose target is a calculated dose (effective effluent flow rate) of 25–30 mL/kg/hr</w:t>
      </w:r>
    </w:p>
    <w:p w14:paraId="1B10F54B" w14:textId="749411A3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Prescription: refer to Table 2 below according to body weight</w:t>
      </w:r>
    </w:p>
    <w:p w14:paraId="1B10F54C" w14:textId="758707D2" w:rsidR="0016331D" w:rsidRDefault="00000000">
      <w:pPr>
        <w:pStyle w:val="a4"/>
        <w:numPr>
          <w:ilvl w:val="3"/>
          <w:numId w:val="2"/>
        </w:numPr>
      </w:pPr>
      <w:r w:rsidRPr="00B15460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Conditions in which a higher</w:t>
      </w:r>
      <w:r w:rsidR="007B32B3" w:rsidRPr="00B15460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>-</w:t>
      </w:r>
      <w:r w:rsidRPr="00B15460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than</w:t>
      </w:r>
      <w:r w:rsidR="00522F43" w:rsidRPr="00B15460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>-</w:t>
      </w:r>
      <w:r w:rsidRPr="00B15460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recommended dose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should be considered:</w:t>
      </w:r>
    </w:p>
    <w:p w14:paraId="1B10F54D" w14:textId="77777777" w:rsidR="0016331D" w:rsidRDefault="00000000">
      <w:pPr>
        <w:pStyle w:val="a4"/>
        <w:numPr>
          <w:ilvl w:val="4"/>
          <w:numId w:val="2"/>
        </w:numPr>
      </w:pPr>
      <w:r w:rsidRPr="00E10276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Severe metabolic derangement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(e.g., sepsis, tumor lysis syndrome, rhabdomyolysis), </w:t>
      </w:r>
      <w:r w:rsidRPr="00E10276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hyperammonemia, intoxication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, etc.</w:t>
      </w:r>
    </w:p>
    <w:p w14:paraId="1B10F54E" w14:textId="0FF1C950" w:rsidR="0016331D" w:rsidRDefault="0083048C">
      <w:pPr>
        <w:pStyle w:val="a4"/>
        <w:numPr>
          <w:ilvl w:val="4"/>
          <w:numId w:val="2"/>
        </w:numPr>
      </w:pPr>
      <w:r w:rsidRPr="0083048C">
        <w:rPr>
          <w:rFonts w:ascii="Source Sans 3" w:eastAsia="Source Sans 3" w:hAnsi="Source Sans 3" w:cs="Source Sans 3"/>
          <w:color w:val="000000"/>
          <w:sz w:val="22"/>
          <w:szCs w:val="22"/>
        </w:rPr>
        <w:t>When either of the following criteria is met: prescribe according to the dose corresponding to the next higher body-weight category in Table 2</w:t>
      </w:r>
    </w:p>
    <w:p w14:paraId="1B10F54F" w14:textId="77777777" w:rsidR="0016331D" w:rsidRPr="00E10276" w:rsidRDefault="00000000">
      <w:pPr>
        <w:pStyle w:val="a4"/>
        <w:numPr>
          <w:ilvl w:val="5"/>
          <w:numId w:val="2"/>
        </w:numPr>
        <w:rPr>
          <w:b/>
          <w:bCs/>
        </w:rPr>
      </w:pPr>
      <w:r w:rsidRPr="00E10276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Serum potassium &gt; 6.5 mmol/L</w:t>
      </w:r>
    </w:p>
    <w:p w14:paraId="1B10F550" w14:textId="77777777" w:rsidR="0016331D" w:rsidRDefault="00000000">
      <w:pPr>
        <w:pStyle w:val="a4"/>
        <w:numPr>
          <w:ilvl w:val="5"/>
          <w:numId w:val="2"/>
        </w:numPr>
      </w:pPr>
      <w:r w:rsidRPr="00E10276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Metabolic acidosis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(pH &lt; 7.15 with PaCO₂ &lt; 35 mmHg, or serum bicarbonate &lt; 12 mmol/L)</w:t>
      </w:r>
    </w:p>
    <w:p w14:paraId="2C97AE28" w14:textId="5661DBF0" w:rsidR="00B45E13" w:rsidRDefault="00000000" w:rsidP="00B45E13">
      <w:pPr>
        <w:pStyle w:val="a4"/>
        <w:numPr>
          <w:ilvl w:val="3"/>
          <w:numId w:val="2"/>
        </w:numPr>
        <w:rPr>
          <w:rFonts w:hint="eastAsia"/>
        </w:r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Considerations: </w:t>
      </w:r>
      <w:r w:rsidRPr="00F71E5F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when an ECMO circuit is used as the CKRT route, prescribe a BFR of 150 mL/min or higher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as a baseline</w:t>
      </w:r>
    </w:p>
    <w:p w14:paraId="5B1FA7AE" w14:textId="77777777" w:rsidR="00923B76" w:rsidRDefault="00923B76">
      <w:pPr>
        <w:widowControl/>
        <w:wordWrap/>
        <w:autoSpaceDE/>
        <w:autoSpaceDN/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</w:pPr>
      <w:r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br w:type="page"/>
      </w:r>
    </w:p>
    <w:p w14:paraId="1B10F552" w14:textId="17816C2D" w:rsidR="0016331D" w:rsidRDefault="00000000" w:rsidP="00FC1282">
      <w:pPr>
        <w:spacing w:before="360" w:after="60" w:line="276" w:lineRule="auto"/>
        <w:rPr>
          <w:rFonts w:ascii="Source Sans 3" w:hAnsi="Source Sans 3" w:cs="Source Sans 3"/>
          <w:b/>
          <w:bCs/>
          <w:color w:val="000000"/>
          <w:sz w:val="22"/>
          <w:szCs w:val="22"/>
        </w:rPr>
      </w:pPr>
      <w:r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lastRenderedPageBreak/>
        <w:t>Table 2. Dose protocol</w:t>
      </w:r>
    </w:p>
    <w:tbl>
      <w:tblPr>
        <w:tblW w:w="907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304"/>
        <w:gridCol w:w="1757"/>
        <w:gridCol w:w="1701"/>
        <w:gridCol w:w="1304"/>
        <w:gridCol w:w="1304"/>
      </w:tblGrid>
      <w:tr w:rsidR="006A5E38" w:rsidRPr="00F01E04" w14:paraId="19D040B6" w14:textId="77777777" w:rsidTr="006412AF">
        <w:trPr>
          <w:tblHeader/>
        </w:trPr>
        <w:tc>
          <w:tcPr>
            <w:tcW w:w="170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FD23E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Body weight</w:t>
            </w: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 xml:space="preserve"> </w:t>
            </w:r>
          </w:p>
          <w:p w14:paraId="3D2435BE" w14:textId="0845C053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(kg)</w:t>
            </w:r>
          </w:p>
        </w:tc>
        <w:tc>
          <w:tcPr>
            <w:tcW w:w="130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E8D1F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Blood flow rate (mL/min)</w:t>
            </w:r>
          </w:p>
        </w:tc>
        <w:tc>
          <w:tcPr>
            <w:tcW w:w="175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8A298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 xml:space="preserve">Total replacement rate </w:t>
            </w:r>
          </w:p>
          <w:p w14:paraId="34B2943C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(mL/hr)</w:t>
            </w:r>
          </w:p>
        </w:tc>
        <w:tc>
          <w:tcPr>
            <w:tcW w:w="170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D94AB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Pre-replacement rate / Post</w:t>
            </w:r>
          </w:p>
          <w:p w14:paraId="526D39EA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(mL/hr)</w:t>
            </w:r>
          </w:p>
        </w:tc>
        <w:tc>
          <w:tcPr>
            <w:tcW w:w="130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39F06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 xml:space="preserve">Dialysate rate </w:t>
            </w:r>
          </w:p>
          <w:p w14:paraId="7A087AEC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(mL/hr)</w:t>
            </w:r>
          </w:p>
        </w:tc>
        <w:tc>
          <w:tcPr>
            <w:tcW w:w="130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0B675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 xml:space="preserve">Calculated </w:t>
            </w:r>
          </w:p>
          <w:p w14:paraId="434470C2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dose</w:t>
            </w:r>
          </w:p>
          <w:p w14:paraId="33A69C8B" w14:textId="77777777" w:rsidR="006A5E38" w:rsidRPr="00F01E04" w:rsidRDefault="006A5E38" w:rsidP="00F01E04">
            <w:pPr>
              <w:spacing w:line="192" w:lineRule="auto"/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 xml:space="preserve"> (mL/kg/hr)</w:t>
            </w:r>
          </w:p>
        </w:tc>
      </w:tr>
      <w:tr w:rsidR="006A5E38" w:rsidRPr="00F01E04" w14:paraId="6DF71CC2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F5324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40–49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581CB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109EF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800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6F0B7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600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D5C9E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800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705D3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30.9–37.8</w:t>
            </w:r>
          </w:p>
        </w:tc>
      </w:tr>
      <w:tr w:rsidR="006A5E38" w:rsidRPr="00F01E04" w14:paraId="47058072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725A7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50–59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C5627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1F1E1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900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92B2B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700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CFC9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900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53094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30.7–36.3</w:t>
            </w:r>
          </w:p>
        </w:tc>
      </w:tr>
      <w:tr w:rsidR="006A5E38" w:rsidRPr="00F01E04" w14:paraId="1705870D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77B9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60–69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6B3AC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7A18D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D96C9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800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E5A76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1000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1389B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26.3–30.2</w:t>
            </w:r>
          </w:p>
        </w:tc>
      </w:tr>
      <w:tr w:rsidR="006A5E38" w:rsidRPr="00F01E04" w14:paraId="3D798052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AB133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70–79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CC332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954EA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1200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B89AD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1000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D5E47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6BEFB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26.5–29.9</w:t>
            </w:r>
          </w:p>
        </w:tc>
      </w:tr>
      <w:tr w:rsidR="006A5E38" w:rsidRPr="00F01E04" w14:paraId="48CED8E2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C9B28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80–89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57C7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150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925B6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1300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8AEB5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1000 / 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30555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074D5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26.0–28.9</w:t>
            </w:r>
          </w:p>
        </w:tc>
      </w:tr>
      <w:tr w:rsidR="006A5E38" w:rsidRPr="00F01E04" w14:paraId="4A67600F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33735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90–99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9D5AD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170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73D7D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1500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ED720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1200 / 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FC40F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1500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160B2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26.6–29.3</w:t>
            </w:r>
          </w:p>
        </w:tc>
      </w:tr>
      <w:tr w:rsidR="006A5E38" w:rsidRPr="00F01E04" w14:paraId="7276F8C0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CFFA7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≥ 100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B291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180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712C1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1700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76B26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1400 / 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68685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1700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35D81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&lt; 29.4</w:t>
            </w:r>
          </w:p>
        </w:tc>
      </w:tr>
      <w:tr w:rsidR="006A5E38" w:rsidRPr="00F01E04" w14:paraId="3CFE8018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1C440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≥ 100 (high dose)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2B7AB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180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D14F4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2000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BBD0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1600 / 400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1F56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2000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FAFC" w14:textId="77777777" w:rsidR="006A5E38" w:rsidRPr="00F01E04" w:rsidRDefault="006A5E38" w:rsidP="009C5AF7">
            <w:pPr>
              <w:jc w:val="center"/>
              <w:rPr>
                <w:rFonts w:ascii="Source Sans 3" w:eastAsia="삼성명조 L" w:hAnsi="Source Sans 3"/>
              </w:rPr>
            </w:pPr>
            <w:r w:rsidRPr="00F01E04">
              <w:rPr>
                <w:rFonts w:ascii="Source Sans 3" w:eastAsia="삼성명조 L" w:hAnsi="Source Sans 3" w:cs="삼성명조 L"/>
                <w:color w:val="000000"/>
              </w:rPr>
              <w:t>&lt; 33.7</w:t>
            </w:r>
          </w:p>
        </w:tc>
      </w:tr>
    </w:tbl>
    <w:p w14:paraId="1B10F592" w14:textId="25749EB7" w:rsidR="0016331D" w:rsidRPr="0019600C" w:rsidRDefault="00000000" w:rsidP="006A5E38">
      <w:pPr>
        <w:spacing w:line="276" w:lineRule="auto"/>
        <w:rPr>
          <w:rFonts w:hint="eastAsia"/>
        </w:rPr>
      </w:pPr>
      <w:r>
        <w:rPr>
          <w:rFonts w:ascii="Source Sans 3" w:eastAsia="Source Sans 3" w:hAnsi="Source Sans 3" w:cs="Source Sans 3"/>
          <w:color w:val="000000"/>
        </w:rPr>
        <w:t>* Based on Hct 0.3 and total fluid removal 80 mL/hr</w:t>
      </w:r>
    </w:p>
    <w:p w14:paraId="1B10F593" w14:textId="05F9A1D5" w:rsidR="0016331D" w:rsidRPr="00C5710F" w:rsidRDefault="00000000" w:rsidP="006A5E38">
      <w:pPr>
        <w:spacing w:line="276" w:lineRule="auto"/>
        <w:rPr>
          <w:rFonts w:hint="eastAsia"/>
        </w:rPr>
      </w:pPr>
      <w:r>
        <w:rPr>
          <w:rFonts w:ascii="Source Sans 3" w:eastAsia="Source Sans 3" w:hAnsi="Source Sans 3" w:cs="Source Sans 3"/>
          <w:color w:val="000000"/>
        </w:rPr>
        <w:t>* In patients with edema, use the body weight prior to the onset of edema as the reference</w:t>
      </w:r>
    </w:p>
    <w:p w14:paraId="1B10F594" w14:textId="77777777" w:rsidR="0016331D" w:rsidRDefault="00000000" w:rsidP="003A5077">
      <w:pPr>
        <w:pStyle w:val="a4"/>
        <w:numPr>
          <w:ilvl w:val="2"/>
          <w:numId w:val="2"/>
        </w:numPr>
        <w:spacing w:before="240"/>
        <w:ind w:left="568" w:hanging="284"/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Dose de-escalation</w:t>
      </w:r>
    </w:p>
    <w:p w14:paraId="1B10F595" w14:textId="750FA5BB" w:rsidR="0016331D" w:rsidRDefault="00043DC0">
      <w:pPr>
        <w:pStyle w:val="a4"/>
        <w:numPr>
          <w:ilvl w:val="3"/>
          <w:numId w:val="2"/>
        </w:numPr>
      </w:pPr>
      <w:r w:rsidRPr="00043DC0">
        <w:rPr>
          <w:rFonts w:ascii="Source Sans 3" w:eastAsia="Source Sans 3" w:hAnsi="Source Sans 3" w:cs="Source Sans 3"/>
          <w:color w:val="000000"/>
          <w:sz w:val="22"/>
          <w:szCs w:val="22"/>
        </w:rPr>
        <w:t>Unnecessarily prolonged use of a high dose may result in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protein malnutrition, vitamin and micronutrient deficiency, and inappropriate reduction of antimicrobial drug levels; therefore, </w:t>
      </w:r>
      <w:r w:rsidR="008B1730" w:rsidRPr="008B1730">
        <w:rPr>
          <w:rFonts w:ascii="Source Sans 3" w:eastAsia="Source Sans 3" w:hAnsi="Source Sans 3" w:cs="Source Sans 3"/>
          <w:color w:val="000000"/>
          <w:sz w:val="22"/>
          <w:szCs w:val="22"/>
        </w:rPr>
        <w:t>the dose should be adjusted appropriately with close monitoring of the patient’s clinical status</w:t>
      </w:r>
    </w:p>
    <w:p w14:paraId="3330A9CE" w14:textId="28AC118D" w:rsidR="00BA0567" w:rsidRPr="00BA0567" w:rsidRDefault="00BA0567">
      <w:pPr>
        <w:pStyle w:val="a4"/>
        <w:numPr>
          <w:ilvl w:val="3"/>
          <w:numId w:val="2"/>
        </w:numPr>
      </w:pPr>
      <w:r w:rsidRPr="00BA0567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After the initial dose has been applied, the dose should be adjusted according to changes in the patient’s condition. </w:t>
      </w:r>
      <w:r w:rsidRPr="00226D78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If the patient is clinically stable, more than 3 days have elapsed since CKRT initiation, and all of the following criteria are met</w:t>
      </w:r>
      <w:r w:rsidRPr="00BA0567">
        <w:rPr>
          <w:rFonts w:ascii="Source Sans 3" w:eastAsia="Source Sans 3" w:hAnsi="Source Sans 3" w:cs="Source Sans 3"/>
          <w:color w:val="000000"/>
          <w:sz w:val="22"/>
          <w:szCs w:val="22"/>
        </w:rPr>
        <w:t>, dose reduction by at least one step is recommended</w:t>
      </w:r>
      <w:r>
        <w:rPr>
          <w:rFonts w:ascii="Source Sans 3" w:hAnsi="Source Sans 3" w:cs="Source Sans 3" w:hint="eastAsia"/>
          <w:color w:val="000000"/>
          <w:sz w:val="22"/>
          <w:szCs w:val="22"/>
        </w:rPr>
        <w:t>:</w:t>
      </w:r>
    </w:p>
    <w:p w14:paraId="1B10F598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BUN &lt; 30 mg/dL</w:t>
      </w:r>
    </w:p>
    <w:p w14:paraId="1B10F599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Normokalemia</w:t>
      </w:r>
    </w:p>
    <w:p w14:paraId="1B10F59A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HCO₃⁻ ≥ 18 mmol/L</w:t>
      </w:r>
    </w:p>
    <w:p w14:paraId="1B10F59B" w14:textId="611D9FFD" w:rsidR="0016331D" w:rsidRPr="00C41CE6" w:rsidRDefault="00000000">
      <w:pPr>
        <w:spacing w:line="276" w:lineRule="auto"/>
        <w:ind w:left="566"/>
        <w:rPr>
          <w:rFonts w:hint="eastAsia"/>
          <w:sz w:val="22"/>
          <w:szCs w:val="22"/>
        </w:rPr>
      </w:pPr>
      <w:r w:rsidRPr="00C7161C">
        <w:rPr>
          <w:rFonts w:ascii="Source Sans 3" w:eastAsia="Source Sans 3" w:hAnsi="Source Sans 3" w:cs="Source Sans 3"/>
          <w:color w:val="000000"/>
          <w:sz w:val="22"/>
          <w:szCs w:val="22"/>
        </w:rPr>
        <w:t>* For a patient maintained on a dose of 800 mL/hr, dose reduction down to 600 mL/hr is acceptable</w:t>
      </w:r>
    </w:p>
    <w:p w14:paraId="1B10F59C" w14:textId="77777777" w:rsidR="0016331D" w:rsidRDefault="00000000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Net fluid balance</w:t>
      </w:r>
    </w:p>
    <w:p w14:paraId="359765EA" w14:textId="48830382" w:rsidR="006605A6" w:rsidRPr="006605A6" w:rsidRDefault="00E453A7">
      <w:pPr>
        <w:pStyle w:val="a4"/>
        <w:numPr>
          <w:ilvl w:val="4"/>
          <w:numId w:val="2"/>
        </w:numPr>
        <w:ind w:left="568" w:hanging="284"/>
      </w:pPr>
      <w:r w:rsidRPr="00E453A7">
        <w:rPr>
          <w:rFonts w:ascii="Source Sans 3" w:eastAsia="Source Sans 3" w:hAnsi="Source Sans 3" w:cs="Source Sans 3"/>
          <w:color w:val="000000"/>
          <w:sz w:val="22"/>
          <w:szCs w:val="22"/>
        </w:rPr>
        <w:t>If an initial prescription includes a net negative fluid balance of ≥ 100 mL/hour, prior consultation with the nephrology fellow responsible for CKRT is required.</w:t>
      </w:r>
      <w:r w:rsidR="006605A6" w:rsidRPr="006605A6">
        <w:rPr>
          <w:rFonts w:hint="eastAsia"/>
        </w:rPr>
        <w:t xml:space="preserve"> </w:t>
      </w:r>
      <w:r w:rsidR="006605A6" w:rsidRPr="006605A6">
        <w:rPr>
          <w:rFonts w:ascii="Source Sans 3" w:eastAsia="Source Sans 3" w:hAnsi="Source Sans 3" w:cs="Source Sans 3"/>
          <w:color w:val="000000"/>
          <w:sz w:val="22"/>
          <w:szCs w:val="22"/>
        </w:rPr>
        <w:t>If a negative balance of ≥100 mL/hour is maintained for more than 24 hours, further discussion with the nephrology fellow responsible for CKRT is required</w:t>
      </w:r>
    </w:p>
    <w:p w14:paraId="4026FDEF" w14:textId="77777777" w:rsidR="00F2775E" w:rsidRDefault="00F2775E">
      <w:pPr>
        <w:widowControl/>
        <w:wordWrap/>
        <w:autoSpaceDE/>
        <w:autoSpaceDN/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br w:type="page"/>
      </w:r>
    </w:p>
    <w:p w14:paraId="1B10F59E" w14:textId="090FD9E6" w:rsidR="0016331D" w:rsidRDefault="00000000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lastRenderedPageBreak/>
        <w:t>CKRT fluid protocol</w:t>
      </w:r>
    </w:p>
    <w:p w14:paraId="1B10F59F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Hemosol B0</w:t>
      </w:r>
    </w:p>
    <w:p w14:paraId="1B10F5A0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Standard CKRT fluid used at our institution</w:t>
      </w:r>
    </w:p>
    <w:p w14:paraId="1B10F5A1" w14:textId="059C04A8" w:rsidR="0016331D" w:rsidRPr="000360A5" w:rsidRDefault="00AE1623">
      <w:pPr>
        <w:pStyle w:val="a4"/>
        <w:numPr>
          <w:ilvl w:val="3"/>
          <w:numId w:val="2"/>
        </w:numPr>
        <w:rPr>
          <w:b/>
          <w:bCs/>
        </w:rPr>
      </w:pPr>
      <w:r w:rsidRPr="000360A5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>Risk of h</w:t>
      </w:r>
      <w:r w:rsidR="00000000" w:rsidRPr="000360A5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 xml:space="preserve">ypokalemia and hypophosphatemia </w:t>
      </w:r>
    </w:p>
    <w:p w14:paraId="1B10F5A2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Risk of occurrence increases with higher CKRT dose and longer CKRT duration when Hemosol B0 is used alone</w:t>
      </w:r>
    </w:p>
    <w:p w14:paraId="1B10F5A3" w14:textId="5BC8DD6E" w:rsidR="0016331D" w:rsidRPr="0070269F" w:rsidRDefault="00000000">
      <w:pPr>
        <w:pStyle w:val="a4"/>
        <w:numPr>
          <w:ilvl w:val="4"/>
          <w:numId w:val="2"/>
        </w:numPr>
        <w:rPr>
          <w:b/>
          <w:bCs/>
        </w:rPr>
      </w:pPr>
      <w:r w:rsidRPr="0070269F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Correction and prevention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: potassium and phosphate may be added to the dialysate and replacement fluid; however, to reduce the risk of medication error and contamination, do not directly mix potassium and phosphate manually—</w:t>
      </w:r>
      <w:r w:rsidRPr="0070269F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use commercially available premixed CKRT solutions appropriately</w:t>
      </w:r>
    </w:p>
    <w:p w14:paraId="1B10F5A4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Multibic 4K, Phoxilium</w:t>
      </w:r>
    </w:p>
    <w:p w14:paraId="1B10F5A5" w14:textId="77777777" w:rsidR="0016331D" w:rsidRDefault="00000000">
      <w:pPr>
        <w:pStyle w:val="a4"/>
        <w:numPr>
          <w:ilvl w:val="3"/>
          <w:numId w:val="2"/>
        </w:numPr>
      </w:pPr>
      <w:r w:rsidRPr="0044151C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Use in hypokalemia or hypophosphatemia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(Table 3)</w:t>
      </w:r>
    </w:p>
    <w:p w14:paraId="1B10F5A6" w14:textId="0D60E3E9" w:rsidR="0016331D" w:rsidRDefault="00000000">
      <w:pPr>
        <w:pStyle w:val="a4"/>
        <w:numPr>
          <w:ilvl w:val="4"/>
          <w:numId w:val="2"/>
        </w:numPr>
      </w:pPr>
      <w:r w:rsidRPr="0044151C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Dialysate solution and pre-replacement fluid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: while monitoring serum potassium and phosphorus, replace Hemosol B0 with </w:t>
      </w:r>
      <w:r w:rsidRPr="0044151C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Multibic 4K or Phoxilium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according to Table 3</w:t>
      </w:r>
    </w:p>
    <w:p w14:paraId="1B10F5A7" w14:textId="7D420CA5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Post-replacement fluid: maintain Hemosol B0 without additional adjustment, except in special </w:t>
      </w:r>
      <w:r w:rsidR="0042123D" w:rsidRPr="0042123D">
        <w:rPr>
          <w:rFonts w:ascii="Source Sans 3" w:eastAsia="Source Sans 3" w:hAnsi="Source Sans 3" w:cs="Source Sans 3"/>
          <w:color w:val="000000"/>
          <w:sz w:val="22"/>
          <w:szCs w:val="22"/>
        </w:rPr>
        <w:t>circumstances</w:t>
      </w:r>
    </w:p>
    <w:p w14:paraId="1B10F5A8" w14:textId="77777777" w:rsidR="0016331D" w:rsidRDefault="00000000">
      <w:pPr>
        <w:pStyle w:val="a4"/>
        <w:numPr>
          <w:ilvl w:val="3"/>
          <w:numId w:val="2"/>
        </w:numPr>
      </w:pPr>
      <w:r w:rsidRPr="0044151C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 xml:space="preserve">Potassium dose-up 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(Table 4)</w:t>
      </w:r>
    </w:p>
    <w:p w14:paraId="1B10F5A9" w14:textId="50F8D7C3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When serum potassium needs to be intentionally maintained at a higher level due to arrhythmia or post-cardiac surgery status, apply the modified protocol in Table 4. In these cases, </w:t>
      </w:r>
      <w:r w:rsidRPr="00FD7777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 xml:space="preserve">Multibic 4K or Phoxilium may exceptionally be </w:t>
      </w:r>
      <w:r w:rsidR="005E0F86" w:rsidRPr="00FD7777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>used for</w:t>
      </w:r>
      <w:r w:rsidRPr="00FD7777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 xml:space="preserve"> the post-replacement fluid as well</w:t>
      </w:r>
    </w:p>
    <w:p w14:paraId="1B10F5AC" w14:textId="77777777" w:rsidR="0016331D" w:rsidRDefault="00000000" w:rsidP="00A77202">
      <w:pPr>
        <w:spacing w:before="360" w:after="60" w:line="276" w:lineRule="auto"/>
        <w:rPr>
          <w:rFonts w:ascii="Source Sans 3" w:hAnsi="Source Sans 3" w:cs="Source Sans 3"/>
          <w:b/>
          <w:bCs/>
          <w:color w:val="000000"/>
          <w:sz w:val="22"/>
          <w:szCs w:val="22"/>
        </w:rPr>
      </w:pPr>
      <w:r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Table 3. Standard fluid protocol</w:t>
      </w:r>
    </w:p>
    <w:tbl>
      <w:tblPr>
        <w:tblStyle w:val="ac"/>
        <w:tblW w:w="9128" w:type="dxa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 w:rsidR="00B956F9" w:rsidRPr="00B956F9" w14:paraId="7B5CB3D8" w14:textId="77777777" w:rsidTr="00521D18">
        <w:trPr>
          <w:trHeight w:val="340"/>
        </w:trPr>
        <w:tc>
          <w:tcPr>
            <w:tcW w:w="1304" w:type="dxa"/>
            <w:vMerge w:val="restart"/>
            <w:vAlign w:val="center"/>
          </w:tcPr>
          <w:p w14:paraId="26D8FBE7" w14:textId="3648374D" w:rsidR="00B956F9" w:rsidRPr="00E059AB" w:rsidRDefault="00B956F9" w:rsidP="001D147F">
            <w:pPr>
              <w:spacing w:before="120" w:after="60" w:line="144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7B0F310E" w14:textId="2213CE3F" w:rsidR="00B956F9" w:rsidRPr="00E059AB" w:rsidRDefault="00B956F9" w:rsidP="00521D18">
            <w:pPr>
              <w:spacing w:line="192" w:lineRule="auto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Dialysate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10760CE0" w14:textId="18D109C2" w:rsidR="00B956F9" w:rsidRPr="00E059AB" w:rsidRDefault="00B956F9" w:rsidP="00521D18">
            <w:pPr>
              <w:spacing w:line="192" w:lineRule="auto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Pre-replacement fluid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6457120F" w14:textId="0DF29037" w:rsidR="00B956F9" w:rsidRPr="00E059AB" w:rsidRDefault="00B956F9" w:rsidP="00521D18">
            <w:pPr>
              <w:spacing w:line="192" w:lineRule="auto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Post-replacement fluid</w:t>
            </w:r>
          </w:p>
        </w:tc>
      </w:tr>
      <w:tr w:rsidR="00B956F9" w:rsidRPr="00B956F9" w14:paraId="6B150770" w14:textId="77777777" w:rsidTr="00521D18">
        <w:trPr>
          <w:trHeight w:val="340"/>
        </w:trPr>
        <w:tc>
          <w:tcPr>
            <w:tcW w:w="1304" w:type="dxa"/>
            <w:vMerge/>
            <w:vAlign w:val="center"/>
          </w:tcPr>
          <w:p w14:paraId="2E6C62FA" w14:textId="77777777" w:rsidR="00B956F9" w:rsidRPr="00B956F9" w:rsidRDefault="00B956F9" w:rsidP="00E839E7">
            <w:pPr>
              <w:spacing w:before="120" w:after="60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304" w:type="dxa"/>
            <w:shd w:val="clear" w:color="auto" w:fill="BEDAFF"/>
            <w:vAlign w:val="center"/>
          </w:tcPr>
          <w:p w14:paraId="0F1DCDE4" w14:textId="0BDE7F53" w:rsidR="00B956F9" w:rsidRPr="00E059AB" w:rsidRDefault="00B956F9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057058BB" w14:textId="71C746A0" w:rsidR="00B956F9" w:rsidRPr="00E059AB" w:rsidRDefault="00B956F9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4208BA8D" w14:textId="04ED602A" w:rsidR="00B956F9" w:rsidRPr="00E059AB" w:rsidRDefault="00B956F9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63E98B09" w14:textId="218EDE70" w:rsidR="00B956F9" w:rsidRPr="00E059AB" w:rsidRDefault="00B956F9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1187D3FB" w14:textId="00F8247D" w:rsidR="00B956F9" w:rsidRPr="00E059AB" w:rsidRDefault="00B956F9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22DBF364" w14:textId="4A9C92EC" w:rsidR="00B956F9" w:rsidRPr="00E059AB" w:rsidRDefault="00B956F9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</w:tr>
      <w:tr w:rsidR="00B956F9" w:rsidRPr="00B956F9" w14:paraId="56A51319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20CB31CD" w14:textId="6E17BE04" w:rsidR="00B956F9" w:rsidRPr="00E059AB" w:rsidRDefault="00B956F9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K ≤ 4.5</w:t>
            </w:r>
          </w:p>
        </w:tc>
        <w:tc>
          <w:tcPr>
            <w:tcW w:w="1304" w:type="dxa"/>
            <w:vAlign w:val="center"/>
          </w:tcPr>
          <w:p w14:paraId="2E423E58" w14:textId="27CFF02E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3E5E8AA3" w14:textId="6F3DEF12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304" w:type="dxa"/>
            <w:vAlign w:val="center"/>
          </w:tcPr>
          <w:p w14:paraId="4BF972CB" w14:textId="63AA40E1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3BB5BEF2" w14:textId="1587E0CA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608" w:type="dxa"/>
            <w:gridSpan w:val="2"/>
            <w:vAlign w:val="center"/>
          </w:tcPr>
          <w:p w14:paraId="1769F33C" w14:textId="6DAD2460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Theme="minorHAnsi" w:hAnsi="Source Sans 3"/>
                <w:sz w:val="21"/>
                <w:szCs w:val="21"/>
              </w:rPr>
              <w:t>Hemosol B0</w:t>
            </w:r>
          </w:p>
        </w:tc>
      </w:tr>
      <w:tr w:rsidR="00B956F9" w:rsidRPr="00B956F9" w14:paraId="0A1912D5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15DA78CE" w14:textId="1FE18A87" w:rsidR="00B956F9" w:rsidRPr="00E059AB" w:rsidRDefault="00B956F9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4.6 ≤ K ≤ 5.0</w:t>
            </w:r>
          </w:p>
        </w:tc>
        <w:tc>
          <w:tcPr>
            <w:tcW w:w="1304" w:type="dxa"/>
            <w:vAlign w:val="center"/>
          </w:tcPr>
          <w:p w14:paraId="79593EB0" w14:textId="360987FD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6FC6ED8E" w14:textId="26B2D7E4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608" w:type="dxa"/>
            <w:gridSpan w:val="2"/>
            <w:vAlign w:val="center"/>
          </w:tcPr>
          <w:p w14:paraId="7F048621" w14:textId="49AC46C1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Theme="minorHAnsi" w:hAnsi="Source Sans 3"/>
                <w:sz w:val="21"/>
                <w:szCs w:val="21"/>
              </w:rPr>
              <w:t>Hemosol B0</w:t>
            </w:r>
          </w:p>
        </w:tc>
        <w:tc>
          <w:tcPr>
            <w:tcW w:w="2608" w:type="dxa"/>
            <w:gridSpan w:val="2"/>
            <w:vAlign w:val="center"/>
          </w:tcPr>
          <w:p w14:paraId="23E10211" w14:textId="0840CFAD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Theme="minorHAnsi" w:hAnsi="Source Sans 3"/>
                <w:sz w:val="21"/>
                <w:szCs w:val="21"/>
              </w:rPr>
              <w:t>Hemosol B0</w:t>
            </w:r>
          </w:p>
        </w:tc>
      </w:tr>
      <w:tr w:rsidR="00B956F9" w:rsidRPr="00B956F9" w14:paraId="2AB4B500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7EF421E2" w14:textId="2A8C2640" w:rsidR="00B956F9" w:rsidRPr="00E059AB" w:rsidRDefault="00B956F9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K ≥ 5.1</w:t>
            </w:r>
          </w:p>
        </w:tc>
        <w:tc>
          <w:tcPr>
            <w:tcW w:w="1304" w:type="dxa"/>
            <w:vAlign w:val="center"/>
          </w:tcPr>
          <w:p w14:paraId="76C4D741" w14:textId="36111DA5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Hemosol B0</w:t>
            </w:r>
          </w:p>
        </w:tc>
        <w:tc>
          <w:tcPr>
            <w:tcW w:w="1304" w:type="dxa"/>
            <w:vAlign w:val="center"/>
          </w:tcPr>
          <w:p w14:paraId="7882D810" w14:textId="49AB1849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Hemosol B0</w:t>
            </w:r>
          </w:p>
        </w:tc>
        <w:tc>
          <w:tcPr>
            <w:tcW w:w="2608" w:type="dxa"/>
            <w:gridSpan w:val="2"/>
            <w:vAlign w:val="center"/>
          </w:tcPr>
          <w:p w14:paraId="18D4D303" w14:textId="7B8891B8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Theme="minorHAnsi" w:hAnsi="Source Sans 3"/>
                <w:sz w:val="21"/>
                <w:szCs w:val="21"/>
              </w:rPr>
              <w:t>Hemosol B0</w:t>
            </w:r>
          </w:p>
        </w:tc>
        <w:tc>
          <w:tcPr>
            <w:tcW w:w="2608" w:type="dxa"/>
            <w:gridSpan w:val="2"/>
            <w:vAlign w:val="center"/>
          </w:tcPr>
          <w:p w14:paraId="724DB8BA" w14:textId="78214C09" w:rsidR="00B956F9" w:rsidRPr="00B956F9" w:rsidRDefault="00B956F9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Theme="minorHAnsi" w:hAnsi="Source Sans 3"/>
                <w:sz w:val="21"/>
                <w:szCs w:val="21"/>
              </w:rPr>
              <w:t>Hemosol B0</w:t>
            </w:r>
          </w:p>
        </w:tc>
      </w:tr>
    </w:tbl>
    <w:p w14:paraId="1B10F5CC" w14:textId="344EA104" w:rsidR="0016331D" w:rsidRDefault="00000000" w:rsidP="00A77202">
      <w:pPr>
        <w:spacing w:before="360" w:after="60" w:line="276" w:lineRule="auto"/>
        <w:rPr>
          <w:rFonts w:ascii="Source Sans 3" w:hAnsi="Source Sans 3" w:cs="Source Sans 3"/>
          <w:b/>
          <w:bCs/>
          <w:color w:val="000000"/>
          <w:sz w:val="22"/>
          <w:szCs w:val="22"/>
        </w:rPr>
      </w:pPr>
      <w:r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Table 4. Potassium dose-up protocol</w:t>
      </w:r>
    </w:p>
    <w:tbl>
      <w:tblPr>
        <w:tblStyle w:val="ac"/>
        <w:tblW w:w="9128" w:type="dxa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 w:rsidR="001D147F" w:rsidRPr="00B956F9" w14:paraId="556F2B95" w14:textId="77777777" w:rsidTr="00521D18">
        <w:trPr>
          <w:trHeight w:val="340"/>
        </w:trPr>
        <w:tc>
          <w:tcPr>
            <w:tcW w:w="1304" w:type="dxa"/>
            <w:vMerge w:val="restart"/>
            <w:vAlign w:val="center"/>
          </w:tcPr>
          <w:p w14:paraId="70DDFF8C" w14:textId="24F2DE8A" w:rsidR="001D147F" w:rsidRPr="00E059AB" w:rsidRDefault="001D147F" w:rsidP="00521D18">
            <w:pPr>
              <w:spacing w:line="144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0FA19812" w14:textId="77777777" w:rsidR="001D147F" w:rsidRPr="00E059AB" w:rsidRDefault="001D147F" w:rsidP="00521D18">
            <w:pPr>
              <w:spacing w:line="192" w:lineRule="auto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Dialysate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4553A7E8" w14:textId="77777777" w:rsidR="001D147F" w:rsidRPr="00E059AB" w:rsidRDefault="001D147F" w:rsidP="00521D18">
            <w:pPr>
              <w:spacing w:line="192" w:lineRule="auto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Pre-replacement fluid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355D400E" w14:textId="77777777" w:rsidR="001D147F" w:rsidRPr="00E059AB" w:rsidRDefault="001D147F" w:rsidP="00521D18">
            <w:pPr>
              <w:spacing w:line="192" w:lineRule="auto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Post-replacement fluid</w:t>
            </w:r>
          </w:p>
        </w:tc>
      </w:tr>
      <w:tr w:rsidR="001D147F" w:rsidRPr="00B956F9" w14:paraId="1D087A07" w14:textId="77777777" w:rsidTr="00521D18">
        <w:trPr>
          <w:trHeight w:val="340"/>
        </w:trPr>
        <w:tc>
          <w:tcPr>
            <w:tcW w:w="1304" w:type="dxa"/>
            <w:vMerge/>
            <w:vAlign w:val="center"/>
          </w:tcPr>
          <w:p w14:paraId="24E7CC72" w14:textId="77777777" w:rsidR="001D147F" w:rsidRPr="00B956F9" w:rsidRDefault="001D147F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304" w:type="dxa"/>
            <w:shd w:val="clear" w:color="auto" w:fill="BEDAFF"/>
            <w:vAlign w:val="center"/>
          </w:tcPr>
          <w:p w14:paraId="6B9AF8AB" w14:textId="77777777" w:rsidR="001D147F" w:rsidRPr="00E059AB" w:rsidRDefault="001D147F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3342AE5C" w14:textId="77777777" w:rsidR="001D147F" w:rsidRPr="00E059AB" w:rsidRDefault="001D147F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2027CB2D" w14:textId="77777777" w:rsidR="001D147F" w:rsidRPr="00E059AB" w:rsidRDefault="001D147F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31AA4953" w14:textId="77777777" w:rsidR="001D147F" w:rsidRPr="00E059AB" w:rsidRDefault="001D147F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6CCBD608" w14:textId="77777777" w:rsidR="001D147F" w:rsidRPr="00E059AB" w:rsidRDefault="001D147F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62DEEBC9" w14:textId="77777777" w:rsidR="001D147F" w:rsidRPr="00E059AB" w:rsidRDefault="001D147F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</w:tr>
      <w:tr w:rsidR="00617BFD" w:rsidRPr="00B956F9" w14:paraId="2CA84B64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693E299E" w14:textId="77777777" w:rsidR="00617BFD" w:rsidRPr="00E059AB" w:rsidRDefault="00617BFD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K ≤ 4.5</w:t>
            </w:r>
          </w:p>
        </w:tc>
        <w:tc>
          <w:tcPr>
            <w:tcW w:w="1304" w:type="dxa"/>
            <w:vAlign w:val="center"/>
          </w:tcPr>
          <w:p w14:paraId="10CF92C1" w14:textId="77777777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063DAF5D" w14:textId="77777777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304" w:type="dxa"/>
            <w:vAlign w:val="center"/>
          </w:tcPr>
          <w:p w14:paraId="077D2D93" w14:textId="77777777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684A0903" w14:textId="77777777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304" w:type="dxa"/>
            <w:vAlign w:val="center"/>
          </w:tcPr>
          <w:p w14:paraId="4E9AE43D" w14:textId="1D355F80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7B48A329" w14:textId="239D67AD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</w:tr>
      <w:tr w:rsidR="00617BFD" w:rsidRPr="00B956F9" w14:paraId="6101F451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4F60F998" w14:textId="77777777" w:rsidR="00617BFD" w:rsidRPr="00E059AB" w:rsidRDefault="00617BFD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4.6 ≤ K ≤ 5.0</w:t>
            </w:r>
          </w:p>
        </w:tc>
        <w:tc>
          <w:tcPr>
            <w:tcW w:w="1304" w:type="dxa"/>
            <w:vAlign w:val="center"/>
          </w:tcPr>
          <w:p w14:paraId="565413E2" w14:textId="77777777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728BB2DE" w14:textId="77777777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304" w:type="dxa"/>
            <w:vAlign w:val="center"/>
          </w:tcPr>
          <w:p w14:paraId="20412B95" w14:textId="32DBD32A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7459F2D2" w14:textId="3640BB64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608" w:type="dxa"/>
            <w:gridSpan w:val="2"/>
            <w:vAlign w:val="center"/>
          </w:tcPr>
          <w:p w14:paraId="39C54C03" w14:textId="77777777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Theme="minorHAnsi" w:hAnsi="Source Sans 3"/>
                <w:sz w:val="21"/>
                <w:szCs w:val="21"/>
              </w:rPr>
              <w:t>Hemosol B0</w:t>
            </w:r>
          </w:p>
        </w:tc>
      </w:tr>
      <w:tr w:rsidR="00617BFD" w:rsidRPr="00B956F9" w14:paraId="723C3F1D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2306B07A" w14:textId="77777777" w:rsidR="00617BFD" w:rsidRPr="00E059AB" w:rsidRDefault="00617BFD" w:rsidP="00521D18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K ≥ 5.1</w:t>
            </w:r>
          </w:p>
        </w:tc>
        <w:tc>
          <w:tcPr>
            <w:tcW w:w="1304" w:type="dxa"/>
            <w:vAlign w:val="center"/>
          </w:tcPr>
          <w:p w14:paraId="52AD051F" w14:textId="2F443CE3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52AA5711" w14:textId="30F24402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608" w:type="dxa"/>
            <w:gridSpan w:val="2"/>
            <w:vAlign w:val="center"/>
          </w:tcPr>
          <w:p w14:paraId="6BDB1B16" w14:textId="77777777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Theme="minorHAnsi" w:hAnsi="Source Sans 3"/>
                <w:sz w:val="21"/>
                <w:szCs w:val="21"/>
              </w:rPr>
              <w:t>Hemosol B0</w:t>
            </w:r>
          </w:p>
        </w:tc>
        <w:tc>
          <w:tcPr>
            <w:tcW w:w="2608" w:type="dxa"/>
            <w:gridSpan w:val="2"/>
            <w:vAlign w:val="center"/>
          </w:tcPr>
          <w:p w14:paraId="4FAB1B1E" w14:textId="77777777" w:rsidR="00617BFD" w:rsidRPr="00B956F9" w:rsidRDefault="00617BFD" w:rsidP="00521D18">
            <w:pPr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Theme="minorHAnsi" w:hAnsi="Source Sans 3"/>
                <w:sz w:val="21"/>
                <w:szCs w:val="21"/>
              </w:rPr>
              <w:t>Hemosol B0</w:t>
            </w:r>
          </w:p>
        </w:tc>
      </w:tr>
    </w:tbl>
    <w:p w14:paraId="5BE67DC4" w14:textId="7DD155CA" w:rsidR="006B63F6" w:rsidRDefault="006B63F6" w:rsidP="00165A79">
      <w:pPr>
        <w:pStyle w:val="a4"/>
        <w:numPr>
          <w:ilvl w:val="2"/>
          <w:numId w:val="2"/>
        </w:numPr>
        <w:spacing w:before="360"/>
        <w:ind w:left="568" w:hanging="284"/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lastRenderedPageBreak/>
        <w:t>Composition of CKRT fluids in use at our institution</w:t>
      </w:r>
    </w:p>
    <w:tbl>
      <w:tblPr>
        <w:tblW w:w="8335" w:type="dxa"/>
        <w:tblInd w:w="6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551"/>
        <w:gridCol w:w="1928"/>
        <w:gridCol w:w="1928"/>
        <w:gridCol w:w="1928"/>
      </w:tblGrid>
      <w:tr w:rsidR="00BC5749" w:rsidRPr="0019600C" w14:paraId="1B10F5F3" w14:textId="77777777" w:rsidTr="002A6DFE">
        <w:trPr>
          <w:trHeight w:val="20"/>
          <w:tblHeader/>
        </w:trPr>
        <w:tc>
          <w:tcPr>
            <w:tcW w:w="2551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0" w14:textId="77777777" w:rsidR="00BC5749" w:rsidRPr="0019600C" w:rsidRDefault="00BC5749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Components (mmol/L)</w:t>
            </w:r>
          </w:p>
        </w:tc>
        <w:tc>
          <w:tcPr>
            <w:tcW w:w="3856" w:type="dxa"/>
            <w:gridSpan w:val="2"/>
            <w:shd w:val="clear" w:color="auto" w:fill="8CB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1" w14:textId="6D1B689F" w:rsidR="00BC5749" w:rsidRPr="0019600C" w:rsidRDefault="00BC5749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Vantive</w:t>
            </w:r>
          </w:p>
        </w:tc>
        <w:tc>
          <w:tcPr>
            <w:tcW w:w="1928" w:type="dxa"/>
            <w:shd w:val="clear" w:color="auto" w:fill="8CB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2" w14:textId="77777777" w:rsidR="00BC5749" w:rsidRPr="0019600C" w:rsidRDefault="00BC5749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Fresenius</w:t>
            </w:r>
          </w:p>
        </w:tc>
      </w:tr>
      <w:tr w:rsidR="0016331D" w:rsidRPr="0019600C" w14:paraId="1B10F5F8" w14:textId="77777777" w:rsidTr="00D44D7E">
        <w:trPr>
          <w:trHeight w:val="20"/>
          <w:tblHeader/>
        </w:trPr>
        <w:tc>
          <w:tcPr>
            <w:tcW w:w="2551" w:type="dxa"/>
            <w:vMerge/>
          </w:tcPr>
          <w:p w14:paraId="1B10F5F4" w14:textId="77777777" w:rsidR="0016331D" w:rsidRPr="0019600C" w:rsidRDefault="0016331D">
            <w:pPr>
              <w:rPr>
                <w:rFonts w:ascii="Source Sans 3" w:hAnsi="Source Sans 3"/>
              </w:rPr>
            </w:pPr>
          </w:p>
        </w:tc>
        <w:tc>
          <w:tcPr>
            <w:tcW w:w="192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5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Hemosol B0</w:t>
            </w:r>
          </w:p>
        </w:tc>
        <w:tc>
          <w:tcPr>
            <w:tcW w:w="192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6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Phoxilium</w:t>
            </w:r>
          </w:p>
        </w:tc>
        <w:tc>
          <w:tcPr>
            <w:tcW w:w="192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7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MultiBic 4K</w:t>
            </w:r>
          </w:p>
        </w:tc>
      </w:tr>
      <w:tr w:rsidR="0016331D" w:rsidRPr="0019600C" w14:paraId="1B10F5FD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9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Na⁺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A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140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B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140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C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140</w:t>
            </w:r>
          </w:p>
        </w:tc>
      </w:tr>
      <w:tr w:rsidR="0016331D" w:rsidRPr="0019600C" w14:paraId="1B10F602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E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K⁺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F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0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4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1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4</w:t>
            </w:r>
          </w:p>
        </w:tc>
      </w:tr>
      <w:tr w:rsidR="0016331D" w:rsidRPr="0019600C" w14:paraId="1B10F607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3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Cl⁻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4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109.5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5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116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6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113</w:t>
            </w:r>
          </w:p>
        </w:tc>
      </w:tr>
      <w:tr w:rsidR="0016331D" w:rsidRPr="0019600C" w14:paraId="1B10F60C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8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Ca²⁺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9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1.75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A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1.25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B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1.5</w:t>
            </w:r>
          </w:p>
        </w:tc>
      </w:tr>
      <w:tr w:rsidR="0016331D" w:rsidRPr="0019600C" w14:paraId="1B10F611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D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Mg²⁺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E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0.5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F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0.6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0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0.5</w:t>
            </w:r>
          </w:p>
        </w:tc>
      </w:tr>
      <w:tr w:rsidR="0016331D" w:rsidRPr="0019600C" w14:paraId="1B10F616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2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HCO₃⁻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3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32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4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30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5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35</w:t>
            </w:r>
          </w:p>
        </w:tc>
      </w:tr>
      <w:tr w:rsidR="0016331D" w:rsidRPr="0019600C" w14:paraId="1B10F61B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7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Lactate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8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3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9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A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</w:t>
            </w:r>
          </w:p>
        </w:tc>
      </w:tr>
      <w:tr w:rsidR="0016331D" w:rsidRPr="0019600C" w14:paraId="1B10F620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C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Glucose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D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E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F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5.55</w:t>
            </w:r>
          </w:p>
        </w:tc>
      </w:tr>
      <w:tr w:rsidR="0016331D" w:rsidRPr="0019600C" w14:paraId="1B10F625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1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Phosphate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2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3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1.2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4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0</w:t>
            </w:r>
          </w:p>
        </w:tc>
      </w:tr>
      <w:tr w:rsidR="0016331D" w:rsidRPr="0019600C" w14:paraId="1B10F62A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6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pH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7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7.0–8.5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8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7.0–8.5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9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7.4</w:t>
            </w:r>
          </w:p>
        </w:tc>
      </w:tr>
      <w:tr w:rsidR="0016331D" w:rsidRPr="0019600C" w14:paraId="1B10F62F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B" w14:textId="77777777" w:rsidR="0016331D" w:rsidRPr="00C50BC7" w:rsidRDefault="00000000">
            <w:pPr>
              <w:spacing w:line="264" w:lineRule="auto"/>
              <w:jc w:val="center"/>
              <w:rPr>
                <w:rFonts w:ascii="Source Sans 3" w:hAnsi="Source Sans 3"/>
                <w:b/>
                <w:bCs/>
              </w:rPr>
            </w:pPr>
            <w:r w:rsidRPr="00C50BC7">
              <w:rPr>
                <w:rFonts w:ascii="Source Sans 3" w:eastAsia="Source Sans 3" w:hAnsi="Source Sans 3" w:cs="Source Sans 3"/>
                <w:b/>
                <w:bCs/>
                <w:color w:val="000000"/>
              </w:rPr>
              <w:t>Osmolality (mOsm/L)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C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287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D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293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E" w14:textId="77777777" w:rsidR="0016331D" w:rsidRPr="0019600C" w:rsidRDefault="00000000">
            <w:pPr>
              <w:spacing w:line="264" w:lineRule="auto"/>
              <w:jc w:val="center"/>
              <w:rPr>
                <w:rFonts w:ascii="Source Sans 3" w:hAnsi="Source Sans 3"/>
              </w:rPr>
            </w:pPr>
            <w:r w:rsidRPr="0019600C">
              <w:rPr>
                <w:rFonts w:ascii="Source Sans 3" w:eastAsia="Source Sans 3" w:hAnsi="Source Sans 3" w:cs="Source Sans 3"/>
                <w:color w:val="000000"/>
              </w:rPr>
              <w:t>300</w:t>
            </w:r>
          </w:p>
        </w:tc>
      </w:tr>
    </w:tbl>
    <w:p w14:paraId="1B10F630" w14:textId="77777777" w:rsidR="0016331D" w:rsidRPr="00FD0EAB" w:rsidRDefault="00000000" w:rsidP="00BE4745">
      <w:pPr>
        <w:spacing w:line="276" w:lineRule="auto"/>
        <w:ind w:left="680"/>
        <w:rPr>
          <w:sz w:val="18"/>
          <w:szCs w:val="18"/>
        </w:rPr>
      </w:pPr>
      <w:r w:rsidRPr="00FD0EAB">
        <w:rPr>
          <w:rFonts w:ascii="Source Sans 3" w:eastAsia="Source Sans 3" w:hAnsi="Source Sans 3" w:cs="Source Sans 3"/>
          <w:color w:val="000000"/>
        </w:rPr>
        <w:t>(P 1.2 mmol/L = 3.7 mg/dL)</w:t>
      </w:r>
    </w:p>
    <w:p w14:paraId="577104BD" w14:textId="77777777" w:rsidR="00FD0EAB" w:rsidRDefault="00FD0EAB">
      <w:pPr>
        <w:widowControl/>
        <w:wordWrap/>
        <w:autoSpaceDE/>
        <w:autoSpaceDN/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</w:pPr>
      <w:r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  <w:br w:type="page"/>
      </w:r>
    </w:p>
    <w:p w14:paraId="1B10F631" w14:textId="5F1C302D" w:rsidR="0016331D" w:rsidRPr="00335C1E" w:rsidRDefault="00000000">
      <w:pPr>
        <w:pStyle w:val="a4"/>
        <w:numPr>
          <w:ilvl w:val="0"/>
          <w:numId w:val="2"/>
        </w:numPr>
        <w:rPr>
          <w:caps/>
        </w:rPr>
      </w:pPr>
      <w:r w:rsidRPr="00335C1E">
        <w:rPr>
          <w:rFonts w:ascii="Source Sans 3" w:eastAsia="Source Sans 3" w:hAnsi="Source Sans 3" w:cs="Source Sans 3"/>
          <w:b/>
          <w:bCs/>
          <w:caps/>
          <w:color w:val="1428A0"/>
          <w:sz w:val="32"/>
          <w:szCs w:val="32"/>
        </w:rPr>
        <w:lastRenderedPageBreak/>
        <w:t>Electrolyte and Acid-Base Imbalance Correction</w:t>
      </w:r>
    </w:p>
    <w:p w14:paraId="1B10F632" w14:textId="77777777" w:rsidR="0016331D" w:rsidRDefault="00000000">
      <w:pPr>
        <w:pStyle w:val="a4"/>
        <w:numPr>
          <w:ilvl w:val="1"/>
          <w:numId w:val="2"/>
        </w:numPr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Chronic hyponatremia</w:t>
      </w:r>
    </w:p>
    <w:p w14:paraId="1B10F633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Correction goal: ΔNa &lt; 10 mmol/L over 24 hours</w:t>
      </w:r>
    </w:p>
    <w:p w14:paraId="1B10F634" w14:textId="768C93C3" w:rsidR="0016331D" w:rsidRPr="00AF0B48" w:rsidRDefault="00000000">
      <w:pPr>
        <w:pStyle w:val="a4"/>
        <w:numPr>
          <w:ilvl w:val="2"/>
          <w:numId w:val="2"/>
        </w:numPr>
        <w:rPr>
          <w:sz w:val="18"/>
          <w:szCs w:val="18"/>
        </w:r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 xml:space="preserve">High risk of osmotic demyelination syndrome: </w:t>
      </w:r>
      <w:r w:rsidR="00126AC2" w:rsidRPr="00AF0B48">
        <w:rPr>
          <w:rFonts w:ascii="Source Sans 3" w:eastAsia="Source Sans 3" w:hAnsi="Source Sans 3" w:cs="Source Sans 3"/>
          <w:color w:val="000000"/>
          <w:sz w:val="22"/>
          <w:szCs w:val="22"/>
        </w:rPr>
        <w:t>serum Na concentration ≤ 110 mmol/L in patients with hypokalemia, alcoholism, malnutrition, or advanced liver disease</w:t>
      </w:r>
      <w:r w:rsidR="00126AC2" w:rsidRPr="00AF0B48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</w:t>
      </w:r>
    </w:p>
    <w:p w14:paraId="1B10F635" w14:textId="3978C7CA" w:rsidR="0016331D" w:rsidRDefault="00F4543E">
      <w:pPr>
        <w:pStyle w:val="a4"/>
        <w:numPr>
          <w:ilvl w:val="2"/>
          <w:numId w:val="2"/>
        </w:numPr>
      </w:pPr>
      <w:r w:rsidRPr="00F4543E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Correction strategy</w:t>
      </w:r>
    </w:p>
    <w:p w14:paraId="1B10F636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At CKRT initiation</w:t>
      </w:r>
    </w:p>
    <w:p w14:paraId="1B10F638" w14:textId="6E237F03" w:rsidR="0016331D" w:rsidRPr="003D763F" w:rsidRDefault="00000000" w:rsidP="003D763F">
      <w:pPr>
        <w:pStyle w:val="a4"/>
        <w:numPr>
          <w:ilvl w:val="4"/>
          <w:numId w:val="2"/>
        </w:numPr>
        <w:rPr>
          <w:rFonts w:hint="eastAsia"/>
        </w:rPr>
      </w:pPr>
      <w:r w:rsidRPr="00CE4E56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5% DW (dextrose water)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: start infusion via a separate line at the following rates according to the severity of hyponatremia</w:t>
      </w:r>
    </w:p>
    <w:tbl>
      <w:tblPr>
        <w:tblW w:w="7596" w:type="dxa"/>
        <w:tblInd w:w="119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798"/>
        <w:gridCol w:w="3798"/>
      </w:tblGrid>
      <w:tr w:rsidR="000E4E5E" w:rsidRPr="000E4E5E" w14:paraId="44CF1554" w14:textId="77777777" w:rsidTr="007921F9">
        <w:trPr>
          <w:tblHeader/>
        </w:trPr>
        <w:tc>
          <w:tcPr>
            <w:tcW w:w="379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B3730" w14:textId="77777777" w:rsidR="000E4E5E" w:rsidRPr="000E4E5E" w:rsidRDefault="000E4E5E" w:rsidP="00EC6BC6">
            <w:pPr>
              <w:spacing w:line="280" w:lineRule="auto"/>
              <w:jc w:val="center"/>
              <w:rPr>
                <w:rFonts w:ascii="Source Sans 3" w:hAnsi="Source Sans 3"/>
              </w:rPr>
            </w:pPr>
            <w:r w:rsidRPr="000E4E5E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Serum Na (mmol/L)</w:t>
            </w:r>
          </w:p>
        </w:tc>
        <w:tc>
          <w:tcPr>
            <w:tcW w:w="379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0D6D8" w14:textId="77777777" w:rsidR="000E4E5E" w:rsidRPr="000E4E5E" w:rsidRDefault="000E4E5E" w:rsidP="00EC6BC6">
            <w:pPr>
              <w:spacing w:line="280" w:lineRule="auto"/>
              <w:jc w:val="center"/>
              <w:rPr>
                <w:rFonts w:ascii="Source Sans 3" w:hAnsi="Source Sans 3"/>
              </w:rPr>
            </w:pPr>
            <w:r w:rsidRPr="000E4E5E">
              <w:rPr>
                <w:rFonts w:ascii="Source Sans 3" w:eastAsia="삼성명조 L" w:hAnsi="Source Sans 3" w:cs="삼성명조 L"/>
                <w:b/>
                <w:bCs/>
                <w:color w:val="000000"/>
              </w:rPr>
              <w:t>5DW infusion rate</w:t>
            </w:r>
          </w:p>
        </w:tc>
      </w:tr>
      <w:tr w:rsidR="000E4E5E" w:rsidRPr="000E4E5E" w14:paraId="5972E0FA" w14:textId="77777777" w:rsidTr="007921F9"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210E7" w14:textId="77777777" w:rsidR="000E4E5E" w:rsidRPr="000E4E5E" w:rsidRDefault="000E4E5E" w:rsidP="00EC6BC6">
            <w:pPr>
              <w:spacing w:line="280" w:lineRule="auto"/>
              <w:jc w:val="center"/>
              <w:rPr>
                <w:rFonts w:ascii="Source Sans 3" w:hAnsi="Source Sans 3"/>
              </w:rPr>
            </w:pPr>
            <w:r w:rsidRPr="000E4E5E">
              <w:rPr>
                <w:rFonts w:ascii="Source Sans 3" w:eastAsia="삼성명조 L" w:hAnsi="Source Sans 3" w:cs="삼성명조 L"/>
                <w:color w:val="000000"/>
              </w:rPr>
              <w:t>116–125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F6282" w14:textId="77777777" w:rsidR="000E4E5E" w:rsidRPr="000E4E5E" w:rsidRDefault="000E4E5E" w:rsidP="00EC6BC6">
            <w:pPr>
              <w:spacing w:line="280" w:lineRule="auto"/>
              <w:jc w:val="center"/>
              <w:rPr>
                <w:rFonts w:ascii="Source Sans 3" w:hAnsi="Source Sans 3"/>
              </w:rPr>
            </w:pPr>
            <w:r w:rsidRPr="000E4E5E">
              <w:rPr>
                <w:rFonts w:ascii="Source Sans 3" w:eastAsia="삼성명조 L" w:hAnsi="Source Sans 3" w:cs="삼성명조 L"/>
                <w:color w:val="000000"/>
              </w:rPr>
              <w:t>2 mL/kg/hr</w:t>
            </w:r>
          </w:p>
        </w:tc>
      </w:tr>
      <w:tr w:rsidR="000E4E5E" w:rsidRPr="000E4E5E" w14:paraId="4B2948D0" w14:textId="77777777" w:rsidTr="007921F9"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DC92A" w14:textId="77777777" w:rsidR="000E4E5E" w:rsidRPr="000E4E5E" w:rsidRDefault="000E4E5E" w:rsidP="00EC6BC6">
            <w:pPr>
              <w:spacing w:line="280" w:lineRule="auto"/>
              <w:jc w:val="center"/>
              <w:rPr>
                <w:rFonts w:ascii="Source Sans 3" w:hAnsi="Source Sans 3"/>
              </w:rPr>
            </w:pPr>
            <w:r w:rsidRPr="000E4E5E">
              <w:rPr>
                <w:rFonts w:ascii="Source Sans 3" w:eastAsia="삼성명조 L" w:hAnsi="Source Sans 3" w:cs="삼성명조 L"/>
                <w:color w:val="000000"/>
              </w:rPr>
              <w:t>106–115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B0AC7" w14:textId="77777777" w:rsidR="000E4E5E" w:rsidRPr="000E4E5E" w:rsidRDefault="000E4E5E" w:rsidP="00EC6BC6">
            <w:pPr>
              <w:spacing w:line="280" w:lineRule="auto"/>
              <w:jc w:val="center"/>
              <w:rPr>
                <w:rFonts w:ascii="Source Sans 3" w:hAnsi="Source Sans 3"/>
              </w:rPr>
            </w:pPr>
            <w:r w:rsidRPr="000E4E5E">
              <w:rPr>
                <w:rFonts w:ascii="Source Sans 3" w:eastAsia="삼성명조 L" w:hAnsi="Source Sans 3" w:cs="삼성명조 L"/>
                <w:color w:val="000000"/>
              </w:rPr>
              <w:t>2.5 mL/kg/hr</w:t>
            </w:r>
          </w:p>
        </w:tc>
      </w:tr>
      <w:tr w:rsidR="000E4E5E" w:rsidRPr="000E4E5E" w14:paraId="26E213DF" w14:textId="77777777" w:rsidTr="007921F9"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B2936" w14:textId="77777777" w:rsidR="000E4E5E" w:rsidRPr="000E4E5E" w:rsidRDefault="000E4E5E" w:rsidP="00EC6BC6">
            <w:pPr>
              <w:spacing w:line="280" w:lineRule="auto"/>
              <w:jc w:val="center"/>
              <w:rPr>
                <w:rFonts w:ascii="Source Sans 3" w:hAnsi="Source Sans 3"/>
              </w:rPr>
            </w:pPr>
            <w:r w:rsidRPr="000E4E5E">
              <w:rPr>
                <w:rFonts w:ascii="Source Sans 3" w:eastAsia="삼성명조 L" w:hAnsi="Source Sans 3" w:cs="삼성명조 L"/>
                <w:color w:val="000000"/>
              </w:rPr>
              <w:t>&lt; 105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8A155" w14:textId="77777777" w:rsidR="000E4E5E" w:rsidRPr="000E4E5E" w:rsidRDefault="000E4E5E" w:rsidP="00EC6BC6">
            <w:pPr>
              <w:spacing w:line="280" w:lineRule="auto"/>
              <w:jc w:val="center"/>
              <w:rPr>
                <w:rFonts w:ascii="Source Sans 3" w:hAnsi="Source Sans 3"/>
              </w:rPr>
            </w:pPr>
            <w:r w:rsidRPr="000E4E5E">
              <w:rPr>
                <w:rFonts w:ascii="Source Sans 3" w:eastAsia="삼성명조 L" w:hAnsi="Source Sans 3" w:cs="삼성명조 L"/>
                <w:color w:val="000000"/>
              </w:rPr>
              <w:t>3 mL/kg/hr</w:t>
            </w:r>
          </w:p>
        </w:tc>
      </w:tr>
    </w:tbl>
    <w:p w14:paraId="1B10F645" w14:textId="193805CC" w:rsidR="0016331D" w:rsidRDefault="00000000" w:rsidP="00213712">
      <w:pPr>
        <w:pStyle w:val="a4"/>
        <w:numPr>
          <w:ilvl w:val="4"/>
          <w:numId w:val="2"/>
        </w:numPr>
        <w:spacing w:before="80"/>
        <w:ind w:left="1191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CKRT: </w:t>
      </w:r>
      <w:r w:rsidR="00BE3C8A">
        <w:rPr>
          <w:rFonts w:ascii="Source Sans 3" w:hAnsi="Source Sans 3" w:cs="Source Sans 3" w:hint="eastAsia"/>
          <w:color w:val="000000"/>
          <w:sz w:val="22"/>
          <w:szCs w:val="22"/>
        </w:rPr>
        <w:t>u</w:t>
      </w:r>
      <w:r w:rsidR="00BE3C8A" w:rsidRPr="00BE3C8A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nless HCO₃⁻ &lt; 15 mmol/L or serum K ≥ 6.5 mmol/L, </w:t>
      </w:r>
      <w:r w:rsidR="00BE3C8A" w:rsidRPr="005C2E93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initiate CKRT at one step lower than the standard initial dose</w:t>
      </w:r>
    </w:p>
    <w:p w14:paraId="1B10F646" w14:textId="02CF41AB" w:rsidR="0016331D" w:rsidRDefault="00713CDD">
      <w:pPr>
        <w:pStyle w:val="a4"/>
        <w:numPr>
          <w:ilvl w:val="3"/>
          <w:numId w:val="2"/>
        </w:numPr>
      </w:pPr>
      <w:r w:rsidRPr="005F5263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Check electrolytes twice at 2-hour intervals</w:t>
      </w:r>
      <w:r w:rsidRPr="00713CDD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after CKRT initiation</w:t>
      </w:r>
    </w:p>
    <w:p w14:paraId="1B10F647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ΔNa ≥ 2 mmol/L at 2 hours: increase DW infusion rate by 50%</w:t>
      </w:r>
    </w:p>
    <w:p w14:paraId="1B10F648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ΔNa = 1 mmol/L at 2 hours: maintain DW infusion rate</w:t>
      </w:r>
    </w:p>
    <w:p w14:paraId="1B10F649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ΔNa &lt; 1 mmol/L at 2 hours: (if serum Na is unchanged) reduce DW infusion rate</w:t>
      </w:r>
    </w:p>
    <w:p w14:paraId="4589C3DD" w14:textId="512BBC2B" w:rsidR="009150E9" w:rsidRPr="009150E9" w:rsidRDefault="009150E9">
      <w:pPr>
        <w:pStyle w:val="a4"/>
        <w:numPr>
          <w:ilvl w:val="3"/>
          <w:numId w:val="2"/>
        </w:numPr>
      </w:pPr>
      <w:r w:rsidRPr="009150E9">
        <w:rPr>
          <w:rFonts w:ascii="Source Sans 3" w:eastAsia="Source Sans 3" w:hAnsi="Source Sans 3" w:cs="Source Sans 3"/>
          <w:color w:val="000000"/>
          <w:sz w:val="22"/>
          <w:szCs w:val="22"/>
        </w:rPr>
        <w:t>If ΔNa remains ≤ 2 mmol/L over 4 hours based on two consecutive follow-up measurements, continue testing every 4 hours thereafter</w:t>
      </w:r>
    </w:p>
    <w:p w14:paraId="1B10F64B" w14:textId="77777777" w:rsidR="0016331D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Chronic hypernatremia</w:t>
      </w:r>
    </w:p>
    <w:p w14:paraId="1B10F64C" w14:textId="467B4BAA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 xml:space="preserve">Correction goal: </w:t>
      </w:r>
      <w:r w:rsidR="00D15A4B">
        <w:rPr>
          <w:rFonts w:ascii="Source Sans 3" w:hAnsi="Source Sans 3" w:cs="Source Sans 3" w:hint="eastAsia"/>
          <w:b/>
          <w:bCs/>
          <w:color w:val="000000"/>
          <w:sz w:val="24"/>
          <w:szCs w:val="24"/>
        </w:rPr>
        <w:t>g</w:t>
      </w:r>
      <w:r w:rsidR="00D15A4B" w:rsidRPr="00D15A4B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radually correct hypernatremia so that the decrease in serum sodium does not exceed 8 mmol/L over 24 hours</w:t>
      </w:r>
    </w:p>
    <w:p w14:paraId="1B10F64D" w14:textId="78CCBCFE" w:rsidR="0016331D" w:rsidRPr="00241B0B" w:rsidRDefault="008E6D5B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241B0B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>In s</w:t>
      </w:r>
      <w:r w:rsidRPr="00241B0B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evere hypernatremia (Na &gt; 165 mmol/L): target ΔNa ≤ 6 mmol/L over 24 hours</w:t>
      </w:r>
    </w:p>
    <w:p w14:paraId="1B10F64E" w14:textId="7D03A3A7" w:rsidR="0016331D" w:rsidRDefault="00F4543E">
      <w:pPr>
        <w:pStyle w:val="a4"/>
        <w:numPr>
          <w:ilvl w:val="2"/>
          <w:numId w:val="2"/>
        </w:numPr>
      </w:pPr>
      <w:r w:rsidRPr="00F4543E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Correction strategy</w:t>
      </w:r>
    </w:p>
    <w:p w14:paraId="1B10F64F" w14:textId="6C1EB678" w:rsidR="0016331D" w:rsidRDefault="00AF30E1">
      <w:pPr>
        <w:pStyle w:val="a4"/>
        <w:numPr>
          <w:ilvl w:val="3"/>
          <w:numId w:val="2"/>
        </w:numPr>
      </w:pPr>
      <w:r>
        <w:rPr>
          <w:rFonts w:ascii="Source Sans 3" w:hAnsi="Source Sans 3" w:cs="Source Sans 3" w:hint="eastAsia"/>
          <w:color w:val="000000"/>
          <w:sz w:val="22"/>
          <w:szCs w:val="22"/>
        </w:rPr>
        <w:t xml:space="preserve">Initiate 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CKRT after </w:t>
      </w:r>
      <w:r w:rsidR="00AF10D6" w:rsidRPr="007B4FF3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>adding</w:t>
      </w:r>
      <w:r w:rsidR="00000000" w:rsidRPr="007B4FF3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 xml:space="preserve"> NaCl </w:t>
      </w:r>
      <w:r w:rsidRPr="007B4FF3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or bivon</w:t>
      </w:r>
      <w:r w:rsidRPr="007B4FF3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 xml:space="preserve"> </w:t>
      </w:r>
      <w:r w:rsidR="00633A97" w:rsidRPr="007B4FF3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>(</w:t>
      </w:r>
      <w:r w:rsidRPr="007B4FF3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in cases of severe metabolic acidosis</w:t>
      </w:r>
      <w:r w:rsidR="00633A97" w:rsidRPr="007B4FF3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>)</w:t>
      </w:r>
      <w:r w:rsidRPr="007B4FF3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 xml:space="preserve"> </w:t>
      </w:r>
      <w:r w:rsidR="00000000" w:rsidRPr="007B4FF3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 xml:space="preserve">into the dialysate / pre-replacement fluid  </w:t>
      </w:r>
      <w:r w:rsidR="00B91114" w:rsidRPr="007B4FF3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so that the sodium concentration is approximately 5 mmol/L lower than the current serum sodium level</w:t>
      </w:r>
    </w:p>
    <w:p w14:paraId="1B10F650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Na concentration of the dialysate / replacement fluid (5L bag): 140 mmol/L</w:t>
      </w:r>
    </w:p>
    <w:p w14:paraId="1B10F651" w14:textId="67410872" w:rsidR="0016331D" w:rsidRDefault="00593F85">
      <w:pPr>
        <w:pStyle w:val="a4"/>
        <w:numPr>
          <w:ilvl w:val="5"/>
          <w:numId w:val="2"/>
        </w:numPr>
      </w:pPr>
      <w:r>
        <w:rPr>
          <w:rFonts w:ascii="Source Sans 3" w:hAnsi="Source Sans 3" w:cs="Source Sans 3" w:hint="eastAsia"/>
          <w:color w:val="000000"/>
          <w:sz w:val="22"/>
          <w:szCs w:val="22"/>
        </w:rPr>
        <w:t xml:space="preserve">Addition of 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1 ampule of NaCl (Na 40 mmol / 20 mL) </w:t>
      </w:r>
      <w:r>
        <w:rPr>
          <w:rFonts w:ascii="Source Sans 3" w:hAnsi="Source Sans 3" w:cs="Source Sans 3" w:hint="eastAsia"/>
          <w:color w:val="000000"/>
          <w:sz w:val="22"/>
          <w:szCs w:val="22"/>
        </w:rPr>
        <w:t xml:space="preserve">increases 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>Na</w:t>
      </w:r>
      <w:r>
        <w:rPr>
          <w:rFonts w:ascii="Source Sans 3" w:hAnsi="Source Sans 3" w:cs="Source Sans 3" w:hint="eastAsia"/>
          <w:color w:val="000000"/>
          <w:sz w:val="22"/>
          <w:szCs w:val="22"/>
        </w:rPr>
        <w:t xml:space="preserve"> </w:t>
      </w:r>
      <w:r w:rsidR="000D1069">
        <w:rPr>
          <w:rFonts w:ascii="Source Sans 3" w:hAnsi="Source Sans 3" w:cs="Source Sans 3" w:hint="eastAsia"/>
          <w:color w:val="000000"/>
          <w:sz w:val="22"/>
          <w:szCs w:val="22"/>
        </w:rPr>
        <w:t xml:space="preserve">concentration 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>by 8 mmol/L → 148 mmol/L</w:t>
      </w:r>
    </w:p>
    <w:p w14:paraId="1B10F652" w14:textId="3C4066B7" w:rsidR="0016331D" w:rsidRDefault="000D1069">
      <w:pPr>
        <w:pStyle w:val="a4"/>
        <w:numPr>
          <w:ilvl w:val="5"/>
          <w:numId w:val="2"/>
        </w:numPr>
      </w:pPr>
      <w:r>
        <w:rPr>
          <w:rFonts w:ascii="Source Sans 3" w:hAnsi="Source Sans 3" w:cs="Source Sans 3" w:hint="eastAsia"/>
          <w:color w:val="000000"/>
          <w:sz w:val="22"/>
          <w:szCs w:val="22"/>
        </w:rPr>
        <w:t xml:space="preserve">Addition of 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1 ampule of bivon (Na 20 mmol / 20 mL) </w:t>
      </w:r>
      <w:r>
        <w:rPr>
          <w:rFonts w:ascii="Source Sans 3" w:hAnsi="Source Sans 3" w:cs="Source Sans 3" w:hint="eastAsia"/>
          <w:color w:val="000000"/>
          <w:sz w:val="22"/>
          <w:szCs w:val="22"/>
        </w:rPr>
        <w:t xml:space="preserve">increases 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>Na</w:t>
      </w:r>
      <w:r>
        <w:rPr>
          <w:rFonts w:ascii="Source Sans 3" w:hAnsi="Source Sans 3" w:cs="Source Sans 3" w:hint="eastAsia"/>
          <w:color w:val="000000"/>
          <w:sz w:val="22"/>
          <w:szCs w:val="22"/>
        </w:rPr>
        <w:t xml:space="preserve"> concentration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by 4 mmol/L → 144 mmol/L</w:t>
      </w:r>
    </w:p>
    <w:p w14:paraId="7C508552" w14:textId="77777777" w:rsidR="00B575D0" w:rsidRPr="00B575D0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lastRenderedPageBreak/>
        <w:t>Follow-up testing</w:t>
      </w:r>
    </w:p>
    <w:p w14:paraId="2C4F07CB" w14:textId="6EEAD23B" w:rsidR="00A51EBE" w:rsidRPr="00A51EBE" w:rsidRDefault="00557255" w:rsidP="00B575D0">
      <w:pPr>
        <w:pStyle w:val="a4"/>
        <w:numPr>
          <w:ilvl w:val="4"/>
          <w:numId w:val="2"/>
        </w:numPr>
        <w:rPr>
          <w:rFonts w:ascii="Source Sans 3" w:hAnsi="Source Sans 3" w:cs="Source Sans 3"/>
          <w:color w:val="000000"/>
          <w:sz w:val="22"/>
          <w:szCs w:val="22"/>
        </w:rPr>
      </w:pPr>
      <w:r w:rsidRPr="00557255">
        <w:rPr>
          <w:rFonts w:ascii="Source Sans 3" w:hAnsi="Source Sans 3" w:cs="Source Sans 3"/>
          <w:color w:val="000000"/>
          <w:sz w:val="22"/>
          <w:szCs w:val="22"/>
        </w:rPr>
        <w:t>Perform follow-up testing 2 hours later</w:t>
      </w:r>
      <w:r w:rsidR="00B575D0" w:rsidRPr="00B575D0">
        <w:t xml:space="preserve"> </w:t>
      </w:r>
    </w:p>
    <w:p w14:paraId="1EC14455" w14:textId="41901952" w:rsidR="00B575D0" w:rsidRPr="00B575D0" w:rsidRDefault="00B575D0" w:rsidP="00B575D0">
      <w:pPr>
        <w:pStyle w:val="a4"/>
        <w:numPr>
          <w:ilvl w:val="4"/>
          <w:numId w:val="2"/>
        </w:numPr>
        <w:rPr>
          <w:rFonts w:ascii="Source Sans 3" w:hAnsi="Source Sans 3" w:cs="Source Sans 3"/>
          <w:color w:val="000000"/>
          <w:sz w:val="22"/>
          <w:szCs w:val="22"/>
        </w:rPr>
      </w:pPr>
      <w:r w:rsidRPr="00B575D0">
        <w:rPr>
          <w:rFonts w:ascii="Source Sans 3" w:hAnsi="Source Sans 3" w:cs="Source Sans 3"/>
          <w:color w:val="000000"/>
          <w:sz w:val="22"/>
          <w:szCs w:val="22"/>
        </w:rPr>
        <w:t>If results are acceptable on two or more occasions, extend the testing interval to every 4 hours</w:t>
      </w:r>
    </w:p>
    <w:p w14:paraId="17A02BD7" w14:textId="50282A3E" w:rsidR="00B575D0" w:rsidRPr="00B575D0" w:rsidRDefault="00B575D0" w:rsidP="00B575D0">
      <w:pPr>
        <w:pStyle w:val="a4"/>
        <w:numPr>
          <w:ilvl w:val="4"/>
          <w:numId w:val="2"/>
        </w:numPr>
      </w:pPr>
      <w:r w:rsidRPr="00B575D0">
        <w:rPr>
          <w:rFonts w:ascii="Source Sans 3" w:hAnsi="Source Sans 3" w:cs="Source Sans 3"/>
          <w:color w:val="000000"/>
          <w:sz w:val="22"/>
          <w:szCs w:val="22"/>
        </w:rPr>
        <w:t>If sodium is being corrected gradually and remains stable for more than 24 hours, extend the interval to every 6 hours</w:t>
      </w:r>
    </w:p>
    <w:p w14:paraId="1B10F654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Special situation: therapeutic induction of hypernatremia</w:t>
      </w:r>
    </w:p>
    <w:p w14:paraId="1B10F655" w14:textId="093F8EE7" w:rsidR="0016331D" w:rsidRDefault="008F251C">
      <w:pPr>
        <w:pStyle w:val="a4"/>
        <w:numPr>
          <w:ilvl w:val="3"/>
          <w:numId w:val="2"/>
        </w:numPr>
      </w:pPr>
      <w:r w:rsidRPr="008F251C">
        <w:rPr>
          <w:rFonts w:ascii="Source Sans 3" w:eastAsia="Source Sans 3" w:hAnsi="Source Sans 3" w:cs="Source Sans 3"/>
          <w:color w:val="000000"/>
          <w:sz w:val="22"/>
          <w:szCs w:val="22"/>
        </w:rPr>
        <w:t>When hypernatremia needs to be induced or maintained therapeutically in the setting of elevated intracranial pressure, use the above principles to add NaCl or bivon</w:t>
      </w:r>
      <w:r>
        <w:rPr>
          <w:rFonts w:ascii="Source Sans 3" w:hAnsi="Source Sans 3" w:cs="Source Sans 3" w:hint="eastAsia"/>
          <w:color w:val="000000"/>
          <w:sz w:val="22"/>
          <w:szCs w:val="22"/>
        </w:rPr>
        <w:t xml:space="preserve"> 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to the pre-replacement / dialysate / post-replacement fluid </w:t>
      </w:r>
      <w:r w:rsidR="008A0C32" w:rsidRPr="008A0C32">
        <w:rPr>
          <w:rFonts w:ascii="Source Sans 3" w:eastAsia="Source Sans 3" w:hAnsi="Source Sans 3" w:cs="Source Sans 3"/>
          <w:color w:val="000000"/>
          <w:sz w:val="22"/>
          <w:szCs w:val="22"/>
        </w:rPr>
        <w:t>in order to maintain the target serum sodium level</w:t>
      </w:r>
    </w:p>
    <w:p w14:paraId="635EE217" w14:textId="77777777" w:rsidR="0088277C" w:rsidRPr="0088277C" w:rsidRDefault="0088277C">
      <w:pPr>
        <w:pStyle w:val="a4"/>
        <w:numPr>
          <w:ilvl w:val="3"/>
          <w:numId w:val="2"/>
        </w:numPr>
      </w:pPr>
      <w:r w:rsidRPr="0088277C">
        <w:rPr>
          <w:rFonts w:ascii="Source Sans 3" w:eastAsia="Source Sans 3" w:hAnsi="Source Sans 3" w:cs="Source Sans 3"/>
          <w:color w:val="000000"/>
          <w:sz w:val="22"/>
          <w:szCs w:val="22"/>
        </w:rPr>
        <w:t>If the serum sodium rises above the intended target, discontinue NaCl or bivon supplementation in the post-replacement fluid first</w:t>
      </w:r>
    </w:p>
    <w:p w14:paraId="1B10F657" w14:textId="77777777" w:rsidR="0016331D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Hypercalcemia</w:t>
      </w:r>
    </w:p>
    <w:p w14:paraId="1B10F658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Calcium-free CKRT fluid</w:t>
      </w:r>
    </w:p>
    <w:p w14:paraId="1B10F659" w14:textId="0EA7D628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Initiation criteria: apply the protocol below when </w:t>
      </w:r>
      <w:r w:rsidRPr="009758AA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ionized Ca persists at ≥ 1.4 mmol/L and there is an underlying disease likely to cause hypercalcemia</w:t>
      </w:r>
    </w:p>
    <w:p w14:paraId="1B10F65A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Method of applying calcium-free fluid</w:t>
      </w:r>
    </w:p>
    <w:p w14:paraId="1B10F65B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Apply the calcium-free protocol first to the post-replacement fluid</w:t>
      </w:r>
    </w:p>
    <w:p w14:paraId="1B10F65C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Decide subsequently whether to apply it to the pre-replacement fluid as well, based on the trend of calcium levels</w:t>
      </w:r>
    </w:p>
    <w:p w14:paraId="1B10F65D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When applying calcium-free to the pre-replacement fluid, if K ≤ 4.5 and P ≥ 3.6, use Hemosol B0 solution mixed with KCl instead of Multibic 4K.</w:t>
      </w:r>
    </w:p>
    <w:p w14:paraId="1B10F65E" w14:textId="58D314D3" w:rsidR="0016331D" w:rsidRDefault="00000000">
      <w:pPr>
        <w:pStyle w:val="a4"/>
        <w:numPr>
          <w:ilvl w:val="5"/>
          <w:numId w:val="2"/>
        </w:numPr>
      </w:pPr>
      <w:r w:rsidRPr="00DC6DAC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Multibic 4K's A bag contains potassium; therefore, omitting the A bag results in a potassium-free state</w:t>
      </w:r>
    </w:p>
    <w:p w14:paraId="1B10F65F" w14:textId="32A12EDB" w:rsidR="0016331D" w:rsidRDefault="00000000" w:rsidP="00DC6DAC">
      <w:pPr>
        <w:spacing w:before="360" w:after="60" w:line="276" w:lineRule="auto"/>
        <w:rPr>
          <w:rFonts w:ascii="Source Sans 3" w:hAnsi="Source Sans 3" w:cs="Source Sans 3"/>
          <w:b/>
          <w:bCs/>
          <w:color w:val="000000"/>
          <w:sz w:val="22"/>
          <w:szCs w:val="22"/>
        </w:rPr>
      </w:pPr>
      <w:r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Table 7. Fluid protocol in concomitant hypercalcemia</w:t>
      </w:r>
    </w:p>
    <w:tbl>
      <w:tblPr>
        <w:tblStyle w:val="ac"/>
        <w:tblW w:w="9104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282"/>
        <w:gridCol w:w="1247"/>
        <w:gridCol w:w="1247"/>
        <w:gridCol w:w="1417"/>
        <w:gridCol w:w="1417"/>
        <w:gridCol w:w="2494"/>
      </w:tblGrid>
      <w:tr w:rsidR="00811E4D" w:rsidRPr="00B956F9" w14:paraId="218CA822" w14:textId="77777777" w:rsidTr="004A5A68">
        <w:trPr>
          <w:trHeight w:val="624"/>
        </w:trPr>
        <w:tc>
          <w:tcPr>
            <w:tcW w:w="1282" w:type="dxa"/>
            <w:vMerge w:val="restart"/>
            <w:vAlign w:val="center"/>
          </w:tcPr>
          <w:p w14:paraId="191F6251" w14:textId="5DE177F4" w:rsidR="00811E4D" w:rsidRPr="00E059AB" w:rsidRDefault="00811E4D" w:rsidP="00EC6BC6">
            <w:pPr>
              <w:spacing w:before="120" w:after="60" w:line="144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494" w:type="dxa"/>
            <w:gridSpan w:val="2"/>
            <w:shd w:val="clear" w:color="auto" w:fill="8CBAFF"/>
            <w:vAlign w:val="center"/>
          </w:tcPr>
          <w:p w14:paraId="5BFD4883" w14:textId="706978C5" w:rsidR="00811E4D" w:rsidRPr="00E059AB" w:rsidRDefault="00811E4D" w:rsidP="002F3FDE">
            <w:pPr>
              <w:spacing w:line="192" w:lineRule="auto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Dialysate</w:t>
            </w:r>
          </w:p>
        </w:tc>
        <w:tc>
          <w:tcPr>
            <w:tcW w:w="2834" w:type="dxa"/>
            <w:gridSpan w:val="2"/>
            <w:shd w:val="clear" w:color="auto" w:fill="8CBAFF"/>
            <w:vAlign w:val="center"/>
          </w:tcPr>
          <w:p w14:paraId="6D44140B" w14:textId="77777777" w:rsidR="00811E4D" w:rsidRDefault="00811E4D" w:rsidP="00EC6BC6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Pre-replacement fluid</w:t>
            </w:r>
          </w:p>
          <w:p w14:paraId="0DF46C0A" w14:textId="77638584" w:rsidR="002F3FDE" w:rsidRPr="00E059AB" w:rsidRDefault="002F3FDE" w:rsidP="00EC6BC6">
            <w:pPr>
              <w:spacing w:line="192" w:lineRule="auto"/>
              <w:jc w:val="center"/>
              <w:rPr>
                <w:rFonts w:ascii="Source Sans 3" w:hAnsi="Source Sans 3" w:cs="Source Sans 3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ource Sans 3" w:eastAsia="삼성명조 L" w:hAnsi="Source Sans 3" w:cs="삼성명조 L" w:hint="eastAsia"/>
                <w:b/>
                <w:bCs/>
                <w:color w:val="000000"/>
                <w:sz w:val="21"/>
                <w:szCs w:val="21"/>
              </w:rPr>
              <w:t>(Optional)</w:t>
            </w:r>
          </w:p>
        </w:tc>
        <w:tc>
          <w:tcPr>
            <w:tcW w:w="2494" w:type="dxa"/>
            <w:shd w:val="clear" w:color="auto" w:fill="8CBAFF"/>
            <w:vAlign w:val="center"/>
          </w:tcPr>
          <w:p w14:paraId="1C3E6A9C" w14:textId="7AA492D4" w:rsidR="00811E4D" w:rsidRPr="00E059AB" w:rsidRDefault="00811E4D" w:rsidP="00EC6BC6">
            <w:pPr>
              <w:spacing w:line="192" w:lineRule="auto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Post-replacement fluid</w:t>
            </w:r>
          </w:p>
        </w:tc>
      </w:tr>
      <w:tr w:rsidR="00AC34EF" w:rsidRPr="00B956F9" w14:paraId="4DBF0201" w14:textId="77777777" w:rsidTr="008E5CBE">
        <w:trPr>
          <w:trHeight w:val="479"/>
        </w:trPr>
        <w:tc>
          <w:tcPr>
            <w:tcW w:w="1282" w:type="dxa"/>
            <w:vMerge/>
            <w:vAlign w:val="center"/>
          </w:tcPr>
          <w:p w14:paraId="2C1AE271" w14:textId="77777777" w:rsidR="00AC34EF" w:rsidRPr="00B956F9" w:rsidRDefault="00AC34EF" w:rsidP="00EC6BC6">
            <w:pPr>
              <w:spacing w:before="120" w:after="60"/>
              <w:jc w:val="center"/>
              <w:rPr>
                <w:rFonts w:ascii="Source Sans 3" w:hAnsi="Source Sans 3" w:cs="Source Sans 3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BEDAFF"/>
            <w:vAlign w:val="center"/>
          </w:tcPr>
          <w:p w14:paraId="1E6DC479" w14:textId="77777777" w:rsidR="00AC34EF" w:rsidRPr="00E059AB" w:rsidRDefault="00AC34EF" w:rsidP="00EC6BC6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247" w:type="dxa"/>
            <w:shd w:val="clear" w:color="auto" w:fill="BEDAFF"/>
            <w:vAlign w:val="center"/>
          </w:tcPr>
          <w:p w14:paraId="74170B01" w14:textId="77777777" w:rsidR="00AC34EF" w:rsidRPr="00E059AB" w:rsidRDefault="00AC34EF" w:rsidP="00EC6BC6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417" w:type="dxa"/>
            <w:shd w:val="clear" w:color="auto" w:fill="BEDAFF"/>
            <w:vAlign w:val="center"/>
          </w:tcPr>
          <w:p w14:paraId="330E1648" w14:textId="77777777" w:rsidR="00AC34EF" w:rsidRPr="00E059AB" w:rsidRDefault="00AC34EF" w:rsidP="00EC6BC6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417" w:type="dxa"/>
            <w:shd w:val="clear" w:color="auto" w:fill="BEDAFF"/>
            <w:vAlign w:val="center"/>
          </w:tcPr>
          <w:p w14:paraId="3E7997CE" w14:textId="77777777" w:rsidR="00AC34EF" w:rsidRPr="00E059AB" w:rsidRDefault="00AC34EF" w:rsidP="00EC6BC6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2494" w:type="dxa"/>
            <w:shd w:val="clear" w:color="auto" w:fill="BEDAFF"/>
            <w:vAlign w:val="center"/>
          </w:tcPr>
          <w:p w14:paraId="72C6BFF5" w14:textId="4FB1139B" w:rsidR="00AC34EF" w:rsidRPr="00E059AB" w:rsidRDefault="00AC34EF" w:rsidP="00EC6BC6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A47714" w:rsidRPr="00B956F9" w14:paraId="622EDE6D" w14:textId="77777777" w:rsidTr="003E5155">
        <w:trPr>
          <w:trHeight w:val="397"/>
        </w:trPr>
        <w:tc>
          <w:tcPr>
            <w:tcW w:w="1282" w:type="dxa"/>
            <w:shd w:val="clear" w:color="auto" w:fill="BEDAFF"/>
            <w:vAlign w:val="center"/>
          </w:tcPr>
          <w:p w14:paraId="33BCBEB3" w14:textId="77777777" w:rsidR="00A47714" w:rsidRPr="00E059AB" w:rsidRDefault="00A47714" w:rsidP="003E5155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K ≤ 4.5</w:t>
            </w:r>
          </w:p>
        </w:tc>
        <w:tc>
          <w:tcPr>
            <w:tcW w:w="1247" w:type="dxa"/>
            <w:vAlign w:val="center"/>
          </w:tcPr>
          <w:p w14:paraId="6AECA6CD" w14:textId="77777777" w:rsidR="00A47714" w:rsidRPr="00A47714" w:rsidRDefault="00A47714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247" w:type="dxa"/>
            <w:vAlign w:val="center"/>
          </w:tcPr>
          <w:p w14:paraId="13C7F525" w14:textId="77777777" w:rsidR="00A47714" w:rsidRPr="00A47714" w:rsidRDefault="00A47714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417" w:type="dxa"/>
            <w:vAlign w:val="center"/>
          </w:tcPr>
          <w:p w14:paraId="598DAEDC" w14:textId="77777777" w:rsidR="002F3FDE" w:rsidRDefault="00A47714" w:rsidP="003E5155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</w:pPr>
            <w:r w:rsidRPr="00A47714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Hemosol B0 without A bag</w:t>
            </w:r>
          </w:p>
          <w:p w14:paraId="79144ADB" w14:textId="2B7A013E" w:rsidR="00A47714" w:rsidRPr="00A47714" w:rsidRDefault="00A47714" w:rsidP="003E5155">
            <w:pPr>
              <w:spacing w:line="192" w:lineRule="auto"/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+ 1 bag of KCl 20 mmol / NS 100 mL</w:t>
            </w:r>
          </w:p>
        </w:tc>
        <w:tc>
          <w:tcPr>
            <w:tcW w:w="1417" w:type="dxa"/>
            <w:vAlign w:val="center"/>
          </w:tcPr>
          <w:p w14:paraId="1A88992A" w14:textId="0F3E386A" w:rsidR="00A47714" w:rsidRPr="00A47714" w:rsidRDefault="00A47714" w:rsidP="003E5155">
            <w:pPr>
              <w:spacing w:line="192" w:lineRule="auto"/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 without A bag</w:t>
            </w:r>
          </w:p>
        </w:tc>
        <w:tc>
          <w:tcPr>
            <w:tcW w:w="2494" w:type="dxa"/>
            <w:vAlign w:val="center"/>
          </w:tcPr>
          <w:p w14:paraId="19B8D0CC" w14:textId="78FB8E25" w:rsidR="00A47714" w:rsidRPr="00A47714" w:rsidRDefault="00A47714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Hemosol B0 without A bag</w:t>
            </w:r>
          </w:p>
        </w:tc>
      </w:tr>
      <w:tr w:rsidR="00A47714" w:rsidRPr="00B956F9" w14:paraId="34311B87" w14:textId="77777777" w:rsidTr="003E5155">
        <w:trPr>
          <w:trHeight w:val="397"/>
        </w:trPr>
        <w:tc>
          <w:tcPr>
            <w:tcW w:w="1282" w:type="dxa"/>
            <w:shd w:val="clear" w:color="auto" w:fill="BEDAFF"/>
            <w:vAlign w:val="center"/>
          </w:tcPr>
          <w:p w14:paraId="3B17DDE7" w14:textId="77777777" w:rsidR="00A47714" w:rsidRPr="00E059AB" w:rsidRDefault="00A47714" w:rsidP="003E5155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4.6 ≤ K ≤ 5.0</w:t>
            </w:r>
          </w:p>
        </w:tc>
        <w:tc>
          <w:tcPr>
            <w:tcW w:w="1247" w:type="dxa"/>
            <w:vAlign w:val="center"/>
          </w:tcPr>
          <w:p w14:paraId="1DA8CCBF" w14:textId="77777777" w:rsidR="00A47714" w:rsidRPr="00A47714" w:rsidRDefault="00A47714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247" w:type="dxa"/>
            <w:vAlign w:val="center"/>
          </w:tcPr>
          <w:p w14:paraId="6FC38F74" w14:textId="77777777" w:rsidR="00A47714" w:rsidRPr="00A47714" w:rsidRDefault="00A47714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eastAsia="삼성명조 L" w:hAnsi="Source Sans 3" w:cs="삼성명조 L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834" w:type="dxa"/>
            <w:gridSpan w:val="2"/>
            <w:vAlign w:val="center"/>
          </w:tcPr>
          <w:p w14:paraId="48A8AFE8" w14:textId="592515DB" w:rsidR="00A47714" w:rsidRPr="00A47714" w:rsidRDefault="00A47714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hAnsi="Source Sans 3" w:cs="Source Sans 3"/>
                <w:color w:val="000000"/>
                <w:sz w:val="21"/>
                <w:szCs w:val="21"/>
              </w:rPr>
              <w:t>Hemosol B0 without A bag</w:t>
            </w:r>
          </w:p>
        </w:tc>
        <w:tc>
          <w:tcPr>
            <w:tcW w:w="2494" w:type="dxa"/>
            <w:vAlign w:val="center"/>
          </w:tcPr>
          <w:p w14:paraId="0A7135FF" w14:textId="4F4E73D7" w:rsidR="00A47714" w:rsidRPr="00A47714" w:rsidRDefault="00A47714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hAnsi="Source Sans 3" w:cs="Source Sans 3"/>
                <w:color w:val="000000"/>
                <w:sz w:val="21"/>
                <w:szCs w:val="21"/>
              </w:rPr>
              <w:t>Hemosol B0 without A bag</w:t>
            </w:r>
          </w:p>
        </w:tc>
      </w:tr>
      <w:tr w:rsidR="00AC34EF" w:rsidRPr="00B956F9" w14:paraId="38DF8DD2" w14:textId="77777777" w:rsidTr="003E5155">
        <w:trPr>
          <w:trHeight w:val="397"/>
        </w:trPr>
        <w:tc>
          <w:tcPr>
            <w:tcW w:w="1282" w:type="dxa"/>
            <w:shd w:val="clear" w:color="auto" w:fill="BEDAFF"/>
            <w:vAlign w:val="center"/>
          </w:tcPr>
          <w:p w14:paraId="5AF9E41B" w14:textId="77777777" w:rsidR="00AC34EF" w:rsidRPr="00E059AB" w:rsidRDefault="00AC34EF" w:rsidP="003E5155">
            <w:pPr>
              <w:spacing w:line="192" w:lineRule="auto"/>
              <w:jc w:val="center"/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ascii="Source Sans 3" w:eastAsia="삼성명조 L" w:hAnsi="Source Sans 3" w:cs="삼성명조 L"/>
                <w:b/>
                <w:bCs/>
                <w:color w:val="000000"/>
                <w:sz w:val="21"/>
                <w:szCs w:val="21"/>
              </w:rPr>
              <w:t>K ≥ 5.1</w:t>
            </w:r>
          </w:p>
        </w:tc>
        <w:tc>
          <w:tcPr>
            <w:tcW w:w="1247" w:type="dxa"/>
            <w:vAlign w:val="center"/>
          </w:tcPr>
          <w:p w14:paraId="66F5F397" w14:textId="3303FF75" w:rsidR="00AC34EF" w:rsidRPr="00A47714" w:rsidRDefault="00AC34EF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hAnsi="Source Sans 3" w:cs="Source Sans 3"/>
                <w:color w:val="000000"/>
                <w:sz w:val="21"/>
                <w:szCs w:val="21"/>
              </w:rPr>
              <w:t>Hemosol B0</w:t>
            </w:r>
          </w:p>
        </w:tc>
        <w:tc>
          <w:tcPr>
            <w:tcW w:w="1247" w:type="dxa"/>
            <w:vAlign w:val="center"/>
          </w:tcPr>
          <w:p w14:paraId="7BB790FD" w14:textId="3FF169C3" w:rsidR="00AC34EF" w:rsidRPr="00A47714" w:rsidRDefault="00AC34EF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C34EF">
              <w:rPr>
                <w:rFonts w:ascii="Source Sans 3" w:hAnsi="Source Sans 3" w:cs="Source Sans 3"/>
                <w:color w:val="000000"/>
                <w:sz w:val="21"/>
                <w:szCs w:val="21"/>
              </w:rPr>
              <w:t>Hemosol B0</w:t>
            </w:r>
          </w:p>
        </w:tc>
        <w:tc>
          <w:tcPr>
            <w:tcW w:w="2834" w:type="dxa"/>
            <w:gridSpan w:val="2"/>
            <w:vAlign w:val="center"/>
          </w:tcPr>
          <w:p w14:paraId="4C422F9F" w14:textId="58B63538" w:rsidR="00AC34EF" w:rsidRPr="00A47714" w:rsidRDefault="00AC34EF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hAnsi="Source Sans 3" w:cs="Source Sans 3"/>
                <w:color w:val="000000"/>
                <w:sz w:val="21"/>
                <w:szCs w:val="21"/>
              </w:rPr>
              <w:t>Hemosol B0 without A bag</w:t>
            </w:r>
          </w:p>
        </w:tc>
        <w:tc>
          <w:tcPr>
            <w:tcW w:w="2494" w:type="dxa"/>
            <w:vAlign w:val="center"/>
          </w:tcPr>
          <w:p w14:paraId="2229CE64" w14:textId="7C8E04A9" w:rsidR="00AC34EF" w:rsidRPr="00A47714" w:rsidRDefault="00AC34EF" w:rsidP="003E5155">
            <w:pPr>
              <w:jc w:val="center"/>
              <w:rPr>
                <w:rFonts w:ascii="Source Sans 3" w:hAnsi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ascii="Source Sans 3" w:hAnsi="Source Sans 3" w:cs="Source Sans 3"/>
                <w:color w:val="000000"/>
                <w:sz w:val="21"/>
                <w:szCs w:val="21"/>
              </w:rPr>
              <w:t>Hemosol B0 without A bag</w:t>
            </w:r>
          </w:p>
        </w:tc>
      </w:tr>
    </w:tbl>
    <w:p w14:paraId="1B10F67E" w14:textId="77777777" w:rsidR="0016331D" w:rsidRDefault="00000000" w:rsidP="00514B46">
      <w:pPr>
        <w:pStyle w:val="a4"/>
        <w:numPr>
          <w:ilvl w:val="2"/>
          <w:numId w:val="2"/>
        </w:numPr>
        <w:spacing w:before="240"/>
        <w:ind w:left="568" w:hanging="284"/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lastRenderedPageBreak/>
        <w:t>Criteria for resuming Ca mixing after a calcium-free period</w:t>
      </w:r>
    </w:p>
    <w:p w14:paraId="1B10F67F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When CKRT dose is 8 : 2 (pre 800, post 200)</w:t>
      </w:r>
    </w:p>
    <w:p w14:paraId="1B10F680" w14:textId="6AC9C1DD" w:rsidR="0016331D" w:rsidRDefault="004B3067">
      <w:pPr>
        <w:pStyle w:val="a4"/>
        <w:numPr>
          <w:ilvl w:val="4"/>
          <w:numId w:val="2"/>
        </w:numPr>
      </w:pPr>
      <w:r w:rsidRPr="00B16303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If ionized Ca remains ≤ 1.2 for 12 hours</w:t>
      </w:r>
      <w:r w:rsidRPr="004B3067">
        <w:rPr>
          <w:rFonts w:ascii="Source Sans 3" w:eastAsia="Source Sans 3" w:hAnsi="Source Sans 3" w:cs="Source Sans 3"/>
          <w:color w:val="000000"/>
          <w:sz w:val="22"/>
          <w:szCs w:val="22"/>
        </w:rPr>
        <w:t>,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resume Ca mixing first in the pre-replacement fluid</w:t>
      </w:r>
    </w:p>
    <w:p w14:paraId="1B10F681" w14:textId="5F004D37" w:rsidR="0016331D" w:rsidRDefault="00000000">
      <w:pPr>
        <w:pStyle w:val="a4"/>
        <w:numPr>
          <w:ilvl w:val="4"/>
          <w:numId w:val="2"/>
        </w:numPr>
      </w:pPr>
      <w:r w:rsidRPr="00B16303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If subsequent follow-up shows ionized Ca ≤ 1.1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, resume Ca mixing in the post-replacement fluid</w:t>
      </w:r>
    </w:p>
    <w:p w14:paraId="1B10F682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When CKRT dose has been increased (post ≥ 200): apply individually according to the clinical situation</w:t>
      </w:r>
    </w:p>
    <w:p w14:paraId="1B10F683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Cautions when using calcium-free CKRT fluid</w:t>
      </w:r>
    </w:p>
    <w:p w14:paraId="1B10F684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When the A bag is omitted due to hypercalcemia, </w:t>
      </w:r>
      <w:r w:rsidRPr="00F00EDF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the magnesium contained in the A bag is also excluded; therefore, attention to the development of hypomagnesemia is required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. Closely monitor serum Mg levels and administer magnesium replacement when needed.</w:t>
      </w:r>
    </w:p>
    <w:p w14:paraId="1B10F685" w14:textId="77777777" w:rsidR="0016331D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Metabolic acidosis</w:t>
      </w:r>
    </w:p>
    <w:p w14:paraId="1B10F686" w14:textId="1742AC3A" w:rsidR="0016331D" w:rsidRDefault="001971A8">
      <w:pPr>
        <w:pStyle w:val="a4"/>
        <w:numPr>
          <w:ilvl w:val="2"/>
          <w:numId w:val="2"/>
        </w:numPr>
      </w:pPr>
      <w:r w:rsidRPr="001971A8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Persistent metabolic acidosis despite CKRT (HCO₃⁻ &lt; 15 mmol/L)</w:t>
      </w:r>
    </w:p>
    <w:p w14:paraId="1B10F687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CKRT duration </w:t>
      </w:r>
      <w:r w:rsidRPr="008E7424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&lt; 3 days</w:t>
      </w:r>
    </w:p>
    <w:p w14:paraId="1B10F688" w14:textId="6C88DDD8" w:rsidR="0016331D" w:rsidRDefault="00710F00">
      <w:pPr>
        <w:pStyle w:val="a4"/>
        <w:numPr>
          <w:ilvl w:val="4"/>
          <w:numId w:val="2"/>
        </w:numPr>
      </w:pPr>
      <w:r>
        <w:rPr>
          <w:rFonts w:ascii="Source Sans 3" w:hAnsi="Source Sans 3" w:cs="Source Sans 3" w:hint="eastAsia"/>
          <w:color w:val="000000"/>
          <w:sz w:val="22"/>
          <w:szCs w:val="22"/>
        </w:rPr>
        <w:t>M</w:t>
      </w:r>
      <w:r w:rsidR="00000000">
        <w:rPr>
          <w:rFonts w:ascii="Source Sans 3" w:eastAsia="Source Sans 3" w:hAnsi="Source Sans 3" w:cs="Source Sans 3"/>
          <w:color w:val="000000"/>
          <w:sz w:val="22"/>
          <w:szCs w:val="22"/>
        </w:rPr>
        <w:t>ix bivon into all of dialysate, pre- and post-replacement fluids</w:t>
      </w:r>
      <w:r>
        <w:rPr>
          <w:rFonts w:ascii="Source Sans 3" w:hAnsi="Source Sans 3" w:cs="Source Sans 3" w:hint="eastAsia"/>
          <w:color w:val="000000"/>
          <w:sz w:val="22"/>
          <w:szCs w:val="22"/>
        </w:rPr>
        <w:t xml:space="preserve"> </w:t>
      </w:r>
      <w:r w:rsidRPr="00710F00">
        <w:rPr>
          <w:rFonts w:ascii="Source Sans 3" w:hAnsi="Source Sans 3" w:cs="Source Sans 3"/>
          <w:color w:val="000000"/>
          <w:sz w:val="22"/>
          <w:szCs w:val="22"/>
        </w:rPr>
        <w:t>without increasing the CKRT dose</w:t>
      </w:r>
    </w:p>
    <w:p w14:paraId="1B10F689" w14:textId="6229458D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10 &lt; HCO₃⁻ &lt; 15 mmol/L → mix 2 ampules of bivon (per </w:t>
      </w:r>
      <w:r w:rsidR="00461AE1">
        <w:rPr>
          <w:rFonts w:ascii="Source Sans 3" w:hAnsi="Source Sans 3" w:cs="Source Sans 3" w:hint="eastAsia"/>
          <w:color w:val="000000"/>
          <w:sz w:val="22"/>
          <w:szCs w:val="22"/>
        </w:rPr>
        <w:t xml:space="preserve">one 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5L bag)</w:t>
      </w:r>
    </w:p>
    <w:p w14:paraId="1B10F68A" w14:textId="5202145B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HCO₃⁻ ≤ 10 mmol/L → mix 3.5 ampules of bivon (per </w:t>
      </w:r>
      <w:r w:rsidR="00461AE1">
        <w:rPr>
          <w:rFonts w:ascii="Source Sans 3" w:hAnsi="Source Sans 3" w:cs="Source Sans 3" w:hint="eastAsia"/>
          <w:color w:val="000000"/>
          <w:sz w:val="22"/>
          <w:szCs w:val="22"/>
        </w:rPr>
        <w:t xml:space="preserve">one 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5L bag)</w:t>
      </w:r>
    </w:p>
    <w:p w14:paraId="1B10F68B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CKRT duration </w:t>
      </w:r>
      <w:r w:rsidRPr="008E7424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≥ 3 days</w:t>
      </w:r>
    </w:p>
    <w:p w14:paraId="1B10F68C" w14:textId="5757B41D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BUN ≥ 30 mg/dL or hyperkalemia: increase the</w:t>
      </w:r>
      <w:r w:rsidR="00B0645E">
        <w:rPr>
          <w:rFonts w:ascii="Source Sans 3" w:hAnsi="Source Sans 3" w:cs="Source Sans 3" w:hint="eastAsia"/>
          <w:color w:val="000000"/>
          <w:sz w:val="22"/>
          <w:szCs w:val="22"/>
        </w:rPr>
        <w:t xml:space="preserve"> CKRT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dose by one step</w:t>
      </w:r>
    </w:p>
    <w:p w14:paraId="1B10F68D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BUN &lt; 30 mg/dL with normokalemia → mix bivon without dose escalation</w:t>
      </w:r>
    </w:p>
    <w:p w14:paraId="1B10F68E" w14:textId="6D9EFE5B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10 &lt; HCO₃⁻ &lt; 15 mmol/L → mix </w:t>
      </w:r>
      <w:r w:rsidR="004F2F2E">
        <w:rPr>
          <w:rFonts w:ascii="Source Sans 3" w:hAnsi="Source Sans 3" w:cs="Source Sans 3" w:hint="eastAsia"/>
          <w:color w:val="000000"/>
          <w:sz w:val="22"/>
          <w:szCs w:val="22"/>
        </w:rPr>
        <w:t xml:space="preserve">2 ampules of 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bivon ampules (per </w:t>
      </w:r>
      <w:r w:rsidR="00F851BB">
        <w:rPr>
          <w:rFonts w:ascii="Source Sans 3" w:hAnsi="Source Sans 3" w:cs="Source Sans 3" w:hint="eastAsia"/>
          <w:color w:val="000000"/>
          <w:sz w:val="22"/>
          <w:szCs w:val="22"/>
        </w:rPr>
        <w:t xml:space="preserve">one 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5L bag)</w:t>
      </w:r>
    </w:p>
    <w:p w14:paraId="1B10F68F" w14:textId="6DCB1D60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HCO₃⁻ ≤ 10 mmol/L → mix 3.5 ampules of bivon (per </w:t>
      </w:r>
      <w:r w:rsidR="00F851BB">
        <w:rPr>
          <w:rFonts w:ascii="Source Sans 3" w:hAnsi="Source Sans 3" w:cs="Source Sans 3" w:hint="eastAsia"/>
          <w:color w:val="000000"/>
          <w:sz w:val="22"/>
          <w:szCs w:val="22"/>
        </w:rPr>
        <w:t xml:space="preserve">one 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5L bag)</w:t>
      </w:r>
    </w:p>
    <w:p w14:paraId="1B10F690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Severe acidosis (pH &lt; 7.2 &amp; HCO₃⁻ &lt; 10 mmol/L)</w:t>
      </w:r>
    </w:p>
    <w:p w14:paraId="1B10F691" w14:textId="77777777" w:rsidR="0016331D" w:rsidRPr="00EA2B6A" w:rsidRDefault="00000000">
      <w:pPr>
        <w:pStyle w:val="a4"/>
        <w:numPr>
          <w:ilvl w:val="3"/>
          <w:numId w:val="2"/>
        </w:numPr>
        <w:rPr>
          <w:b/>
          <w:bCs/>
        </w:rPr>
      </w:pPr>
      <w:r w:rsidRPr="00EA2B6A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Bivon-mixed fluid</w:t>
      </w:r>
    </w:p>
    <w:p w14:paraId="1B10F692" w14:textId="449AEB99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IV: mix bivon appropriately into the main fluid (e.g., 5%DW 1L + </w:t>
      </w:r>
      <w:r w:rsidR="005F2A6B">
        <w:rPr>
          <w:rFonts w:ascii="Source Sans 3" w:hAnsi="Source Sans 3" w:cs="Source Sans 3" w:hint="eastAsia"/>
          <w:color w:val="000000"/>
          <w:sz w:val="22"/>
          <w:szCs w:val="22"/>
        </w:rPr>
        <w:t xml:space="preserve">bivon 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7</w:t>
      </w:r>
      <w:r w:rsidR="006546A9">
        <w:rPr>
          <w:rFonts w:ascii="Source Sans 3" w:hAnsi="Source Sans 3" w:cs="Source Sans 3" w:hint="eastAsia"/>
          <w:color w:val="000000"/>
          <w:sz w:val="22"/>
          <w:szCs w:val="22"/>
        </w:rPr>
        <w:t xml:space="preserve"> ampules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→ Na 140 mmol/L)</w:t>
      </w:r>
    </w:p>
    <w:p w14:paraId="1B10F693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CKRT settings</w:t>
      </w:r>
    </w:p>
    <w:p w14:paraId="1B10F694" w14:textId="1FCA726A" w:rsidR="0016331D" w:rsidRDefault="00BD3381">
      <w:pPr>
        <w:pStyle w:val="a4"/>
        <w:numPr>
          <w:ilvl w:val="4"/>
          <w:numId w:val="2"/>
        </w:numPr>
      </w:pPr>
      <w:r w:rsidRPr="00BD3381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If there is </w:t>
      </w:r>
      <w:r w:rsidRPr="00EA2B6A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no indication for high-dose CKRT</w:t>
      </w:r>
      <w:r w:rsidRPr="00BD3381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other than metabolic acidosis</w:t>
      </w:r>
    </w:p>
    <w:p w14:paraId="1B10F695" w14:textId="77777777" w:rsidR="0016331D" w:rsidRDefault="00000000">
      <w:pPr>
        <w:pStyle w:val="a4"/>
        <w:numPr>
          <w:ilvl w:val="5"/>
          <w:numId w:val="2"/>
        </w:numPr>
      </w:pPr>
      <w:r w:rsidRPr="00EA2B6A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First mix bivon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(up to a maximum of 3.5A per 5L CKRT bag)</w:t>
      </w:r>
    </w:p>
    <w:p w14:paraId="1B10F696" w14:textId="77777777" w:rsidR="0016331D" w:rsidRDefault="00000000">
      <w:pPr>
        <w:pStyle w:val="a4"/>
        <w:numPr>
          <w:ilvl w:val="5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If metabolic acidosis does not improve even after bivon mixing, escalate the CKRT dose</w:t>
      </w:r>
    </w:p>
    <w:p w14:paraId="1B10F697" w14:textId="006ECDA9" w:rsidR="0016331D" w:rsidRDefault="005A4A81">
      <w:pPr>
        <w:pStyle w:val="a4"/>
        <w:numPr>
          <w:ilvl w:val="4"/>
          <w:numId w:val="2"/>
        </w:numPr>
      </w:pPr>
      <w:r w:rsidRPr="005A4A81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If there is another </w:t>
      </w:r>
      <w:r w:rsidRPr="00EA2B6A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indication for high-dose CKRT</w:t>
      </w:r>
      <w:r w:rsidRPr="005A4A81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in addition to metabolic acidosis</w:t>
      </w:r>
    </w:p>
    <w:p w14:paraId="1B10F698" w14:textId="1E79920C" w:rsidR="0016331D" w:rsidRPr="00EA2B6A" w:rsidRDefault="005A4A81">
      <w:pPr>
        <w:pStyle w:val="a4"/>
        <w:numPr>
          <w:ilvl w:val="5"/>
          <w:numId w:val="2"/>
        </w:numPr>
        <w:rPr>
          <w:b/>
          <w:bCs/>
        </w:rPr>
      </w:pPr>
      <w:r w:rsidRPr="00EA2B6A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>Increase</w:t>
      </w:r>
      <w:r w:rsidR="00000000" w:rsidRPr="00EA2B6A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 xml:space="preserve"> the CKRT dose up to 80 mL/kg/hr</w:t>
      </w:r>
    </w:p>
    <w:p w14:paraId="1B10F699" w14:textId="2AC43F19" w:rsidR="0016331D" w:rsidRDefault="007E738A">
      <w:pPr>
        <w:pStyle w:val="a4"/>
        <w:numPr>
          <w:ilvl w:val="2"/>
          <w:numId w:val="2"/>
        </w:numPr>
      </w:pPr>
      <w:r w:rsidRPr="007E738A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Management after improvement of metabolic acidosis</w:t>
      </w:r>
    </w:p>
    <w:p w14:paraId="1B10F69A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lastRenderedPageBreak/>
        <w:t>Reduce the bivon mixing dose in CKRT fluid: reduce dialysate / pre / post replacement together (3.5A → 2A → 1A)</w:t>
      </w:r>
    </w:p>
    <w:p w14:paraId="1B10F69B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Step 1: when pH &gt; 7.3 and HCO₃⁻ reaches 15 mmol/L → consider reducing bivon</w:t>
      </w:r>
    </w:p>
    <w:p w14:paraId="1B10F69C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Step 2: when pH &gt; 7.3 and HCO₃⁻ ≥ 20 mmol/L is maintained → bivon-free is acceptable</w:t>
      </w:r>
    </w:p>
    <w:p w14:paraId="1B10F69D" w14:textId="77777777" w:rsidR="0016331D" w:rsidRDefault="00000000">
      <w:pPr>
        <w:pStyle w:val="a4"/>
        <w:numPr>
          <w:ilvl w:val="5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If it is difficult to convert all three to bivon-free at the same time, switch in the order post → pre → dialysate</w:t>
      </w:r>
    </w:p>
    <w:p w14:paraId="1B10F69E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Reduce CKRT dose</w:t>
      </w:r>
    </w:p>
    <w:p w14:paraId="1B10F69F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Discontinue bivon mixing in the main fluid</w:t>
      </w:r>
    </w:p>
    <w:p w14:paraId="7F8A17B7" w14:textId="77777777" w:rsidR="00837266" w:rsidRDefault="00837266">
      <w:pPr>
        <w:widowControl/>
        <w:wordWrap/>
        <w:autoSpaceDE/>
        <w:autoSpaceDN/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</w:pPr>
      <w:r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  <w:br w:type="page"/>
      </w:r>
    </w:p>
    <w:p w14:paraId="1B10F6A0" w14:textId="0AB291A5" w:rsidR="0016331D" w:rsidRPr="00837266" w:rsidRDefault="00000000">
      <w:pPr>
        <w:pStyle w:val="a4"/>
        <w:numPr>
          <w:ilvl w:val="0"/>
          <w:numId w:val="2"/>
        </w:numPr>
        <w:rPr>
          <w:caps/>
        </w:rPr>
      </w:pPr>
      <w:r w:rsidRPr="00837266">
        <w:rPr>
          <w:rFonts w:ascii="Source Sans 3" w:eastAsia="Source Sans 3" w:hAnsi="Source Sans 3" w:cs="Source Sans 3"/>
          <w:b/>
          <w:bCs/>
          <w:caps/>
          <w:color w:val="1428A0"/>
          <w:sz w:val="32"/>
          <w:szCs w:val="32"/>
        </w:rPr>
        <w:lastRenderedPageBreak/>
        <w:t>CKRT Discontinuation</w:t>
      </w:r>
    </w:p>
    <w:p w14:paraId="1B10F6A1" w14:textId="36D8A1EA" w:rsidR="0016331D" w:rsidRDefault="00C934C1">
      <w:pPr>
        <w:pStyle w:val="a4"/>
        <w:numPr>
          <w:ilvl w:val="1"/>
          <w:numId w:val="2"/>
        </w:numPr>
      </w:pPr>
      <w:r>
        <w:rPr>
          <w:rFonts w:ascii="Source Sans 3" w:hAnsi="Source Sans 3" w:cs="Source Sans 3" w:hint="eastAsia"/>
          <w:b/>
          <w:bCs/>
          <w:color w:val="0A4BFF"/>
          <w:sz w:val="28"/>
          <w:szCs w:val="28"/>
        </w:rPr>
        <w:t>General c</w:t>
      </w:r>
      <w:r w:rsidR="00000000"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onsiderations</w:t>
      </w:r>
    </w:p>
    <w:p w14:paraId="1B10F6A2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CKRT discontinuation is determined by comprehensive assessment of multiple parameters, including the degree of renal recovery (increased urine output, improvement of uremia: decrease in BUN and serum Cr), improvement of hyperkalemia, and the patient's overall condition (volume status, hemodynamic stability, use of nephrotoxic drugs, fluid input, etc.).</w:t>
      </w:r>
    </w:p>
    <w:p w14:paraId="1B10F6A3" w14:textId="77777777" w:rsidR="0016331D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Decision to discontinue</w:t>
      </w:r>
    </w:p>
    <w:p w14:paraId="1B10F6A4" w14:textId="51535E73" w:rsidR="0016331D" w:rsidRPr="00ED3078" w:rsidRDefault="00000000">
      <w:pPr>
        <w:pStyle w:val="a4"/>
        <w:numPr>
          <w:ilvl w:val="2"/>
          <w:numId w:val="2"/>
        </w:numPr>
      </w:pPr>
      <w:r w:rsidRPr="00171E18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CKRT discontinuation</w:t>
      </w:r>
      <w:r w:rsidRPr="00ED3078">
        <w:rPr>
          <w:rFonts w:ascii="Source Sans 3" w:eastAsia="Source Sans 3" w:hAnsi="Source Sans 3" w:cs="Source Sans 3"/>
          <w:color w:val="000000"/>
          <w:sz w:val="24"/>
          <w:szCs w:val="24"/>
        </w:rPr>
        <w:t xml:space="preserve"> may be considered </w:t>
      </w:r>
      <w:r w:rsidRPr="00171E18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if all of the following are met</w:t>
      </w:r>
      <w:r w:rsidRPr="00ED3078">
        <w:rPr>
          <w:rFonts w:ascii="Source Sans 3" w:eastAsia="Source Sans 3" w:hAnsi="Source Sans 3" w:cs="Source Sans 3"/>
          <w:color w:val="000000"/>
          <w:sz w:val="24"/>
          <w:szCs w:val="24"/>
        </w:rPr>
        <w:t xml:space="preserve">, but the final decision and timing of discontinuation should be made in consultation with the </w:t>
      </w:r>
      <w:r w:rsidR="00EC3C0C" w:rsidRPr="00ED3078">
        <w:rPr>
          <w:rFonts w:ascii="Source Sans 3" w:eastAsia="Source Sans 3" w:hAnsi="Source Sans 3" w:cs="Source Sans 3"/>
          <w:color w:val="000000"/>
          <w:sz w:val="24"/>
          <w:szCs w:val="24"/>
        </w:rPr>
        <w:t>nephrology fellow responsible for CKRT</w:t>
      </w:r>
      <w:r w:rsidRPr="00ED3078">
        <w:rPr>
          <w:rFonts w:ascii="Source Sans 3" w:eastAsia="Source Sans 3" w:hAnsi="Source Sans 3" w:cs="Source Sans 3"/>
          <w:color w:val="000000"/>
          <w:sz w:val="24"/>
          <w:szCs w:val="24"/>
        </w:rPr>
        <w:t>:</w:t>
      </w:r>
    </w:p>
    <w:p w14:paraId="1B10F6A5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Euvolemic status</w:t>
      </w:r>
    </w:p>
    <w:p w14:paraId="1B10F6A6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Stable acid-base and electrolyte status</w:t>
      </w:r>
    </w:p>
    <w:p w14:paraId="1B10F6A7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No excessive metabolic demand</w:t>
      </w:r>
    </w:p>
    <w:p w14:paraId="1B10F6A8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No need for aggressive fluid therapy or large-volume transfusion</w:t>
      </w:r>
    </w:p>
    <w:p w14:paraId="1B10F6A9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Minimal use or no use of vasopressors or inotropes</w:t>
      </w:r>
    </w:p>
    <w:p w14:paraId="1B10F6AA" w14:textId="4B12C53B" w:rsidR="0016331D" w:rsidRPr="00171E18" w:rsidRDefault="000B1107">
      <w:pPr>
        <w:pStyle w:val="a4"/>
        <w:numPr>
          <w:ilvl w:val="2"/>
          <w:numId w:val="2"/>
        </w:numPr>
      </w:pPr>
      <w:r w:rsidRPr="00171E18">
        <w:rPr>
          <w:rFonts w:ascii="Source Sans 3" w:eastAsia="Source Sans 3" w:hAnsi="Source Sans 3" w:cs="Source Sans 3"/>
          <w:color w:val="000000"/>
          <w:sz w:val="24"/>
          <w:szCs w:val="24"/>
        </w:rPr>
        <w:t xml:space="preserve">If the above conditions are met, </w:t>
      </w:r>
      <w:r w:rsidRPr="00171E18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discontinuation of dialysis may be further considered</w:t>
      </w:r>
      <w:r w:rsidRPr="00171E18">
        <w:rPr>
          <w:rFonts w:ascii="Source Sans 3" w:eastAsia="Source Sans 3" w:hAnsi="Source Sans 3" w:cs="Source Sans 3"/>
          <w:color w:val="000000"/>
          <w:sz w:val="24"/>
          <w:szCs w:val="24"/>
        </w:rPr>
        <w:t xml:space="preserve"> in the following situation</w:t>
      </w:r>
      <w:r w:rsidR="00000000" w:rsidRPr="00171E18">
        <w:rPr>
          <w:rFonts w:ascii="Source Sans 3" w:eastAsia="Source Sans 3" w:hAnsi="Source Sans 3" w:cs="Source Sans 3"/>
          <w:color w:val="000000"/>
          <w:sz w:val="24"/>
          <w:szCs w:val="24"/>
        </w:rPr>
        <w:t>:</w:t>
      </w:r>
    </w:p>
    <w:p w14:paraId="1B10F6AB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Urine output &gt; 60 mL/hr or &gt; 400 mL/day without diuretic use</w:t>
      </w:r>
    </w:p>
    <w:p w14:paraId="6A44B13C" w14:textId="77777777" w:rsidR="004276CD" w:rsidRDefault="004276CD">
      <w:pPr>
        <w:widowControl/>
        <w:wordWrap/>
        <w:autoSpaceDE/>
        <w:autoSpaceDN/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</w:pPr>
      <w:r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  <w:br w:type="page"/>
      </w:r>
    </w:p>
    <w:p w14:paraId="1B10F6AC" w14:textId="733F9BB0" w:rsidR="0016331D" w:rsidRPr="004276CD" w:rsidRDefault="00000000">
      <w:pPr>
        <w:pStyle w:val="a4"/>
        <w:numPr>
          <w:ilvl w:val="0"/>
          <w:numId w:val="2"/>
        </w:numPr>
        <w:rPr>
          <w:caps/>
        </w:rPr>
      </w:pPr>
      <w:r w:rsidRPr="004276CD">
        <w:rPr>
          <w:rFonts w:ascii="Source Sans 3" w:eastAsia="Source Sans 3" w:hAnsi="Source Sans 3" w:cs="Source Sans 3"/>
          <w:b/>
          <w:bCs/>
          <w:caps/>
          <w:color w:val="1428A0"/>
          <w:sz w:val="32"/>
          <w:szCs w:val="32"/>
        </w:rPr>
        <w:lastRenderedPageBreak/>
        <w:t>Anticoagulation for CKRT</w:t>
      </w:r>
    </w:p>
    <w:p w14:paraId="1B10F6AD" w14:textId="77777777" w:rsidR="0016331D" w:rsidRDefault="00000000">
      <w:pPr>
        <w:pStyle w:val="a4"/>
        <w:numPr>
          <w:ilvl w:val="1"/>
          <w:numId w:val="2"/>
        </w:numPr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General considerations</w:t>
      </w:r>
    </w:p>
    <w:p w14:paraId="1B10F6AE" w14:textId="7112A1CA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If the CKRT filter is maintained for ≥ 24 hours: </w:t>
      </w:r>
      <w:r w:rsidR="00E27124" w:rsidRPr="00E27124">
        <w:rPr>
          <w:rFonts w:ascii="Source Sans 3" w:eastAsia="Source Sans 3" w:hAnsi="Source Sans 3" w:cs="Source Sans 3"/>
          <w:color w:val="000000"/>
          <w:sz w:val="22"/>
          <w:szCs w:val="22"/>
        </w:rPr>
        <w:t>CKRT may be performed without anticoagulation</w:t>
      </w:r>
    </w:p>
    <w:p w14:paraId="1B10F6AF" w14:textId="78057C13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If the CKRT filter is maintained for &lt; 24 hours: anticoagulation</w:t>
      </w:r>
      <w:r w:rsidR="004615BA">
        <w:rPr>
          <w:rFonts w:ascii="Source Sans 3" w:hAnsi="Source Sans 3" w:cs="Source Sans 3" w:hint="eastAsia"/>
          <w:color w:val="000000"/>
          <w:sz w:val="22"/>
          <w:szCs w:val="22"/>
        </w:rPr>
        <w:t xml:space="preserve"> should be considered</w:t>
      </w:r>
    </w:p>
    <w:p w14:paraId="1B10F6B0" w14:textId="77777777" w:rsidR="0016331D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Futhan (nafamostat mesilate) protocol</w:t>
      </w:r>
    </w:p>
    <w:p w14:paraId="1B10F6B1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Indications</w:t>
      </w:r>
    </w:p>
    <w:p w14:paraId="1B10F6B2" w14:textId="0D8FB0DE" w:rsidR="0016331D" w:rsidRDefault="00000000">
      <w:pPr>
        <w:spacing w:line="276" w:lineRule="auto"/>
        <w:ind w:left="566"/>
      </w:pPr>
      <w:r w:rsidRPr="0079013A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Cases in which heparin cannot be used due to bleeding tendency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(</w:t>
      </w:r>
      <w:r w:rsidR="000E295C" w:rsidRPr="000E295C">
        <w:rPr>
          <w:rFonts w:ascii="Source Sans 3" w:eastAsia="Source Sans 3" w:hAnsi="Source Sans 3" w:cs="Source Sans 3"/>
          <w:color w:val="000000"/>
          <w:sz w:val="22"/>
          <w:szCs w:val="22"/>
        </w:rPr>
        <w:t>if any of the following are present)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:</w:t>
      </w:r>
    </w:p>
    <w:p w14:paraId="1B10F6B3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Platelets &lt; 100,000/µL</w:t>
      </w:r>
    </w:p>
    <w:p w14:paraId="1B10F6B4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Activated partial thromboplastin time (aPTT) &gt; 60 seconds</w:t>
      </w:r>
    </w:p>
    <w:p w14:paraId="1B10F6B5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Prothrombin time–international normalized ratio (PT–INR) &gt; 2.0</w:t>
      </w:r>
    </w:p>
    <w:p w14:paraId="1B10F6B6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Active hemorrhage</w:t>
      </w:r>
    </w:p>
    <w:p w14:paraId="1B10F6B7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Major surgery within the past 7–14 days</w:t>
      </w:r>
    </w:p>
    <w:p w14:paraId="1B10F6B8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Cerebral hemorrhage within the past 3 months or history of major cerebral bleeding</w:t>
      </w:r>
    </w:p>
    <w:p w14:paraId="1B10F6B9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Septic shock or disseminated intravascular coagulation (DIC)</w:t>
      </w:r>
    </w:p>
    <w:p w14:paraId="1B10F6BA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Preparation</w:t>
      </w:r>
    </w:p>
    <w:p w14:paraId="1B10F6BB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PrismaFlex: 5%DW 20 cc + Futhan 200 mg (10 mg/cc)</w:t>
      </w:r>
    </w:p>
    <w:p w14:paraId="1B10F6BC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PrisMax: 5%DW 40 cc + Futhan 200 mg (5 mg/cc)</w:t>
      </w:r>
    </w:p>
    <w:p w14:paraId="1B10F6BD" w14:textId="0EB0E3E3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 xml:space="preserve">Dosing: start and maintain Futhan according to the following ACT </w:t>
      </w:r>
      <w:r w:rsidR="0068614E">
        <w:rPr>
          <w:rFonts w:ascii="Source Sans 3" w:hAnsi="Source Sans 3" w:cs="Source Sans 3" w:hint="eastAsia"/>
          <w:b/>
          <w:bCs/>
          <w:color w:val="000000"/>
          <w:sz w:val="24"/>
          <w:szCs w:val="24"/>
        </w:rPr>
        <w:t>values</w:t>
      </w:r>
    </w:p>
    <w:p w14:paraId="1B10F6BE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ACT ≤ 150: 30 mg/hr</w:t>
      </w:r>
    </w:p>
    <w:p w14:paraId="1B10F6BF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ACT 151–200: 20 mg/hr</w:t>
      </w:r>
    </w:p>
    <w:p w14:paraId="1B10F6C0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ACT 201–250: 10 mg/hr</w:t>
      </w:r>
    </w:p>
    <w:p w14:paraId="1B10F6C1" w14:textId="022097B0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ACT ≥ 251: discontinue Futhan; recheck ACT after 4 hours and </w:t>
      </w:r>
      <w:r w:rsidR="00402F0A" w:rsidRPr="00402F0A">
        <w:rPr>
          <w:rFonts w:ascii="Source Sans 3" w:eastAsia="Source Sans 3" w:hAnsi="Source Sans 3" w:cs="Source Sans 3"/>
          <w:color w:val="000000"/>
          <w:sz w:val="22"/>
          <w:szCs w:val="22"/>
        </w:rPr>
        <w:t>determine further management</w:t>
      </w:r>
    </w:p>
    <w:p w14:paraId="1B10F6C2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ACT follow-up</w:t>
      </w:r>
    </w:p>
    <w:p w14:paraId="1B10F6C3" w14:textId="497528C0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Day 1 (initiation day): </w:t>
      </w:r>
      <w:r w:rsidR="00B36B10">
        <w:rPr>
          <w:rFonts w:ascii="Source Sans 3" w:hAnsi="Source Sans 3" w:cs="Source Sans 3" w:hint="eastAsia"/>
          <w:color w:val="000000"/>
          <w:sz w:val="22"/>
          <w:szCs w:val="22"/>
        </w:rPr>
        <w:t xml:space="preserve">draw 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blood 4 hours after </w:t>
      </w:r>
      <w:r w:rsidR="00B36B10">
        <w:rPr>
          <w:rFonts w:ascii="Source Sans 3" w:hAnsi="Source Sans 3" w:cs="Source Sans 3" w:hint="eastAsia"/>
          <w:color w:val="000000"/>
          <w:sz w:val="22"/>
          <w:szCs w:val="22"/>
        </w:rPr>
        <w:t>initiation</w:t>
      </w:r>
    </w:p>
    <w:p w14:paraId="1B10F6C4" w14:textId="0A76273A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From day 2 onward: </w:t>
      </w:r>
      <w:r w:rsidR="00160216">
        <w:rPr>
          <w:rFonts w:ascii="Source Sans 3" w:hAnsi="Source Sans 3" w:cs="Source Sans 3" w:hint="eastAsia"/>
          <w:color w:val="000000"/>
          <w:sz w:val="22"/>
          <w:szCs w:val="22"/>
        </w:rPr>
        <w:t xml:space="preserve">check 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>once daily (every 24 hours)</w:t>
      </w:r>
    </w:p>
    <w:p w14:paraId="1B10F6C5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When the Futhan dose is increased: follow-up ACT after 4 hours</w:t>
      </w:r>
    </w:p>
    <w:p w14:paraId="1B10F6C6" w14:textId="7777777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When the Futhan dose is reduced: follow-up ACT the next day</w:t>
      </w:r>
    </w:p>
    <w:p w14:paraId="1B10F6C7" w14:textId="77777777" w:rsidR="0016331D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Heparin protocol</w:t>
      </w:r>
    </w:p>
    <w:p w14:paraId="1B10F6C8" w14:textId="22E98BE8" w:rsidR="0016331D" w:rsidRPr="006C54E5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 xml:space="preserve">Indications: </w:t>
      </w:r>
      <w:r w:rsidRPr="006C54E5">
        <w:rPr>
          <w:rFonts w:ascii="Source Sans 3" w:eastAsia="Source Sans 3" w:hAnsi="Source Sans 3" w:cs="Source Sans 3"/>
          <w:color w:val="000000"/>
          <w:sz w:val="24"/>
          <w:szCs w:val="24"/>
        </w:rPr>
        <w:t xml:space="preserve">when </w:t>
      </w:r>
      <w:r w:rsidR="00611A28">
        <w:rPr>
          <w:rFonts w:ascii="Source Sans 3" w:hAnsi="Source Sans 3" w:cs="Source Sans 3" w:hint="eastAsia"/>
          <w:color w:val="000000"/>
          <w:sz w:val="24"/>
          <w:szCs w:val="24"/>
        </w:rPr>
        <w:t>f</w:t>
      </w:r>
      <w:r w:rsidRPr="006C54E5">
        <w:rPr>
          <w:rFonts w:ascii="Source Sans 3" w:eastAsia="Source Sans 3" w:hAnsi="Source Sans 3" w:cs="Source Sans 3"/>
          <w:color w:val="000000"/>
          <w:sz w:val="24"/>
          <w:szCs w:val="24"/>
        </w:rPr>
        <w:t xml:space="preserve">uthan is not indicated, or when </w:t>
      </w:r>
      <w:r w:rsidRPr="006C54E5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bleeding risk is judged to be low</w:t>
      </w:r>
    </w:p>
    <w:p w14:paraId="1B10F6C9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Target: venous aPTT</w:t>
      </w:r>
    </w:p>
    <w:p w14:paraId="1B10F6CA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lastRenderedPageBreak/>
        <w:t>Tight heparin: 45–60 seconds</w:t>
      </w:r>
    </w:p>
    <w:p w14:paraId="1B10F6CB" w14:textId="77777777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Regular heparin: 60–90 seconds</w:t>
      </w:r>
    </w:p>
    <w:p w14:paraId="1B10F6CC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Dosing</w:t>
      </w:r>
    </w:p>
    <w:p w14:paraId="1B10F6CD" w14:textId="37A43A85" w:rsidR="0016331D" w:rsidRDefault="002C239F">
      <w:pPr>
        <w:pStyle w:val="a4"/>
        <w:numPr>
          <w:ilvl w:val="3"/>
          <w:numId w:val="2"/>
        </w:numPr>
      </w:pPr>
      <w:r w:rsidRPr="002C239F">
        <w:rPr>
          <w:rFonts w:ascii="Source Sans 3" w:eastAsia="Source Sans 3" w:hAnsi="Source Sans 3" w:cs="Source Sans 3"/>
          <w:color w:val="000000"/>
          <w:sz w:val="22"/>
          <w:szCs w:val="22"/>
        </w:rPr>
        <w:t>Administer a loading dose of 1,000–2,000 IU</w:t>
      </w:r>
    </w:p>
    <w:p w14:paraId="1B10F6CE" w14:textId="77777777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Then start continuous infusion at 5–10 IU/kg/hr (NS 20 mL + heparin 2000 U)</w:t>
      </w:r>
    </w:p>
    <w:p w14:paraId="1B10F6CF" w14:textId="44BDE4B3" w:rsidR="0016331D" w:rsidRDefault="00000000">
      <w:pPr>
        <w:pStyle w:val="a4"/>
        <w:numPr>
          <w:ilvl w:val="3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Check aPTT every 6 hours</w:t>
      </w:r>
      <w:r w:rsidR="00EC2107">
        <w:rPr>
          <w:rFonts w:ascii="Source Sans 3" w:hAnsi="Source Sans 3" w:cs="Source Sans 3" w:hint="eastAsia"/>
          <w:color w:val="000000"/>
          <w:sz w:val="22"/>
          <w:szCs w:val="22"/>
        </w:rPr>
        <w:t xml:space="preserve">. </w:t>
      </w:r>
      <w:r w:rsidR="00EC2107" w:rsidRPr="00EC2107">
        <w:rPr>
          <w:rFonts w:ascii="Source Sans 3" w:hAnsi="Source Sans 3" w:cs="Source Sans 3"/>
          <w:color w:val="000000"/>
          <w:sz w:val="22"/>
          <w:szCs w:val="22"/>
        </w:rPr>
        <w:t>If the aPTT is outside the target range:</w:t>
      </w:r>
    </w:p>
    <w:p w14:paraId="1B10F6D0" w14:textId="535F64A7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If </w:t>
      </w:r>
      <w:r w:rsidR="007B5D20">
        <w:rPr>
          <w:rFonts w:ascii="Source Sans 3" w:hAnsi="Source Sans 3" w:cs="Source Sans 3" w:hint="eastAsia"/>
          <w:color w:val="000000"/>
          <w:sz w:val="22"/>
          <w:szCs w:val="22"/>
        </w:rPr>
        <w:t>below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target: increase the infusion rate by 1 mL (100 U)/hr</w:t>
      </w:r>
    </w:p>
    <w:p w14:paraId="1B10F6D1" w14:textId="24407C70" w:rsidR="0016331D" w:rsidRDefault="00000000">
      <w:pPr>
        <w:pStyle w:val="a4"/>
        <w:numPr>
          <w:ilvl w:val="4"/>
          <w:numId w:val="2"/>
        </w:numPr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If </w:t>
      </w:r>
      <w:r w:rsidR="007B5D20">
        <w:rPr>
          <w:rFonts w:ascii="Source Sans 3" w:hAnsi="Source Sans 3" w:cs="Source Sans 3" w:hint="eastAsia"/>
          <w:color w:val="000000"/>
          <w:sz w:val="22"/>
          <w:szCs w:val="22"/>
        </w:rPr>
        <w:t>above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target: decrease the infusion rate by 1 mL (100 U)/hr</w:t>
      </w:r>
    </w:p>
    <w:p w14:paraId="6D472EF1" w14:textId="77777777" w:rsidR="007B5D20" w:rsidRDefault="007B5D20">
      <w:pPr>
        <w:widowControl/>
        <w:wordWrap/>
        <w:autoSpaceDE/>
        <w:autoSpaceDN/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</w:pPr>
      <w:r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  <w:br w:type="page"/>
      </w:r>
    </w:p>
    <w:p w14:paraId="1B10F6D2" w14:textId="58F294E6" w:rsidR="0016331D" w:rsidRPr="004858B8" w:rsidRDefault="00000000">
      <w:pPr>
        <w:pStyle w:val="a4"/>
        <w:numPr>
          <w:ilvl w:val="0"/>
          <w:numId w:val="2"/>
        </w:numPr>
        <w:rPr>
          <w:caps/>
        </w:rPr>
      </w:pPr>
      <w:r w:rsidRPr="004858B8">
        <w:rPr>
          <w:rFonts w:ascii="Source Sans 3" w:eastAsia="Source Sans 3" w:hAnsi="Source Sans 3" w:cs="Source Sans 3"/>
          <w:b/>
          <w:bCs/>
          <w:caps/>
          <w:color w:val="1428A0"/>
          <w:sz w:val="32"/>
          <w:szCs w:val="32"/>
        </w:rPr>
        <w:lastRenderedPageBreak/>
        <w:t>ECMO-CKRT Connection</w:t>
      </w:r>
    </w:p>
    <w:p w14:paraId="1B10F6D3" w14:textId="77777777" w:rsidR="0016331D" w:rsidRDefault="00000000">
      <w:pPr>
        <w:pStyle w:val="a4"/>
        <w:numPr>
          <w:ilvl w:val="1"/>
          <w:numId w:val="2"/>
        </w:numPr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Vascular access</w:t>
      </w:r>
    </w:p>
    <w:p w14:paraId="7CA90E4F" w14:textId="77777777" w:rsidR="004858B8" w:rsidRPr="004858B8" w:rsidRDefault="004858B8">
      <w:pPr>
        <w:pStyle w:val="a4"/>
        <w:numPr>
          <w:ilvl w:val="2"/>
          <w:numId w:val="2"/>
        </w:numPr>
      </w:pPr>
      <w:r>
        <w:rPr>
          <w:rFonts w:ascii="Source Sans 3" w:hAnsi="Source Sans 3" w:cs="Source Sans 3" w:hint="eastAsia"/>
          <w:b/>
          <w:bCs/>
          <w:color w:val="000000"/>
          <w:sz w:val="24"/>
          <w:szCs w:val="24"/>
        </w:rPr>
        <w:t>General principle</w:t>
      </w:r>
    </w:p>
    <w:p w14:paraId="1B10F6D4" w14:textId="6B767E3E" w:rsidR="0016331D" w:rsidRPr="004858B8" w:rsidRDefault="004D74BA" w:rsidP="004858B8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4D74BA">
        <w:rPr>
          <w:rFonts w:ascii="Source Sans 3" w:eastAsia="Source Sans 3" w:hAnsi="Source Sans 3" w:cs="Source Sans 3"/>
          <w:color w:val="000000"/>
          <w:sz w:val="22"/>
          <w:szCs w:val="22"/>
        </w:rPr>
        <w:t>In patients receiving ECMO,</w:t>
      </w:r>
      <w:r w:rsidR="00000000" w:rsidRPr="004858B8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</w:t>
      </w:r>
      <w:r w:rsidR="00000000" w:rsidRPr="00393F00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the ECMO circuit is used as the basic CKRT vascular access</w:t>
      </w:r>
    </w:p>
    <w:p w14:paraId="1B10F6D5" w14:textId="27CB9D25" w:rsidR="0016331D" w:rsidRDefault="00503961">
      <w:pPr>
        <w:pStyle w:val="a4"/>
        <w:numPr>
          <w:ilvl w:val="2"/>
          <w:numId w:val="2"/>
        </w:numPr>
      </w:pPr>
      <w:r w:rsidRPr="00503961"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Pressure characteristics within the ECMO circuit</w:t>
      </w:r>
    </w:p>
    <w:p w14:paraId="1B10F6D6" w14:textId="19CB32EB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Pre-pump segment: maintained </w:t>
      </w:r>
      <w:r w:rsidR="00503961">
        <w:rPr>
          <w:rFonts w:ascii="Source Sans 3" w:hAnsi="Source Sans 3" w:cs="Source Sans 3" w:hint="eastAsia"/>
          <w:color w:val="000000"/>
          <w:sz w:val="22"/>
          <w:szCs w:val="22"/>
        </w:rPr>
        <w:t>under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high negative pressure</w:t>
      </w:r>
    </w:p>
    <w:p w14:paraId="1B10F6D7" w14:textId="6611F26D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Post-pump segment: maintained </w:t>
      </w:r>
      <w:r w:rsidR="00503961">
        <w:rPr>
          <w:rFonts w:ascii="Source Sans 3" w:hAnsi="Source Sans 3" w:cs="Source Sans 3" w:hint="eastAsia"/>
          <w:color w:val="000000"/>
          <w:sz w:val="22"/>
          <w:szCs w:val="22"/>
        </w:rPr>
        <w:t>under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high positive pressure</w:t>
      </w:r>
    </w:p>
    <w:p w14:paraId="1B10F6D8" w14:textId="77777777" w:rsidR="0016331D" w:rsidRPr="001149EB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Connection method</w:t>
      </w:r>
    </w:p>
    <w:p w14:paraId="60AA19F9" w14:textId="15018296" w:rsidR="001149EB" w:rsidRDefault="001149EB" w:rsidP="001149EB">
      <w:pPr>
        <w:jc w:val="center"/>
        <w:rPr>
          <w:rFonts w:hint="eastAsia"/>
        </w:rPr>
      </w:pPr>
      <w:r w:rsidRPr="00326331">
        <w:rPr>
          <w:noProof/>
        </w:rPr>
        <w:drawing>
          <wp:inline distT="0" distB="0" distL="0" distR="0" wp14:anchorId="75FB7A19" wp14:editId="6ACBAC1C">
            <wp:extent cx="5040000" cy="3737998"/>
            <wp:effectExtent l="0" t="0" r="8255" b="0"/>
            <wp:docPr id="169545029" name="그림 16954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CC54" w14:textId="7A3ED7D8" w:rsidR="00EC32E1" w:rsidRPr="00EC32E1" w:rsidRDefault="00000000" w:rsidP="00B723BF">
      <w:pPr>
        <w:pStyle w:val="a4"/>
        <w:numPr>
          <w:ilvl w:val="2"/>
          <w:numId w:val="2"/>
        </w:numPr>
        <w:spacing w:before="360"/>
        <w:ind w:left="568" w:hanging="284"/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t>CKRT line connection</w:t>
      </w:r>
    </w:p>
    <w:p w14:paraId="5674446B" w14:textId="05597676" w:rsidR="003B2C46" w:rsidRDefault="003B2C46" w:rsidP="00EC32E1">
      <w:pPr>
        <w:pStyle w:val="a4"/>
        <w:ind w:left="566"/>
        <w:rPr>
          <w:rFonts w:ascii="Source Sans 3" w:hAnsi="Source Sans 3" w:cs="Source Sans 3"/>
          <w:color w:val="000000"/>
          <w:sz w:val="22"/>
          <w:szCs w:val="22"/>
        </w:rPr>
      </w:pPr>
      <w:r w:rsidRPr="003B2C46">
        <w:rPr>
          <w:rFonts w:ascii="Source Sans 3" w:hAnsi="Source Sans 3" w:cs="Source Sans 3"/>
          <w:color w:val="000000"/>
          <w:sz w:val="22"/>
          <w:szCs w:val="22"/>
        </w:rPr>
        <w:t xml:space="preserve">Connect the CKRT lines to the pre- and post-pump segments of the ECMO circuit, </w:t>
      </w:r>
      <w:r w:rsidR="00156764">
        <w:rPr>
          <w:rFonts w:ascii="Source Sans 3" w:hAnsi="Source Sans 3" w:cs="Source Sans 3" w:hint="eastAsia"/>
          <w:color w:val="000000"/>
          <w:sz w:val="22"/>
          <w:szCs w:val="22"/>
        </w:rPr>
        <w:t xml:space="preserve">but </w:t>
      </w:r>
      <w:r w:rsidR="00156764" w:rsidRPr="00431D88">
        <w:rPr>
          <w:rFonts w:ascii="Source Sans 3" w:hAnsi="Source Sans 3" w:cs="Source Sans 3" w:hint="eastAsia"/>
          <w:b/>
          <w:bCs/>
          <w:color w:val="000000"/>
          <w:sz w:val="22"/>
          <w:szCs w:val="22"/>
        </w:rPr>
        <w:t xml:space="preserve">not to the </w:t>
      </w:r>
      <w:r w:rsidR="0046628E" w:rsidRPr="00431D88">
        <w:rPr>
          <w:rFonts w:ascii="Source Sans 3" w:hAnsi="Source Sans 3" w:cs="Source Sans 3"/>
          <w:b/>
          <w:bCs/>
          <w:color w:val="000000"/>
          <w:sz w:val="22"/>
          <w:szCs w:val="22"/>
        </w:rPr>
        <w:t>post-oxygenator segment</w:t>
      </w:r>
    </w:p>
    <w:p w14:paraId="1B10F6DA" w14:textId="559DE88E" w:rsidR="0016331D" w:rsidRDefault="00000000">
      <w:pPr>
        <w:pStyle w:val="a4"/>
        <w:numPr>
          <w:ilvl w:val="3"/>
          <w:numId w:val="2"/>
        </w:numPr>
      </w:pPr>
      <w:r w:rsidRPr="00836AB8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CKRT venous line (blue)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: </w:t>
      </w:r>
      <w:r w:rsidR="00E252A5" w:rsidRPr="00E252A5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connect to the </w:t>
      </w:r>
      <w:r w:rsidR="00E252A5" w:rsidRPr="00836AB8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pre-pump</w:t>
      </w:r>
      <w:r w:rsidR="00E252A5" w:rsidRPr="00E252A5"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cannula</w:t>
      </w:r>
    </w:p>
    <w:p w14:paraId="1B10F6DB" w14:textId="77777777" w:rsidR="0016331D" w:rsidRDefault="00000000">
      <w:pPr>
        <w:pStyle w:val="a4"/>
        <w:numPr>
          <w:ilvl w:val="3"/>
          <w:numId w:val="2"/>
        </w:numPr>
      </w:pPr>
      <w:r w:rsidRPr="00836AB8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CKRT arterial line (red)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: connect to the cannula </w:t>
      </w:r>
      <w:r w:rsidRPr="00836AB8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between the pump and the oxygenator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(post-pump, pre-oxygenator)</w:t>
      </w:r>
    </w:p>
    <w:p w14:paraId="038AD062" w14:textId="2A091307" w:rsidR="00852AE9" w:rsidRPr="00852AE9" w:rsidRDefault="00852AE9">
      <w:pPr>
        <w:pStyle w:val="a4"/>
        <w:numPr>
          <w:ilvl w:val="4"/>
          <w:numId w:val="2"/>
        </w:numPr>
      </w:pPr>
      <w:r w:rsidRPr="00852AE9">
        <w:rPr>
          <w:rFonts w:ascii="Source Sans 3" w:eastAsia="Source Sans 3" w:hAnsi="Source Sans 3" w:cs="Source Sans 3"/>
          <w:color w:val="000000"/>
          <w:sz w:val="22"/>
          <w:szCs w:val="22"/>
        </w:rPr>
        <w:t>Connection to the post-oxygenator segment generally does not interfere with CKRT device operation. However, it may create a shunt, allowing oxygenated blood exiting the oxygenator to return directly to the ECMO drainage cannula. This may complicate interpretation of ECMO venous blood gas analysis (</w:t>
      </w:r>
      <w:r w:rsidR="009173DC">
        <w:rPr>
          <w:rFonts w:ascii="Source Sans 3" w:hAnsi="Source Sans 3" w:cs="Source Sans 3" w:hint="eastAsia"/>
          <w:color w:val="000000"/>
          <w:sz w:val="22"/>
          <w:szCs w:val="22"/>
        </w:rPr>
        <w:t xml:space="preserve">pre-oxygenator </w:t>
      </w:r>
      <w:r w:rsidRPr="00852AE9">
        <w:rPr>
          <w:rFonts w:ascii="Source Sans 3" w:eastAsia="Source Sans 3" w:hAnsi="Source Sans 3" w:cs="Source Sans 3"/>
          <w:color w:val="000000"/>
          <w:sz w:val="22"/>
          <w:szCs w:val="22"/>
        </w:rPr>
        <w:t>VBGA); therefore, post-oxygenator connection should be avoided</w:t>
      </w:r>
    </w:p>
    <w:p w14:paraId="1B10F6DD" w14:textId="77777777" w:rsidR="0016331D" w:rsidRDefault="00000000">
      <w:pPr>
        <w:pStyle w:val="a4"/>
        <w:numPr>
          <w:ilvl w:val="2"/>
          <w:numId w:val="2"/>
        </w:numPr>
      </w:pPr>
      <w:r>
        <w:rPr>
          <w:rFonts w:ascii="Source Sans 3" w:eastAsia="Source Sans 3" w:hAnsi="Source Sans 3" w:cs="Source Sans 3"/>
          <w:b/>
          <w:bCs/>
          <w:color w:val="000000"/>
          <w:sz w:val="24"/>
          <w:szCs w:val="24"/>
        </w:rPr>
        <w:lastRenderedPageBreak/>
        <w:t>Extra-line connection</w:t>
      </w:r>
    </w:p>
    <w:p w14:paraId="1B10F6DE" w14:textId="25351F9A" w:rsidR="0016331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Unlike </w:t>
      </w:r>
      <w:r w:rsidR="00C44998">
        <w:rPr>
          <w:rFonts w:ascii="Source Sans 3" w:hAnsi="Source Sans 3" w:cs="Source Sans 3" w:hint="eastAsia"/>
          <w:color w:val="000000"/>
          <w:sz w:val="22"/>
          <w:szCs w:val="22"/>
        </w:rPr>
        <w:t>conventional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vascular access, the ECMO pump generates high pressures that frequently trigger alarms and </w:t>
      </w:r>
      <w:r w:rsidR="000B71DD">
        <w:rPr>
          <w:rFonts w:ascii="Source Sans 3" w:hAnsi="Source Sans 3" w:cs="Source Sans 3" w:hint="eastAsia"/>
          <w:color w:val="000000"/>
          <w:sz w:val="22"/>
          <w:szCs w:val="22"/>
        </w:rPr>
        <w:t>make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CKRT operation</w:t>
      </w:r>
      <w:r w:rsidR="000B71DD">
        <w:rPr>
          <w:rFonts w:ascii="Source Sans 3" w:hAnsi="Source Sans 3" w:cs="Source Sans 3" w:hint="eastAsia"/>
          <w:color w:val="000000"/>
          <w:sz w:val="22"/>
          <w:szCs w:val="22"/>
        </w:rPr>
        <w:t xml:space="preserve"> difficult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. Therefore, </w:t>
      </w:r>
      <w:r w:rsidRPr="005744FE">
        <w:rPr>
          <w:rFonts w:ascii="Source Sans 3" w:eastAsia="Source Sans 3" w:hAnsi="Source Sans 3" w:cs="Source Sans 3"/>
          <w:b/>
          <w:bCs/>
          <w:color w:val="000000"/>
          <w:sz w:val="22"/>
          <w:szCs w:val="22"/>
        </w:rPr>
        <w:t>extension lines (extra-lines) are used to lengthen the path and reduce pressure when applying CKRT</w:t>
      </w:r>
    </w:p>
    <w:p w14:paraId="1AB3122F" w14:textId="77777777" w:rsidR="00780DA0" w:rsidRPr="00780DA0" w:rsidRDefault="00780DA0">
      <w:pPr>
        <w:pStyle w:val="a4"/>
        <w:numPr>
          <w:ilvl w:val="4"/>
          <w:numId w:val="2"/>
        </w:numPr>
        <w:ind w:left="908" w:hanging="284"/>
      </w:pPr>
      <w:r w:rsidRPr="00780DA0">
        <w:rPr>
          <w:rFonts w:ascii="Source Sans 3" w:eastAsia="Source Sans 3" w:hAnsi="Source Sans 3" w:cs="Source Sans 3"/>
          <w:color w:val="000000"/>
          <w:sz w:val="22"/>
          <w:szCs w:val="22"/>
        </w:rPr>
        <w:t>In general, apply 30 cm extra-lines to both the CKRT venous line and CKRT arterial line to create additional resistance</w:t>
      </w:r>
    </w:p>
    <w:p w14:paraId="41917AE0" w14:textId="0462CFCC" w:rsidR="002B292B" w:rsidRPr="00C73B5D" w:rsidRDefault="00000000">
      <w:pPr>
        <w:pStyle w:val="a4"/>
        <w:numPr>
          <w:ilvl w:val="4"/>
          <w:numId w:val="2"/>
        </w:numPr>
        <w:ind w:left="90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The length of the extra-line can be adjusted to control pressure based on CKRT alarm frequency and ECMO blood flow rate / RPM</w:t>
      </w:r>
      <w:r w:rsidR="002B292B">
        <w:rPr>
          <w:rFonts w:ascii="Source Sans 3" w:hAnsi="Source Sans 3" w:cs="Source Sans 3" w:hint="eastAsia"/>
          <w:color w:val="000000"/>
          <w:sz w:val="22"/>
          <w:szCs w:val="22"/>
        </w:rPr>
        <w:t>.</w:t>
      </w:r>
      <w:r>
        <w:rPr>
          <w:rFonts w:ascii="Source Sans 3" w:eastAsia="Source Sans 3" w:hAnsi="Source Sans 3" w:cs="Source Sans 3"/>
          <w:color w:val="000000"/>
          <w:sz w:val="22"/>
          <w:szCs w:val="22"/>
        </w:rPr>
        <w:t xml:space="preserve"> </w:t>
      </w:r>
      <w:r w:rsidR="002B292B" w:rsidRPr="002B292B">
        <w:rPr>
          <w:rFonts w:ascii="Source Sans 3" w:eastAsia="Source Sans 3" w:hAnsi="Source Sans 3" w:cs="Source Sans 3"/>
          <w:color w:val="000000"/>
          <w:sz w:val="22"/>
          <w:szCs w:val="22"/>
        </w:rPr>
        <w:t>This should be determined in consultation with the ICU CKRT team.</w:t>
      </w:r>
    </w:p>
    <w:p w14:paraId="074DE628" w14:textId="7571D6A3" w:rsidR="00C73B5D" w:rsidRPr="002B292B" w:rsidRDefault="00C73B5D" w:rsidP="00C73B5D">
      <w:pPr>
        <w:rPr>
          <w:rFonts w:hint="eastAsia"/>
        </w:rPr>
      </w:pPr>
    </w:p>
    <w:p w14:paraId="3D3307A1" w14:textId="77777777" w:rsidR="002B292B" w:rsidRDefault="002B292B">
      <w:pPr>
        <w:widowControl/>
        <w:wordWrap/>
        <w:autoSpaceDE/>
        <w:autoSpaceDN/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</w:pPr>
      <w:r>
        <w:rPr>
          <w:rFonts w:ascii="Source Sans 3" w:eastAsia="Source Sans 3" w:hAnsi="Source Sans 3" w:cs="Source Sans 3"/>
          <w:b/>
          <w:bCs/>
          <w:color w:val="1428A0"/>
          <w:sz w:val="32"/>
          <w:szCs w:val="32"/>
        </w:rPr>
        <w:br w:type="page"/>
      </w:r>
    </w:p>
    <w:p w14:paraId="1B10F6E1" w14:textId="5DCA83E6" w:rsidR="0016331D" w:rsidRPr="002B292B" w:rsidRDefault="00000000">
      <w:pPr>
        <w:pStyle w:val="a4"/>
        <w:numPr>
          <w:ilvl w:val="0"/>
          <w:numId w:val="2"/>
        </w:numPr>
        <w:rPr>
          <w:caps/>
        </w:rPr>
      </w:pPr>
      <w:r w:rsidRPr="002B292B">
        <w:rPr>
          <w:rFonts w:ascii="Source Sans 3" w:eastAsia="Source Sans 3" w:hAnsi="Source Sans 3" w:cs="Source Sans 3"/>
          <w:b/>
          <w:bCs/>
          <w:caps/>
          <w:color w:val="1428A0"/>
          <w:sz w:val="32"/>
          <w:szCs w:val="32"/>
        </w:rPr>
        <w:lastRenderedPageBreak/>
        <w:t>References</w:t>
      </w:r>
    </w:p>
    <w:p w14:paraId="1B10F6E2" w14:textId="77777777" w:rsidR="0016331D" w:rsidRDefault="00000000">
      <w:pPr>
        <w:pStyle w:val="a4"/>
        <w:numPr>
          <w:ilvl w:val="1"/>
          <w:numId w:val="2"/>
        </w:numPr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Initiation of CRRT</w:t>
      </w:r>
    </w:p>
    <w:p w14:paraId="1B10F6E3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Forni LG, Hilton PJ. Continuous hemofiltration in the treatment of acute renal failure. N Engl J Med 1997;336:1303-1309.</w:t>
      </w:r>
    </w:p>
    <w:p w14:paraId="1B10F6E4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Golper TA. Indications, technical considerations, and strategies for renal replacement therapy in the intensive care unit. J Intensive Care Med 1992;7:310-317.</w:t>
      </w:r>
    </w:p>
    <w:p w14:paraId="1B10F6E5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Manns M, Sigler MH, Teehan BP. Continuous renal replacement therapies: an update. Am J Kidney Dis 1998;32:185-207.</w:t>
      </w:r>
    </w:p>
    <w:p w14:paraId="1B10F6E6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Ronco C. Continuous renal replacement therapies for the treatment of acute renal failure in intensive care patients. Clin Nephrol 1993;40:187-198.</w:t>
      </w:r>
    </w:p>
    <w:p w14:paraId="1B10F6E7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Vinsonneau C, Camus C, Combes A, et al. Continuous venovenous haemodiafiltration versus intermittent haemodialysis for acute renal failure in patients with multiple-organ dysfunction syndrome: a multicentre randomised trial. Lancet 2006;368:379-385.</w:t>
      </w:r>
    </w:p>
    <w:p w14:paraId="1B10F6E8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Tolwani A. Continuous renal-replacement therapy for acute kidney injury. N Engl J Med 2012;367:2505-2514.</w:t>
      </w:r>
    </w:p>
    <w:p w14:paraId="1B10F6E9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Macedo E, Mehta RL. Continuous Dialysis Therapies: Core Curriculum 2016. Am J Kidney Dis 2016;68:645-657.</w:t>
      </w:r>
    </w:p>
    <w:p w14:paraId="1B10F6EA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Neri M, Villa G, Garzotto F, et al. Nomenclature for renal replacement therapy in acute kidney injury: basic principles. Crit Care 2016;20:318.</w:t>
      </w:r>
    </w:p>
    <w:p w14:paraId="1B10F6EB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Bellomo R, Cass A, Cole L, et al. Intensity of continuous renal-replacement therapy in critically ill patients. N Engl J Med 2009;361:1627-1638.</w:t>
      </w:r>
    </w:p>
    <w:p w14:paraId="1B10F6EC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Palevsky PM, Zhang JH, O'Connor TZ, et al. Intensity of renal support in critically ill patients with acute kidney injury. N Engl J Med 2008;359:7-20.</w:t>
      </w:r>
    </w:p>
    <w:p w14:paraId="1B10F6ED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Barletta JF, Barletta GM, Brophy PD, Maxvold NJ, Hackbarth RM, Bunchman TE. Medication errors and patient complications with continuous renal replacement therapy. Pediatr Nephrol 2006;21:842-845.</w:t>
      </w:r>
    </w:p>
    <w:p w14:paraId="1B10F6EE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Pistolesi V, Zeppilli L, Polistena F, et al. Preventing Continuous Renal Replacement Therapy-Induced Hypophosphatemia: An Extended Clinical Experience with a Phosphate-Containing Solution in the Setting of Regional Citrate Anticoagulation. Blood Purif 2017;44:8-15.</w:t>
      </w:r>
    </w:p>
    <w:p w14:paraId="1B10F6EF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Kraus MA. Selection of dialysate and replacement fluids and management of electrolyte and acid-base disturbances. Semin Dial 2009;22:137-140.</w:t>
      </w:r>
    </w:p>
    <w:p w14:paraId="1B10F6F0" w14:textId="77777777" w:rsidR="0016331D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Electrolyte and acid-base imbalance correction</w:t>
      </w:r>
    </w:p>
    <w:p w14:paraId="1B10F6F1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Rosner MH, Connor MJ Jr. Management of Severe Hyponatremia with Continuous Renal Replacement Therapies. Clin J Am Soc Nephrol 2018;13:787-789.</w:t>
      </w:r>
    </w:p>
    <w:p w14:paraId="1B10F6F2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lastRenderedPageBreak/>
        <w:t>Yessayan L, Yee J, Frinak S, Szamosfalvi B. Continuous Renal Replacement Therapy for the Management of Acid-Base and Electrolyte Imbalances in Acute Kidney Injury. Adv Chronic Kidney Dis 2016;23:203-210.</w:t>
      </w:r>
    </w:p>
    <w:p w14:paraId="1B10F6F3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Dangoisse C, Dickie H, Tovey L, Ostermann M. Correction of hyper- and hyponatraemia during continuous renal replacement therapy. Nephron Clin Pract 2014;128:394-398.</w:t>
      </w:r>
    </w:p>
    <w:p w14:paraId="1B10F6F4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Haines RW, Kirwan CJ, Prowle JR. Continuous renal replacement therapy: individualization of the prescription. Curr Opin Crit Care 2018;24:443-449.</w:t>
      </w:r>
    </w:p>
    <w:p w14:paraId="1B10F6F5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Park JT, Lee H, Kee YK, et al. High-Dose Versus Conventional-Dose Continuous Venovenous Hemodiafiltration and Patient and Kidney Survival and Cytokine Removal in Sepsis-Associated Acute Kidney Injury: A Randomized Controlled Trial. Am J Kidney Dis 2016;68:599-608.</w:t>
      </w:r>
    </w:p>
    <w:p w14:paraId="1B10F6F6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Macedo E, Mehta RL. Continuous Dialysis Therapies: Core Curriculum 2016. Am J Kidney Dis 2016;68:645-657.</w:t>
      </w:r>
    </w:p>
    <w:p w14:paraId="1B10F6F7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Cerda J, Tolwani AJ, Warnock DG. Critical care nephrology: management of acid-base disorders with CRRT. Kidney Int 2012;82:9-18.</w:t>
      </w:r>
    </w:p>
    <w:p w14:paraId="1B10F6F8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Jaber S, Paugam C, Futier E, et al. Sodium bicarbonate therapy for patients with severe metabolic acidaemia in the intensive care unit (BICAR-ICU): a multicentre, open-label, randomised controlled, phase 3 trial. Lancet 2018;392:31-40.</w:t>
      </w:r>
    </w:p>
    <w:p w14:paraId="1B10F6F9" w14:textId="77777777" w:rsidR="0016331D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CKRT discontinuation and anticoagulation</w:t>
      </w:r>
    </w:p>
    <w:p w14:paraId="1B10F6FA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Gibney N, Hoste E, Burdmann EA, et al. Timing of initiation and discontinuation of renal replacement therapy in AKI: unanswered key questions. Clin J Am Soc Nephrol 2008;3:876-880.</w:t>
      </w:r>
    </w:p>
    <w:p w14:paraId="1B10F6FB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Gibney RT, Bagshaw SM, Kutsogiannis DJ, Johnston C. When should renal replacement therapy for acute kidney injury be initiated and discontinued? Blood Purif 2008;26:473-484.</w:t>
      </w:r>
    </w:p>
    <w:p w14:paraId="1B10F6FC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Uchino S, Bellomo R, Morimatsu H, et al. Discontinuation of continuous renal replacement therapy: A post hoc analysis of a prospective multicenter observational study. Crit Care Med 2009;37:2576-2582.</w:t>
      </w:r>
    </w:p>
    <w:p w14:paraId="1B10F6FD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Bouman CS, Oudemans-Van Straaten HM, Tijssen JG, Zandstra DF, Kesecioglu J. Effects of early high-volume continuous venovenous hemofiltration on survival and recovery of renal function in intensive care patients with acute renal failure: a prospective, randomized trial. Crit Care Med 2002;30:2205-2211.</w:t>
      </w:r>
    </w:p>
    <w:p w14:paraId="1B10F6FE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Bellomo R, Teede H, Boyce N. Anticoagulant regimens in acute continuous hemodiafiltration: a comparative study. Intensive Care Med 1993;19:329-332.</w:t>
      </w:r>
    </w:p>
    <w:p w14:paraId="1B10F6FF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Choi JY, Kang YJ, Jang HM, et al. Nafamostat mesilate as an anticoagulant during continuous renal replacement therapy in patients with high bleeding risk: a randomized clinical trial. Medicine 2015;94:e2392.</w:t>
      </w:r>
    </w:p>
    <w:p w14:paraId="1B10F700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lastRenderedPageBreak/>
        <w:t>Lee YK, Lee HW, Choi KH, Kim BS. Ability of nafamostat mesilate to prolong filter patency during continuous renal replacement therapy in patients at high risk of bleeding: a randomized controlled study. PLoS One 2014;9:e108737.</w:t>
      </w:r>
    </w:p>
    <w:p w14:paraId="1B10F701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van de Wetering J, Westendorp RG, van der Hoeven JG, Stolk B, Feuth JD, Chang PC. Heparin use in continuous renal replacement procedures: the struggle between filter coagulation and patient hemorrhage. J Am Soc Nephrol 1996;7:145-150.</w:t>
      </w:r>
    </w:p>
    <w:p w14:paraId="1B10F702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Tan HK, Baldwin I, Bellomo R. Continuous veno-venous hemofiltration without anticoagulation in high-risk patients. Intensive Care Med 2000;26:1652-1657.</w:t>
      </w:r>
    </w:p>
    <w:p w14:paraId="1B10F703" w14:textId="77777777" w:rsidR="0016331D" w:rsidRDefault="00000000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Source Sans 3" w:eastAsia="Source Sans 3" w:hAnsi="Source Sans 3" w:cs="Source Sans 3"/>
          <w:b/>
          <w:bCs/>
          <w:color w:val="0A4BFF"/>
          <w:sz w:val="28"/>
          <w:szCs w:val="28"/>
        </w:rPr>
        <w:t>ECMO-CKRT connection</w:t>
      </w:r>
    </w:p>
    <w:p w14:paraId="1B10F704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Askenazi DJ, Selewski DT, Paden ML, et al. Renal replacement therapy in critically ill patients receiving extracorporeal membrane oxygenation. Clin J Am Soc Nephrol 2012;7:1328-1336.</w:t>
      </w:r>
    </w:p>
    <w:p w14:paraId="1B10F705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de Tymowski C, Augustin P, Houissa H, et al. CRRT Connected to ECMO: Managing High Pressures. ASAIO J 2017;63:48-52.</w:t>
      </w:r>
    </w:p>
    <w:p w14:paraId="1B10F706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Kielstein JT, Heiden AM, Beutel G, et al. Renal function and survival in 200 patients undergoing ECMO therapy. Nephrol Dial Transplant 2013;28:86-90.</w:t>
      </w:r>
    </w:p>
    <w:p w14:paraId="1B10F707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Na SJ, Choi HJ, Chung CR, et al. Using additional pressure control lines when connecting a continuous renal replacement therapy device to an extracorporeal membrane oxygenation circuit. BMC Nephrol 2018;19:369.</w:t>
      </w:r>
    </w:p>
    <w:p w14:paraId="1B10F708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Santiago MJ, Sanchez A, Lopez-Herce J, et al. The use of continuous renal replacement therapy in series with extracorporeal membrane oxygenation. Kidney Int 2009;76:1289-1292.</w:t>
      </w:r>
    </w:p>
    <w:p w14:paraId="1B10F709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Seczynska B, Krolikowski W, Nowak I, Jankowski M, Szuldrzynski K, Szczeklik W. Continuous renal replacement therapy during extracorporeal membrane oxygenation in patients treated in medical intensive care unit: technical considerations. Ther Apher Dial 2014;18:523-534.</w:t>
      </w:r>
    </w:p>
    <w:p w14:paraId="1B10F70A" w14:textId="77777777" w:rsidR="0016331D" w:rsidRDefault="00000000">
      <w:pPr>
        <w:pStyle w:val="a4"/>
        <w:numPr>
          <w:ilvl w:val="4"/>
          <w:numId w:val="2"/>
        </w:numPr>
        <w:ind w:left="568" w:hanging="284"/>
      </w:pPr>
      <w:r>
        <w:rPr>
          <w:rFonts w:ascii="Source Sans 3" w:eastAsia="Source Sans 3" w:hAnsi="Source Sans 3" w:cs="Source Sans 3"/>
          <w:color w:val="000000"/>
          <w:sz w:val="22"/>
          <w:szCs w:val="22"/>
        </w:rPr>
        <w:t>Suga N, Matsumura Y, Abe R, Hattori N, Nakada TA, Oda S. A safe procedure for connecting a continuous renal replacement therapy device into an extracorporeal membrane oxygenation circuit. J Artif Organs 2017;20:125-131.</w:t>
      </w:r>
    </w:p>
    <w:sectPr w:rsidR="0016331D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A33EA" w14:textId="77777777" w:rsidR="00566F61" w:rsidRDefault="00566F61">
      <w:r>
        <w:separator/>
      </w:r>
    </w:p>
  </w:endnote>
  <w:endnote w:type="continuationSeparator" w:id="0">
    <w:p w14:paraId="5AE73813" w14:textId="77777777" w:rsidR="00566F61" w:rsidRDefault="00566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70B" w14:textId="77777777" w:rsidR="0016331D" w:rsidRDefault="00000000">
    <w:pPr>
      <w:jc w:val="right"/>
    </w:pPr>
    <w:r>
      <w:rPr>
        <w:noProof/>
      </w:rPr>
      <w:drawing>
        <wp:inline distT="0" distB="0" distL="0" distR="0" wp14:anchorId="1B10F70F" wp14:editId="1B10F710">
          <wp:extent cx="277177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70C" w14:textId="77777777" w:rsidR="0016331D" w:rsidRDefault="00000000">
    <w:pPr>
      <w:jc w:val="right"/>
    </w:pPr>
    <w:r>
      <w:rPr>
        <w:noProof/>
      </w:rPr>
      <w:drawing>
        <wp:inline distT="0" distB="0" distL="0" distR="0" wp14:anchorId="1B10F711" wp14:editId="1B10F712">
          <wp:extent cx="2771775" cy="542925"/>
          <wp:effectExtent l="0" t="0" r="0" b="0"/>
          <wp:docPr id="1260916482" name="그림 12609164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70E" w14:textId="5D56265C" w:rsidR="0016331D" w:rsidRDefault="00000000">
    <w:pPr>
      <w:pBdr>
        <w:top w:val="single" w:sz="4" w:space="4" w:color="CCCCCC"/>
      </w:pBdr>
      <w:spacing w:before="60"/>
      <w:jc w:val="center"/>
    </w:pPr>
    <w:r>
      <w:rPr>
        <w:rFonts w:ascii="Source Sans 3" w:eastAsia="Source Sans 3" w:hAnsi="Source Sans 3" w:cs="Source Sans 3"/>
        <w:color w:val="666666"/>
        <w:sz w:val="18"/>
        <w:szCs w:val="18"/>
      </w:rPr>
      <w:t xml:space="preserve">- </w:t>
    </w:r>
    <w:r>
      <w:rPr>
        <w:rFonts w:ascii="Source Sans 3" w:eastAsia="Source Sans 3" w:hAnsi="Source Sans 3" w:cs="Source Sans 3"/>
        <w:color w:val="666666"/>
        <w:sz w:val="18"/>
        <w:szCs w:val="18"/>
      </w:rPr>
      <w:fldChar w:fldCharType="begin"/>
    </w:r>
    <w:r>
      <w:rPr>
        <w:rFonts w:ascii="Source Sans 3" w:eastAsia="Source Sans 3" w:hAnsi="Source Sans 3" w:cs="Source Sans 3"/>
        <w:color w:val="666666"/>
        <w:sz w:val="18"/>
        <w:szCs w:val="18"/>
      </w:rPr>
      <w:instrText>PAGE</w:instrText>
    </w:r>
    <w:r>
      <w:rPr>
        <w:rFonts w:ascii="Source Sans 3" w:eastAsia="Source Sans 3" w:hAnsi="Source Sans 3" w:cs="Source Sans 3"/>
        <w:color w:val="666666"/>
        <w:sz w:val="18"/>
        <w:szCs w:val="18"/>
      </w:rPr>
      <w:fldChar w:fldCharType="separate"/>
    </w:r>
    <w:r w:rsidR="0081454A">
      <w:rPr>
        <w:rFonts w:ascii="Source Sans 3" w:eastAsia="Source Sans 3" w:hAnsi="Source Sans 3" w:cs="Source Sans 3"/>
        <w:noProof/>
        <w:color w:val="666666"/>
        <w:sz w:val="18"/>
        <w:szCs w:val="18"/>
      </w:rPr>
      <w:t>1</w:t>
    </w:r>
    <w:r>
      <w:rPr>
        <w:rFonts w:ascii="Source Sans 3" w:eastAsia="Source Sans 3" w:hAnsi="Source Sans 3" w:cs="Source Sans 3"/>
        <w:color w:val="666666"/>
        <w:sz w:val="18"/>
        <w:szCs w:val="18"/>
      </w:rPr>
      <w:fldChar w:fldCharType="end"/>
    </w:r>
    <w:r>
      <w:rPr>
        <w:rFonts w:ascii="Source Sans 3" w:eastAsia="Source Sans 3" w:hAnsi="Source Sans 3" w:cs="Source Sans 3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57E0C" w14:textId="77777777" w:rsidR="00566F61" w:rsidRDefault="00566F61">
      <w:r>
        <w:separator/>
      </w:r>
    </w:p>
  </w:footnote>
  <w:footnote w:type="continuationSeparator" w:id="0">
    <w:p w14:paraId="753EB021" w14:textId="77777777" w:rsidR="00566F61" w:rsidRDefault="00566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70D" w14:textId="7202FB87" w:rsidR="0016331D" w:rsidRDefault="00000000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Source Sans 3" w:eastAsia="Source Sans 3" w:hAnsi="Source Sans 3" w:cs="Source Sans 3"/>
        <w:color w:val="000000"/>
        <w:sz w:val="18"/>
        <w:szCs w:val="18"/>
      </w:rPr>
      <w:t>CKRT Protocol</w:t>
    </w:r>
    <w:r>
      <w:tab/>
    </w:r>
    <w:r>
      <w:rPr>
        <w:noProof/>
      </w:rPr>
      <w:drawing>
        <wp:inline distT="0" distB="0" distL="0" distR="0" wp14:anchorId="1B10F713" wp14:editId="1B10F714">
          <wp:extent cx="1123950" cy="219075"/>
          <wp:effectExtent l="0" t="0" r="0" b="0"/>
          <wp:docPr id="1918706524" name="그림 19187065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57C2"/>
    <w:multiLevelType w:val="hybridMultilevel"/>
    <w:tmpl w:val="FDECE8B4"/>
    <w:lvl w:ilvl="0" w:tplc="2B64FCD4">
      <w:start w:val="1"/>
      <w:numFmt w:val="decimal"/>
      <w:suff w:val="space"/>
      <w:lvlText w:val="(%1)"/>
      <w:lvlJc w:val="left"/>
      <w:pPr>
        <w:spacing w:line="276" w:lineRule="auto"/>
        <w:ind w:left="566" w:hanging="283"/>
      </w:pPr>
      <w:rPr>
        <w:rFonts w:ascii="Source Sans 3" w:eastAsia="Source Sans 3" w:hAnsi="Source Sans 3" w:cs="Source Sans 3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39D1367"/>
    <w:multiLevelType w:val="hybridMultilevel"/>
    <w:tmpl w:val="E412278E"/>
    <w:lvl w:ilvl="0" w:tplc="20A49EAE">
      <w:start w:val="1"/>
      <w:numFmt w:val="upperRoman"/>
      <w:suff w:val="space"/>
      <w:lvlText w:val="%1."/>
      <w:lvlJc w:val="left"/>
      <w:pPr>
        <w:spacing w:before="400" w:line="276" w:lineRule="auto"/>
        <w:ind w:left="0" w:firstLine="0"/>
      </w:pPr>
      <w:rPr>
        <w:rFonts w:ascii="Source Sans 3" w:eastAsia="Source Sans 3" w:hAnsi="Source Sans 3" w:cs="Source Sans 3"/>
        <w:b/>
        <w:bCs/>
        <w:caps/>
        <w:color w:val="1428A0"/>
        <w:sz w:val="32"/>
        <w:szCs w:val="32"/>
      </w:rPr>
    </w:lvl>
    <w:lvl w:ilvl="1" w:tplc="20CED432">
      <w:start w:val="1"/>
      <w:numFmt w:val="decimal"/>
      <w:lvlText w:val="%2."/>
      <w:lvlJc w:val="left"/>
      <w:pPr>
        <w:tabs>
          <w:tab w:val="num" w:pos="283"/>
        </w:tabs>
        <w:spacing w:before="200" w:line="276" w:lineRule="auto"/>
        <w:ind w:left="283" w:hanging="283"/>
      </w:pPr>
      <w:rPr>
        <w:rFonts w:ascii="Source Sans 3" w:eastAsia="Source Sans 3" w:hAnsi="Source Sans 3" w:cs="Source Sans 3"/>
        <w:b/>
        <w:bCs/>
        <w:color w:val="0A4BFF"/>
        <w:sz w:val="28"/>
        <w:szCs w:val="28"/>
      </w:rPr>
    </w:lvl>
    <w:lvl w:ilvl="2" w:tplc="2B64FCD4">
      <w:start w:val="1"/>
      <w:numFmt w:val="decimal"/>
      <w:suff w:val="space"/>
      <w:lvlText w:val="(%3)"/>
      <w:lvlJc w:val="left"/>
      <w:pPr>
        <w:spacing w:line="276" w:lineRule="auto"/>
        <w:ind w:left="566" w:hanging="283"/>
      </w:pPr>
      <w:rPr>
        <w:rFonts w:ascii="Source Sans 3" w:eastAsia="Source Sans 3" w:hAnsi="Source Sans 3" w:cs="Source Sans 3"/>
        <w:b/>
        <w:bCs/>
        <w:color w:val="000000"/>
        <w:sz w:val="24"/>
        <w:szCs w:val="24"/>
      </w:rPr>
    </w:lvl>
    <w:lvl w:ilvl="3" w:tplc="E696B65C">
      <w:start w:val="1"/>
      <w:numFmt w:val="decimalEnclosedCircle"/>
      <w:lvlText w:val="%4"/>
      <w:lvlJc w:val="left"/>
      <w:pPr>
        <w:tabs>
          <w:tab w:val="num" w:pos="963"/>
        </w:tabs>
        <w:spacing w:line="276" w:lineRule="auto"/>
        <w:ind w:left="963" w:hanging="340"/>
      </w:pPr>
      <w:rPr>
        <w:rFonts w:ascii="Source Sans 3" w:eastAsia="Source Sans 3" w:hAnsi="Source Sans 3" w:cs="Source Sans 3"/>
        <w:color w:val="000000"/>
        <w:sz w:val="22"/>
        <w:szCs w:val="22"/>
        <w:highlight w:val="none"/>
      </w:rPr>
    </w:lvl>
    <w:lvl w:ilvl="4" w:tplc="61242B54">
      <w:start w:val="1"/>
      <w:numFmt w:val="bullet"/>
      <w:lvlText w:val="•"/>
      <w:lvlJc w:val="left"/>
      <w:pPr>
        <w:tabs>
          <w:tab w:val="num" w:pos="1189"/>
        </w:tabs>
        <w:spacing w:line="276" w:lineRule="auto"/>
        <w:ind w:left="1189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5" w:tplc="7F0441D2">
      <w:start w:val="1"/>
      <w:numFmt w:val="bullet"/>
      <w:lvlText w:val="–"/>
      <w:lvlJc w:val="left"/>
      <w:pPr>
        <w:tabs>
          <w:tab w:val="num" w:pos="1472"/>
        </w:tabs>
        <w:spacing w:line="276" w:lineRule="auto"/>
        <w:ind w:left="1472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6" w:tplc="92FC7142">
      <w:numFmt w:val="decimal"/>
      <w:lvlText w:val=""/>
      <w:lvlJc w:val="left"/>
    </w:lvl>
    <w:lvl w:ilvl="7" w:tplc="571AFEE6">
      <w:numFmt w:val="decimal"/>
      <w:lvlText w:val=""/>
      <w:lvlJc w:val="left"/>
    </w:lvl>
    <w:lvl w:ilvl="8" w:tplc="69F20934">
      <w:numFmt w:val="decimal"/>
      <w:lvlText w:val=""/>
      <w:lvlJc w:val="left"/>
    </w:lvl>
  </w:abstractNum>
  <w:abstractNum w:abstractNumId="2" w15:restartNumberingAfterBreak="0">
    <w:nsid w:val="74967593"/>
    <w:multiLevelType w:val="hybridMultilevel"/>
    <w:tmpl w:val="925A20FA"/>
    <w:lvl w:ilvl="0" w:tplc="6B9A6168">
      <w:start w:val="1"/>
      <w:numFmt w:val="bullet"/>
      <w:lvlText w:val="●"/>
      <w:lvlJc w:val="left"/>
      <w:pPr>
        <w:ind w:left="720" w:hanging="360"/>
      </w:pPr>
    </w:lvl>
    <w:lvl w:ilvl="1" w:tplc="67BAD8D0">
      <w:start w:val="1"/>
      <w:numFmt w:val="bullet"/>
      <w:lvlText w:val="○"/>
      <w:lvlJc w:val="left"/>
      <w:pPr>
        <w:ind w:left="1440" w:hanging="360"/>
      </w:pPr>
    </w:lvl>
    <w:lvl w:ilvl="2" w:tplc="59EC2616">
      <w:start w:val="1"/>
      <w:numFmt w:val="bullet"/>
      <w:lvlText w:val="■"/>
      <w:lvlJc w:val="left"/>
      <w:pPr>
        <w:ind w:left="2160" w:hanging="360"/>
      </w:pPr>
    </w:lvl>
    <w:lvl w:ilvl="3" w:tplc="9894CFF2">
      <w:start w:val="1"/>
      <w:numFmt w:val="bullet"/>
      <w:lvlText w:val="●"/>
      <w:lvlJc w:val="left"/>
      <w:pPr>
        <w:ind w:left="2880" w:hanging="360"/>
      </w:pPr>
    </w:lvl>
    <w:lvl w:ilvl="4" w:tplc="35B487C0">
      <w:start w:val="1"/>
      <w:numFmt w:val="bullet"/>
      <w:lvlText w:val="○"/>
      <w:lvlJc w:val="left"/>
      <w:pPr>
        <w:ind w:left="3600" w:hanging="360"/>
      </w:pPr>
    </w:lvl>
    <w:lvl w:ilvl="5" w:tplc="4FC6C986">
      <w:start w:val="1"/>
      <w:numFmt w:val="bullet"/>
      <w:lvlText w:val="■"/>
      <w:lvlJc w:val="left"/>
      <w:pPr>
        <w:ind w:left="4320" w:hanging="360"/>
      </w:pPr>
    </w:lvl>
    <w:lvl w:ilvl="6" w:tplc="CBCC02C2">
      <w:start w:val="1"/>
      <w:numFmt w:val="bullet"/>
      <w:lvlText w:val="●"/>
      <w:lvlJc w:val="left"/>
      <w:pPr>
        <w:ind w:left="5040" w:hanging="360"/>
      </w:pPr>
    </w:lvl>
    <w:lvl w:ilvl="7" w:tplc="3CCCDA44">
      <w:start w:val="1"/>
      <w:numFmt w:val="bullet"/>
      <w:lvlText w:val="●"/>
      <w:lvlJc w:val="left"/>
      <w:pPr>
        <w:ind w:left="5760" w:hanging="360"/>
      </w:pPr>
    </w:lvl>
    <w:lvl w:ilvl="8" w:tplc="E8F4637E">
      <w:start w:val="1"/>
      <w:numFmt w:val="bullet"/>
      <w:lvlText w:val="●"/>
      <w:lvlJc w:val="left"/>
      <w:pPr>
        <w:ind w:left="6480" w:hanging="360"/>
      </w:pPr>
    </w:lvl>
  </w:abstractNum>
  <w:num w:numId="1" w16cid:durableId="1963224625">
    <w:abstractNumId w:val="2"/>
    <w:lvlOverride w:ilvl="0">
      <w:startOverride w:val="1"/>
    </w:lvlOverride>
  </w:num>
  <w:num w:numId="2" w16cid:durableId="1449003673">
    <w:abstractNumId w:val="1"/>
  </w:num>
  <w:num w:numId="3" w16cid:durableId="1525822509">
    <w:abstractNumId w:val="1"/>
  </w:num>
  <w:num w:numId="4" w16cid:durableId="125871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31D"/>
    <w:rsid w:val="000133A7"/>
    <w:rsid w:val="000360A5"/>
    <w:rsid w:val="00043DC0"/>
    <w:rsid w:val="000B1107"/>
    <w:rsid w:val="000B1A66"/>
    <w:rsid w:val="000B71DD"/>
    <w:rsid w:val="000D0A72"/>
    <w:rsid w:val="000D1069"/>
    <w:rsid w:val="000D153D"/>
    <w:rsid w:val="000D6556"/>
    <w:rsid w:val="000E295C"/>
    <w:rsid w:val="000E4E5E"/>
    <w:rsid w:val="00103CD4"/>
    <w:rsid w:val="001149EB"/>
    <w:rsid w:val="00125A7E"/>
    <w:rsid w:val="00126AC2"/>
    <w:rsid w:val="00156764"/>
    <w:rsid w:val="00160216"/>
    <w:rsid w:val="0016331D"/>
    <w:rsid w:val="00164FAC"/>
    <w:rsid w:val="00165A79"/>
    <w:rsid w:val="00171E18"/>
    <w:rsid w:val="0019600C"/>
    <w:rsid w:val="001971A8"/>
    <w:rsid w:val="001C66E2"/>
    <w:rsid w:val="001C7585"/>
    <w:rsid w:val="001D147F"/>
    <w:rsid w:val="001D4096"/>
    <w:rsid w:val="001F67C4"/>
    <w:rsid w:val="002051C3"/>
    <w:rsid w:val="00213712"/>
    <w:rsid w:val="00226D78"/>
    <w:rsid w:val="00241B0B"/>
    <w:rsid w:val="00253293"/>
    <w:rsid w:val="00283F43"/>
    <w:rsid w:val="0029270E"/>
    <w:rsid w:val="002B292B"/>
    <w:rsid w:val="002C239F"/>
    <w:rsid w:val="002D7F37"/>
    <w:rsid w:val="002F3FDE"/>
    <w:rsid w:val="002F6D36"/>
    <w:rsid w:val="00303C2F"/>
    <w:rsid w:val="00335C1E"/>
    <w:rsid w:val="003466F4"/>
    <w:rsid w:val="00360474"/>
    <w:rsid w:val="00376FFD"/>
    <w:rsid w:val="00393F00"/>
    <w:rsid w:val="003A5077"/>
    <w:rsid w:val="003A51AB"/>
    <w:rsid w:val="003B2C46"/>
    <w:rsid w:val="003D763F"/>
    <w:rsid w:val="003E5155"/>
    <w:rsid w:val="00402F0A"/>
    <w:rsid w:val="004206E2"/>
    <w:rsid w:val="0042123D"/>
    <w:rsid w:val="004276CD"/>
    <w:rsid w:val="00431D88"/>
    <w:rsid w:val="0044151C"/>
    <w:rsid w:val="004615BA"/>
    <w:rsid w:val="00461AE1"/>
    <w:rsid w:val="0046628E"/>
    <w:rsid w:val="004664A4"/>
    <w:rsid w:val="004858B8"/>
    <w:rsid w:val="004A5A68"/>
    <w:rsid w:val="004B3067"/>
    <w:rsid w:val="004D6BC8"/>
    <w:rsid w:val="004D74BA"/>
    <w:rsid w:val="004F2F2E"/>
    <w:rsid w:val="00500323"/>
    <w:rsid w:val="00503961"/>
    <w:rsid w:val="00514B46"/>
    <w:rsid w:val="00521D18"/>
    <w:rsid w:val="00521D22"/>
    <w:rsid w:val="00522F43"/>
    <w:rsid w:val="00523B79"/>
    <w:rsid w:val="005404DC"/>
    <w:rsid w:val="005506C9"/>
    <w:rsid w:val="00557255"/>
    <w:rsid w:val="00566F61"/>
    <w:rsid w:val="005744FE"/>
    <w:rsid w:val="00593F85"/>
    <w:rsid w:val="005A4A81"/>
    <w:rsid w:val="005C06D7"/>
    <w:rsid w:val="005C2E93"/>
    <w:rsid w:val="005E0F86"/>
    <w:rsid w:val="005E23BF"/>
    <w:rsid w:val="005F2A6B"/>
    <w:rsid w:val="005F5263"/>
    <w:rsid w:val="00601E3F"/>
    <w:rsid w:val="00611A28"/>
    <w:rsid w:val="00617BFD"/>
    <w:rsid w:val="00633A97"/>
    <w:rsid w:val="00635CAF"/>
    <w:rsid w:val="006412AF"/>
    <w:rsid w:val="006470AC"/>
    <w:rsid w:val="00650B52"/>
    <w:rsid w:val="00652547"/>
    <w:rsid w:val="006546A9"/>
    <w:rsid w:val="006605A6"/>
    <w:rsid w:val="0068614E"/>
    <w:rsid w:val="00687E6F"/>
    <w:rsid w:val="0069140F"/>
    <w:rsid w:val="006A5E38"/>
    <w:rsid w:val="006B63F6"/>
    <w:rsid w:val="006C4B2F"/>
    <w:rsid w:val="006C54E5"/>
    <w:rsid w:val="0070269F"/>
    <w:rsid w:val="00710F00"/>
    <w:rsid w:val="00713CDD"/>
    <w:rsid w:val="007525F1"/>
    <w:rsid w:val="00780DA0"/>
    <w:rsid w:val="007814B5"/>
    <w:rsid w:val="0079013A"/>
    <w:rsid w:val="007921F9"/>
    <w:rsid w:val="007B32B3"/>
    <w:rsid w:val="007B3A77"/>
    <w:rsid w:val="007B4FF3"/>
    <w:rsid w:val="007B5D20"/>
    <w:rsid w:val="007B6362"/>
    <w:rsid w:val="007E26FF"/>
    <w:rsid w:val="007E738A"/>
    <w:rsid w:val="00811E4D"/>
    <w:rsid w:val="0081454A"/>
    <w:rsid w:val="0083048C"/>
    <w:rsid w:val="00836AB8"/>
    <w:rsid w:val="00837266"/>
    <w:rsid w:val="00852AE9"/>
    <w:rsid w:val="0088277C"/>
    <w:rsid w:val="008A0C32"/>
    <w:rsid w:val="008B1730"/>
    <w:rsid w:val="008C1E18"/>
    <w:rsid w:val="008E6D5B"/>
    <w:rsid w:val="008E7424"/>
    <w:rsid w:val="008F251C"/>
    <w:rsid w:val="009150E9"/>
    <w:rsid w:val="009173DC"/>
    <w:rsid w:val="00923B76"/>
    <w:rsid w:val="009504AA"/>
    <w:rsid w:val="00965B4A"/>
    <w:rsid w:val="009758AA"/>
    <w:rsid w:val="009937B4"/>
    <w:rsid w:val="009C5AF7"/>
    <w:rsid w:val="00A006C7"/>
    <w:rsid w:val="00A47714"/>
    <w:rsid w:val="00A51EBE"/>
    <w:rsid w:val="00A73B3A"/>
    <w:rsid w:val="00A77202"/>
    <w:rsid w:val="00A86EEB"/>
    <w:rsid w:val="00A93FEC"/>
    <w:rsid w:val="00AC34EF"/>
    <w:rsid w:val="00AD7A56"/>
    <w:rsid w:val="00AE1623"/>
    <w:rsid w:val="00AF0B48"/>
    <w:rsid w:val="00AF10D6"/>
    <w:rsid w:val="00AF30E1"/>
    <w:rsid w:val="00B0609A"/>
    <w:rsid w:val="00B0645E"/>
    <w:rsid w:val="00B15460"/>
    <w:rsid w:val="00B16303"/>
    <w:rsid w:val="00B36B10"/>
    <w:rsid w:val="00B45E13"/>
    <w:rsid w:val="00B570D0"/>
    <w:rsid w:val="00B575D0"/>
    <w:rsid w:val="00B723BF"/>
    <w:rsid w:val="00B91114"/>
    <w:rsid w:val="00B9211E"/>
    <w:rsid w:val="00B956F9"/>
    <w:rsid w:val="00BA0567"/>
    <w:rsid w:val="00BC5749"/>
    <w:rsid w:val="00BD3381"/>
    <w:rsid w:val="00BE3C8A"/>
    <w:rsid w:val="00BE4745"/>
    <w:rsid w:val="00BE496D"/>
    <w:rsid w:val="00BE4CFD"/>
    <w:rsid w:val="00C22805"/>
    <w:rsid w:val="00C31DED"/>
    <w:rsid w:val="00C41CE6"/>
    <w:rsid w:val="00C44998"/>
    <w:rsid w:val="00C50BC7"/>
    <w:rsid w:val="00C5710F"/>
    <w:rsid w:val="00C7161C"/>
    <w:rsid w:val="00C73B5D"/>
    <w:rsid w:val="00C76472"/>
    <w:rsid w:val="00C8169F"/>
    <w:rsid w:val="00C934C1"/>
    <w:rsid w:val="00CE4E56"/>
    <w:rsid w:val="00CF5A43"/>
    <w:rsid w:val="00D15A4B"/>
    <w:rsid w:val="00D44D7E"/>
    <w:rsid w:val="00D65B98"/>
    <w:rsid w:val="00D705D0"/>
    <w:rsid w:val="00D75CAD"/>
    <w:rsid w:val="00D86ECB"/>
    <w:rsid w:val="00D910F2"/>
    <w:rsid w:val="00DB41D9"/>
    <w:rsid w:val="00DB4BC9"/>
    <w:rsid w:val="00DC6DAC"/>
    <w:rsid w:val="00DE70B8"/>
    <w:rsid w:val="00E059AB"/>
    <w:rsid w:val="00E10276"/>
    <w:rsid w:val="00E232FC"/>
    <w:rsid w:val="00E252A5"/>
    <w:rsid w:val="00E27124"/>
    <w:rsid w:val="00E453A7"/>
    <w:rsid w:val="00E73EBB"/>
    <w:rsid w:val="00E839E7"/>
    <w:rsid w:val="00EA2B6A"/>
    <w:rsid w:val="00EC2107"/>
    <w:rsid w:val="00EC32E1"/>
    <w:rsid w:val="00EC3C0C"/>
    <w:rsid w:val="00ED3078"/>
    <w:rsid w:val="00ED7CDC"/>
    <w:rsid w:val="00F00EDF"/>
    <w:rsid w:val="00F01E04"/>
    <w:rsid w:val="00F1671F"/>
    <w:rsid w:val="00F24114"/>
    <w:rsid w:val="00F24C18"/>
    <w:rsid w:val="00F250B1"/>
    <w:rsid w:val="00F2775E"/>
    <w:rsid w:val="00F4543E"/>
    <w:rsid w:val="00F51D9C"/>
    <w:rsid w:val="00F71E5F"/>
    <w:rsid w:val="00F851BB"/>
    <w:rsid w:val="00FB71DF"/>
    <w:rsid w:val="00FC1282"/>
    <w:rsid w:val="00FD0EAB"/>
    <w:rsid w:val="00FD7777"/>
    <w:rsid w:val="00FE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F519"/>
  <w15:docId w15:val="{9887A92F-62F9-4C43-894E-1ADDEF50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1454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1454A"/>
  </w:style>
  <w:style w:type="paragraph" w:styleId="ab">
    <w:name w:val="footer"/>
    <w:basedOn w:val="a"/>
    <w:link w:val="Char2"/>
    <w:uiPriority w:val="99"/>
    <w:unhideWhenUsed/>
    <w:rsid w:val="0081454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1454A"/>
  </w:style>
  <w:style w:type="table" w:styleId="ac">
    <w:name w:val="Table Grid"/>
    <w:basedOn w:val="a1"/>
    <w:uiPriority w:val="39"/>
    <w:rsid w:val="00E232FC"/>
    <w:pPr>
      <w:jc w:val="both"/>
    </w:pPr>
    <w:rPr>
      <w:rFonts w:asciiTheme="minorHAnsi" w:hAnsiTheme="minorHAnsi" w:cstheme="minorBidi"/>
      <w:kern w:val="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18</Pages>
  <Words>3631</Words>
  <Characters>20697</Characters>
  <Application>Microsoft Office Word</Application>
  <DocSecurity>0</DocSecurity>
  <Lines>172</Lines>
  <Paragraphs>48</Paragraphs>
  <ScaleCrop>false</ScaleCrop>
  <Company/>
  <LinksUpToDate>false</LinksUpToDate>
  <CharactersWithSpaces>24280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Soo Jin Na</cp:lastModifiedBy>
  <cp:revision>228</cp:revision>
  <dcterms:created xsi:type="dcterms:W3CDTF">2026-04-26T15:36:00Z</dcterms:created>
  <dcterms:modified xsi:type="dcterms:W3CDTF">2026-04-27T04:35:00Z</dcterms:modified>
</cp:coreProperties>
</file>