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F519" w14:textId="30E8E4F1" w:rsidR="0016331D" w:rsidRDefault="000C1A1E">
      <w:pPr>
        <w:spacing w:before="2880" w:after="3120"/>
        <w:jc w:val="center"/>
      </w:pPr>
      <w:r>
        <w:rPr>
          <w:rFonts w:eastAsia="Source Sans 3"/>
          <w:b/>
          <w:bCs/>
          <w:color w:val="1428A0"/>
          <w:sz w:val="56"/>
          <w:szCs w:val="56"/>
        </w:rPr>
        <w:t>Continuous Kidney Replacement Therapy Protocol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16331D" w14:paraId="1B10F51C" w14:textId="77777777">
        <w:trPr>
          <w:tblHeader/>
        </w:trPr>
        <w:tc>
          <w:tcPr>
            <w:tcW w:w="2286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1A" w14:textId="77777777" w:rsidR="0016331D" w:rsidRDefault="000C1A1E">
            <w:pPr>
              <w:spacing w:line="264" w:lineRule="auto"/>
              <w:jc w:val="center"/>
            </w:pPr>
            <w:r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3157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1B" w14:textId="77777777" w:rsidR="0016331D" w:rsidRDefault="000C1A1E">
            <w:pPr>
              <w:spacing w:line="264" w:lineRule="auto"/>
              <w:jc w:val="center"/>
            </w:pPr>
            <w:r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Date</w:t>
            </w:r>
          </w:p>
        </w:tc>
      </w:tr>
      <w:tr w:rsidR="0016331D" w14:paraId="1B10F51F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1D" w14:textId="739B28FF" w:rsidR="0016331D" w:rsidRPr="008C1E18" w:rsidRDefault="000C1A1E">
            <w:pPr>
              <w:spacing w:line="264" w:lineRule="auto"/>
              <w:jc w:val="center"/>
            </w:pPr>
            <w:r w:rsidRPr="00F24C18">
              <w:rPr>
                <w:rFonts w:eastAsia="Source Sans 3"/>
                <w:color w:val="000000"/>
                <w:sz w:val="22"/>
                <w:szCs w:val="22"/>
              </w:rPr>
              <w:t xml:space="preserve">Initial </w:t>
            </w:r>
            <w:r w:rsidR="008C1E18">
              <w:rPr>
                <w:rFonts w:hint="eastAsia"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1E" w14:textId="2916A1EA" w:rsidR="0016331D" w:rsidRPr="00F24C18" w:rsidRDefault="0016331D">
            <w:pPr>
              <w:spacing w:line="264" w:lineRule="auto"/>
              <w:jc w:val="center"/>
            </w:pPr>
          </w:p>
        </w:tc>
      </w:tr>
      <w:tr w:rsidR="00F24C18" w14:paraId="284DEFCC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0EE7E" w14:textId="77777777" w:rsidR="00F24C18" w:rsidRPr="00F24C18" w:rsidRDefault="00F24C18">
            <w:pPr>
              <w:spacing w:line="264" w:lineRule="auto"/>
              <w:jc w:val="center"/>
              <w:rPr>
                <w:rFonts w:eastAsia="Source Sans 3"/>
                <w:color w:val="000000"/>
                <w:sz w:val="22"/>
                <w:szCs w:val="22"/>
              </w:rPr>
            </w:pP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A2BC5" w14:textId="77777777" w:rsidR="00F24C18" w:rsidRPr="00F24C18" w:rsidRDefault="00F24C18">
            <w:pPr>
              <w:spacing w:line="264" w:lineRule="auto"/>
              <w:jc w:val="center"/>
              <w:rPr>
                <w:rFonts w:eastAsia="Source Sans 3"/>
                <w:color w:val="000000"/>
                <w:sz w:val="22"/>
                <w:szCs w:val="22"/>
              </w:rPr>
            </w:pPr>
          </w:p>
        </w:tc>
      </w:tr>
      <w:tr w:rsidR="00F24C18" w14:paraId="212FE488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B5C18" w14:textId="77777777" w:rsidR="00F24C18" w:rsidRPr="00F24C18" w:rsidRDefault="00F24C18">
            <w:pPr>
              <w:spacing w:line="264" w:lineRule="auto"/>
              <w:jc w:val="center"/>
              <w:rPr>
                <w:rFonts w:eastAsia="Source Sans 3"/>
                <w:color w:val="000000"/>
                <w:sz w:val="22"/>
                <w:szCs w:val="22"/>
              </w:rPr>
            </w:pP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8CCA7" w14:textId="77777777" w:rsidR="00F24C18" w:rsidRPr="00F24C18" w:rsidRDefault="00F24C18">
            <w:pPr>
              <w:spacing w:line="264" w:lineRule="auto"/>
              <w:jc w:val="center"/>
              <w:rPr>
                <w:rFonts w:eastAsia="Source Sans 3"/>
                <w:color w:val="000000"/>
                <w:sz w:val="22"/>
                <w:szCs w:val="22"/>
              </w:rPr>
            </w:pPr>
          </w:p>
        </w:tc>
      </w:tr>
      <w:tr w:rsidR="00F24C18" w14:paraId="76C08F4B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47942" w14:textId="665F77D3" w:rsidR="00F24C18" w:rsidRPr="00F24C18" w:rsidRDefault="00F24C18">
            <w:pPr>
              <w:spacing w:line="264" w:lineRule="auto"/>
              <w:jc w:val="center"/>
              <w:rPr>
                <w:rFonts w:eastAsia="Source Sans 3"/>
                <w:color w:val="000000"/>
                <w:sz w:val="22"/>
                <w:szCs w:val="22"/>
              </w:rPr>
            </w:pP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C8CC1" w14:textId="5D5BE2BF" w:rsidR="00F24C18" w:rsidRPr="00F24C18" w:rsidRDefault="00F24C18">
            <w:pPr>
              <w:spacing w:line="264" w:lineRule="auto"/>
              <w:jc w:val="center"/>
              <w:rPr>
                <w:rFonts w:eastAsia="Source Sans 3"/>
                <w:color w:val="000000"/>
                <w:sz w:val="22"/>
                <w:szCs w:val="22"/>
              </w:rPr>
            </w:pPr>
            <w:r w:rsidRPr="00F24C18">
              <w:rPr>
                <w:rFonts w:eastAsia="Source Sans 3"/>
                <w:color w:val="000000"/>
                <w:sz w:val="22"/>
                <w:szCs w:val="22"/>
              </w:rPr>
              <w:t>2026.04.26</w:t>
            </w:r>
          </w:p>
        </w:tc>
      </w:tr>
    </w:tbl>
    <w:p w14:paraId="1B10F520" w14:textId="77777777" w:rsidR="0016331D" w:rsidRDefault="0016331D">
      <w:pPr>
        <w:sectPr w:rsidR="0016331D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1B10F521" w14:textId="1F04D58E" w:rsidR="0016331D" w:rsidRPr="00FD0EAB" w:rsidRDefault="000C1A1E">
      <w:pPr>
        <w:pStyle w:val="a4"/>
        <w:numPr>
          <w:ilvl w:val="0"/>
          <w:numId w:val="2"/>
        </w:numPr>
        <w:rPr>
          <w:caps/>
        </w:rPr>
      </w:pPr>
      <w:r w:rsidRPr="00FD0EAB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 xml:space="preserve">Initiation of </w:t>
      </w:r>
      <w:r w:rsidR="0029270E" w:rsidRPr="0029270E">
        <w:rPr>
          <w:rFonts w:eastAsia="Source Sans 3"/>
          <w:b/>
          <w:bCs/>
          <w:caps/>
          <w:color w:val="1428A0"/>
          <w:sz w:val="32"/>
          <w:szCs w:val="32"/>
        </w:rPr>
        <w:t xml:space="preserve">Continuous Kidney Replacement Therapy </w:t>
      </w:r>
    </w:p>
    <w:p w14:paraId="1B10F522" w14:textId="77777777" w:rsidR="0016331D" w:rsidRDefault="000C1A1E">
      <w:pPr>
        <w:pStyle w:val="a4"/>
        <w:numPr>
          <w:ilvl w:val="1"/>
          <w:numId w:val="2"/>
        </w:numPr>
      </w:pPr>
      <w:r>
        <w:rPr>
          <w:rFonts w:eastAsia="Source Sans 3"/>
          <w:b/>
          <w:bCs/>
          <w:color w:val="0A4BFF"/>
          <w:sz w:val="28"/>
          <w:szCs w:val="28"/>
        </w:rPr>
        <w:t>Indications for CKRT</w:t>
      </w:r>
    </w:p>
    <w:p w14:paraId="1B10F523" w14:textId="77777777" w:rsidR="0016331D" w:rsidRPr="00C31DED" w:rsidRDefault="000C1A1E">
      <w:pPr>
        <w:pStyle w:val="a4"/>
        <w:numPr>
          <w:ilvl w:val="2"/>
          <w:numId w:val="2"/>
        </w:numPr>
        <w:rPr>
          <w:b/>
          <w:bCs/>
        </w:rPr>
      </w:pPr>
      <w:r>
        <w:rPr>
          <w:rFonts w:eastAsia="Source Sans 3"/>
          <w:b/>
          <w:bCs/>
          <w:color w:val="000000"/>
          <w:sz w:val="24"/>
          <w:szCs w:val="24"/>
        </w:rPr>
        <w:t>General indication</w:t>
      </w:r>
      <w:r w:rsidRPr="002051C3">
        <w:rPr>
          <w:rFonts w:eastAsia="Source Sans 3"/>
          <w:color w:val="000000"/>
          <w:sz w:val="24"/>
          <w:szCs w:val="24"/>
        </w:rPr>
        <w:t>:</w:t>
      </w:r>
      <w:r>
        <w:rPr>
          <w:rFonts w:eastAsia="Source Sans 3"/>
          <w:b/>
          <w:bCs/>
          <w:color w:val="000000"/>
          <w:sz w:val="24"/>
          <w:szCs w:val="24"/>
        </w:rPr>
        <w:t xml:space="preserve"> </w:t>
      </w:r>
      <w:r w:rsidRPr="002051C3">
        <w:rPr>
          <w:rFonts w:eastAsia="Source Sans 3"/>
          <w:color w:val="000000"/>
          <w:sz w:val="24"/>
          <w:szCs w:val="24"/>
        </w:rPr>
        <w:t xml:space="preserve">kidney replacement therapy is indicated and </w:t>
      </w:r>
      <w:r w:rsidRPr="00C31DED">
        <w:rPr>
          <w:rFonts w:eastAsia="Source Sans 3"/>
          <w:b/>
          <w:bCs/>
          <w:color w:val="000000"/>
          <w:sz w:val="24"/>
          <w:szCs w:val="24"/>
        </w:rPr>
        <w:t>hemodynamic instability is present</w:t>
      </w:r>
    </w:p>
    <w:p w14:paraId="1B10F524" w14:textId="77777777" w:rsidR="0016331D" w:rsidRDefault="000C1A1E">
      <w:pPr>
        <w:pStyle w:val="a4"/>
        <w:numPr>
          <w:ilvl w:val="2"/>
          <w:numId w:val="2"/>
        </w:numPr>
      </w:pPr>
      <w:r w:rsidRPr="002051C3">
        <w:rPr>
          <w:rFonts w:eastAsia="Source Sans 3"/>
          <w:color w:val="000000"/>
          <w:sz w:val="24"/>
          <w:szCs w:val="24"/>
        </w:rPr>
        <w:t>Even when vital signs are relatively stable, CKRT should be considered</w:t>
      </w:r>
      <w:r>
        <w:rPr>
          <w:rFonts w:eastAsia="Source Sans 3"/>
          <w:b/>
          <w:bCs/>
          <w:color w:val="000000"/>
          <w:sz w:val="24"/>
          <w:szCs w:val="24"/>
        </w:rPr>
        <w:t xml:space="preserve"> in the following clinical settings:</w:t>
      </w:r>
    </w:p>
    <w:p w14:paraId="1B10F525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Risk of increased intracerebral pressure (IICP)</w:t>
      </w:r>
    </w:p>
    <w:p w14:paraId="1B10F526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High metabolic demand</w:t>
      </w:r>
    </w:p>
    <w:p w14:paraId="1B10F527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Severe volume overload</w:t>
      </w:r>
    </w:p>
    <w:p w14:paraId="1B10F528" w14:textId="54DAF118" w:rsidR="0016331D" w:rsidRPr="007E26FF" w:rsidRDefault="000C1A1E" w:rsidP="007E26FF">
      <w:pPr>
        <w:pStyle w:val="a4"/>
        <w:numPr>
          <w:ilvl w:val="2"/>
          <w:numId w:val="2"/>
        </w:numPr>
        <w:ind w:left="624" w:hanging="340"/>
        <w:rPr>
          <w:sz w:val="18"/>
          <w:szCs w:val="18"/>
        </w:rPr>
      </w:pPr>
      <w:r w:rsidRPr="007E26FF">
        <w:rPr>
          <w:rFonts w:eastAsia="Source Sans 3"/>
          <w:color w:val="000000"/>
          <w:sz w:val="22"/>
          <w:szCs w:val="22"/>
        </w:rPr>
        <w:t>Refer to the indications below, but final decisions on CKRT initiation and prescription should always be made in consultation with the on-call nephrology fellow responsible for CKRT, taking each patient's individual situation into account</w:t>
      </w:r>
    </w:p>
    <w:p w14:paraId="1B10F529" w14:textId="77777777" w:rsidR="0016331D" w:rsidRDefault="000C1A1E" w:rsidP="0069140F">
      <w:pPr>
        <w:spacing w:before="360" w:after="60" w:line="276" w:lineRule="auto"/>
        <w:rPr>
          <w:b/>
          <w:bCs/>
          <w:color w:val="000000"/>
          <w:sz w:val="22"/>
          <w:szCs w:val="22"/>
        </w:rPr>
      </w:pPr>
      <w:r>
        <w:rPr>
          <w:rFonts w:eastAsia="Source Sans 3"/>
          <w:b/>
          <w:bCs/>
          <w:color w:val="000000"/>
          <w:sz w:val="22"/>
          <w:szCs w:val="22"/>
        </w:rPr>
        <w:t>Table 1. Clinical settings in which CKRT is preferred</w:t>
      </w:r>
    </w:p>
    <w:tbl>
      <w:tblPr>
        <w:tblStyle w:val="ac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4"/>
      </w:tblGrid>
      <w:tr w:rsidR="00E232FC" w:rsidRPr="00BE496D" w14:paraId="35E1099B" w14:textId="77777777" w:rsidTr="00360474">
        <w:tc>
          <w:tcPr>
            <w:tcW w:w="9014" w:type="dxa"/>
            <w:shd w:val="clear" w:color="auto" w:fill="BEDAFF"/>
          </w:tcPr>
          <w:p w14:paraId="4842631C" w14:textId="541FAEDC" w:rsidR="00E232FC" w:rsidRPr="00BE496D" w:rsidRDefault="00C22805" w:rsidP="00EC6BC6">
            <w:pPr>
              <w:rPr>
                <w:rFonts w:eastAsia="Source Sans 3"/>
                <w:b/>
                <w:sz w:val="22"/>
                <w:szCs w:val="22"/>
              </w:rPr>
            </w:pPr>
            <w:r w:rsidRPr="00BE496D">
              <w:rPr>
                <w:rFonts w:eastAsia="Source Sans 3" w:cs="Source Sans 3"/>
                <w:b/>
                <w:bCs/>
                <w:color w:val="000000"/>
                <w:sz w:val="22"/>
                <w:szCs w:val="22"/>
              </w:rPr>
              <w:t>Clinical settings in which CKRT is preferred</w:t>
            </w:r>
          </w:p>
        </w:tc>
      </w:tr>
      <w:tr w:rsidR="00E232FC" w:rsidRPr="00BE496D" w14:paraId="792A879B" w14:textId="77777777" w:rsidTr="00360474">
        <w:tc>
          <w:tcPr>
            <w:tcW w:w="9014" w:type="dxa"/>
          </w:tcPr>
          <w:p w14:paraId="153A5062" w14:textId="0E501C65" w:rsidR="00E232FC" w:rsidRPr="00BE496D" w:rsidRDefault="007525F1" w:rsidP="00EC6BC6">
            <w:pPr>
              <w:rPr>
                <w:rFonts w:eastAsia="Source Sans 3"/>
                <w:sz w:val="22"/>
                <w:szCs w:val="22"/>
              </w:rPr>
            </w:pPr>
            <w:r w:rsidRPr="00BE496D">
              <w:rPr>
                <w:sz w:val="22"/>
                <w:szCs w:val="22"/>
              </w:rPr>
              <w:t>With / at risk for hemodynamic instability</w:t>
            </w:r>
          </w:p>
        </w:tc>
      </w:tr>
      <w:tr w:rsidR="00E232FC" w:rsidRPr="00BE496D" w14:paraId="2F12F2A0" w14:textId="77777777" w:rsidTr="00360474">
        <w:tc>
          <w:tcPr>
            <w:tcW w:w="9014" w:type="dxa"/>
          </w:tcPr>
          <w:p w14:paraId="12681CE4" w14:textId="6277EEC3" w:rsidR="000D153D" w:rsidRPr="00BE496D" w:rsidRDefault="000D153D" w:rsidP="000D153D">
            <w:pPr>
              <w:rPr>
                <w:sz w:val="22"/>
                <w:szCs w:val="22"/>
              </w:rPr>
            </w:pPr>
            <w:r w:rsidRPr="00BE496D">
              <w:rPr>
                <w:sz w:val="22"/>
                <w:szCs w:val="22"/>
              </w:rPr>
              <w:t>With / at risk for increased intracerebral pressure</w:t>
            </w:r>
          </w:p>
          <w:p w14:paraId="1668019F" w14:textId="003AA348" w:rsidR="00E232FC" w:rsidRPr="00BE496D" w:rsidRDefault="00BE496D" w:rsidP="000D153D">
            <w:pPr>
              <w:rPr>
                <w:rFonts w:eastAsia="Source Sans 3"/>
                <w:sz w:val="22"/>
                <w:szCs w:val="22"/>
              </w:rPr>
            </w:pPr>
            <w:r w:rsidRPr="00BE496D">
              <w:rPr>
                <w:sz w:val="22"/>
                <w:szCs w:val="22"/>
              </w:rPr>
              <w:t xml:space="preserve">e.g., </w:t>
            </w:r>
            <w:r w:rsidR="000D153D" w:rsidRPr="00BE496D">
              <w:rPr>
                <w:sz w:val="22"/>
                <w:szCs w:val="22"/>
              </w:rPr>
              <w:t>Hepatic failure, stroke or head trauma, high risk for cerebral edema</w:t>
            </w:r>
          </w:p>
        </w:tc>
      </w:tr>
      <w:tr w:rsidR="00E232FC" w:rsidRPr="00BE496D" w14:paraId="775E7FB8" w14:textId="77777777" w:rsidTr="00360474">
        <w:tc>
          <w:tcPr>
            <w:tcW w:w="9014" w:type="dxa"/>
          </w:tcPr>
          <w:p w14:paraId="5E059906" w14:textId="77777777" w:rsidR="00965B4A" w:rsidRPr="00BE496D" w:rsidRDefault="00965B4A" w:rsidP="00965B4A">
            <w:pPr>
              <w:rPr>
                <w:sz w:val="22"/>
                <w:szCs w:val="22"/>
              </w:rPr>
            </w:pPr>
            <w:r w:rsidRPr="00BE496D">
              <w:rPr>
                <w:sz w:val="22"/>
                <w:szCs w:val="22"/>
              </w:rPr>
              <w:t>Increased metabolic need</w:t>
            </w:r>
          </w:p>
          <w:p w14:paraId="6D7D34C6" w14:textId="668A6C7D" w:rsidR="00E232FC" w:rsidRPr="00BE496D" w:rsidRDefault="00BE496D" w:rsidP="00965B4A">
            <w:pPr>
              <w:rPr>
                <w:rFonts w:eastAsia="Source Sans 3"/>
                <w:sz w:val="22"/>
                <w:szCs w:val="22"/>
              </w:rPr>
            </w:pPr>
            <w:r w:rsidRPr="00BE496D">
              <w:rPr>
                <w:sz w:val="22"/>
                <w:szCs w:val="22"/>
              </w:rPr>
              <w:t xml:space="preserve">e.g., </w:t>
            </w:r>
            <w:r w:rsidR="00965B4A" w:rsidRPr="00BE496D">
              <w:rPr>
                <w:sz w:val="22"/>
                <w:szCs w:val="22"/>
              </w:rPr>
              <w:t>Massive burn, sepsis, multiple organ failure</w:t>
            </w:r>
          </w:p>
        </w:tc>
      </w:tr>
      <w:tr w:rsidR="00E232FC" w:rsidRPr="00BE496D" w14:paraId="1D60DFCE" w14:textId="77777777" w:rsidTr="00360474">
        <w:tc>
          <w:tcPr>
            <w:tcW w:w="9014" w:type="dxa"/>
          </w:tcPr>
          <w:p w14:paraId="520EC99D" w14:textId="77777777" w:rsidR="00C22805" w:rsidRPr="00BE496D" w:rsidRDefault="00C22805" w:rsidP="00C22805">
            <w:pPr>
              <w:rPr>
                <w:sz w:val="22"/>
                <w:szCs w:val="22"/>
              </w:rPr>
            </w:pPr>
            <w:r w:rsidRPr="00BE496D">
              <w:rPr>
                <w:sz w:val="22"/>
                <w:szCs w:val="22"/>
              </w:rPr>
              <w:t>Severe volume overload and high obligatory fluid intake</w:t>
            </w:r>
          </w:p>
          <w:p w14:paraId="3C9E3B97" w14:textId="6770F789" w:rsidR="00E232FC" w:rsidRPr="00BE496D" w:rsidRDefault="00BE496D" w:rsidP="00C22805">
            <w:pPr>
              <w:rPr>
                <w:rFonts w:eastAsia="Source Sans 3"/>
                <w:sz w:val="22"/>
                <w:szCs w:val="22"/>
              </w:rPr>
            </w:pPr>
            <w:r w:rsidRPr="00BE496D">
              <w:rPr>
                <w:sz w:val="22"/>
                <w:szCs w:val="22"/>
              </w:rPr>
              <w:t xml:space="preserve">e.g., </w:t>
            </w:r>
            <w:r w:rsidR="00C22805" w:rsidRPr="00BE496D">
              <w:rPr>
                <w:sz w:val="22"/>
                <w:szCs w:val="22"/>
              </w:rPr>
              <w:t>Massive volume overload, receiving large amounts of fluids or blood products, when volume manage is critical</w:t>
            </w:r>
          </w:p>
        </w:tc>
      </w:tr>
    </w:tbl>
    <w:p w14:paraId="1B10F538" w14:textId="23DDD068" w:rsidR="0016331D" w:rsidRPr="00F1671F" w:rsidRDefault="007814B5" w:rsidP="00C31DED">
      <w:pPr>
        <w:pStyle w:val="a4"/>
        <w:numPr>
          <w:ilvl w:val="4"/>
          <w:numId w:val="2"/>
        </w:numPr>
        <w:ind w:left="284" w:hanging="284"/>
        <w:rPr>
          <w:i/>
          <w:iCs/>
        </w:rPr>
      </w:pPr>
      <w:r w:rsidRPr="00125A7E">
        <w:rPr>
          <w:rFonts w:hint="eastAsia"/>
          <w:b/>
          <w:bCs/>
          <w:i/>
          <w:iCs/>
          <w:color w:val="000000"/>
          <w:sz w:val="22"/>
          <w:szCs w:val="22"/>
        </w:rPr>
        <w:t>Note</w:t>
      </w:r>
      <w:r w:rsidRPr="00F1671F">
        <w:rPr>
          <w:rFonts w:hint="eastAsia"/>
          <w:i/>
          <w:iCs/>
          <w:color w:val="000000"/>
          <w:sz w:val="22"/>
          <w:szCs w:val="22"/>
        </w:rPr>
        <w:t xml:space="preserve">: </w:t>
      </w:r>
      <w:r w:rsidRPr="00F1671F">
        <w:rPr>
          <w:rFonts w:eastAsia="Source Sans 3"/>
          <w:i/>
          <w:iCs/>
          <w:color w:val="000000"/>
          <w:sz w:val="22"/>
          <w:szCs w:val="22"/>
        </w:rPr>
        <w:t>In acute kidney injury patients with concomitant acute brain injury or IICP</w:t>
      </w:r>
      <w:r w:rsidRPr="00ED7CDC">
        <w:rPr>
          <w:rFonts w:eastAsia="Source Sans 3"/>
          <w:b/>
          <w:bCs/>
          <w:i/>
          <w:iCs/>
          <w:color w:val="000000"/>
          <w:sz w:val="22"/>
          <w:szCs w:val="22"/>
        </w:rPr>
        <w:t>, intermittent hemodialysis (HD) may worsen cerebral edema</w:t>
      </w:r>
      <w:r w:rsidRPr="00F1671F">
        <w:rPr>
          <w:rFonts w:eastAsia="Source Sans 3"/>
          <w:i/>
          <w:iCs/>
          <w:color w:val="000000"/>
          <w:sz w:val="22"/>
          <w:szCs w:val="22"/>
        </w:rPr>
        <w:t>, so CKRT is preferred</w:t>
      </w:r>
    </w:p>
    <w:p w14:paraId="1B10F539" w14:textId="0F90DA02" w:rsidR="0016331D" w:rsidRPr="00F1671F" w:rsidRDefault="00F1671F" w:rsidP="00C31DED">
      <w:pPr>
        <w:pStyle w:val="a4"/>
        <w:numPr>
          <w:ilvl w:val="4"/>
          <w:numId w:val="2"/>
        </w:numPr>
        <w:ind w:left="284" w:hanging="284"/>
        <w:rPr>
          <w:i/>
          <w:iCs/>
        </w:rPr>
      </w:pPr>
      <w:r w:rsidRPr="00125A7E">
        <w:rPr>
          <w:rFonts w:hint="eastAsia"/>
          <w:b/>
          <w:bCs/>
          <w:i/>
          <w:iCs/>
          <w:color w:val="000000"/>
          <w:sz w:val="22"/>
          <w:szCs w:val="22"/>
        </w:rPr>
        <w:t>Note</w:t>
      </w:r>
      <w:r w:rsidRPr="00F1671F">
        <w:rPr>
          <w:rFonts w:hint="eastAsia"/>
          <w:i/>
          <w:iCs/>
          <w:color w:val="000000"/>
          <w:sz w:val="22"/>
          <w:szCs w:val="22"/>
        </w:rPr>
        <w:t xml:space="preserve">: </w:t>
      </w:r>
      <w:r w:rsidRPr="00F1671F">
        <w:rPr>
          <w:rFonts w:eastAsia="Source Sans 3"/>
          <w:i/>
          <w:iCs/>
          <w:color w:val="000000"/>
          <w:sz w:val="22"/>
          <w:szCs w:val="22"/>
        </w:rPr>
        <w:t xml:space="preserve">In severe hyperkalemia accompanied by EKG changes, HD can remove larger amounts of potassium more rapidly than CKRT; therefore, in patients with </w:t>
      </w:r>
      <w:r w:rsidRPr="00125A7E">
        <w:rPr>
          <w:rFonts w:eastAsia="Source Sans 3"/>
          <w:b/>
          <w:bCs/>
          <w:i/>
          <w:iCs/>
          <w:color w:val="000000"/>
          <w:sz w:val="22"/>
          <w:szCs w:val="22"/>
        </w:rPr>
        <w:t>severe hyperkalemia who are not hypotensive, HD is preferable</w:t>
      </w:r>
    </w:p>
    <w:p w14:paraId="3794383F" w14:textId="77777777" w:rsidR="0029270E" w:rsidRDefault="0029270E">
      <w:pPr>
        <w:widowControl/>
        <w:wordWrap/>
        <w:autoSpaceDE/>
        <w:autoSpaceDN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br w:type="page"/>
      </w:r>
    </w:p>
    <w:p w14:paraId="1B10F53A" w14:textId="761FA89B" w:rsidR="0016331D" w:rsidRDefault="000C1A1E" w:rsidP="001D4096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lastRenderedPageBreak/>
        <w:t>Explanation and Informed Consent</w:t>
      </w:r>
    </w:p>
    <w:p w14:paraId="1B10F53B" w14:textId="00979B98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Obtain informed consent before starting CKRT</w:t>
      </w:r>
    </w:p>
    <w:p w14:paraId="1B10F53C" w14:textId="110D263E" w:rsidR="0016331D" w:rsidRDefault="000C1A1E">
      <w:pPr>
        <w:pStyle w:val="a4"/>
        <w:numPr>
          <w:ilvl w:val="5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If ≥ 1 month has elapsed since CKRT discontinuation while the patient remained in the ICU, a new informed consent is required when restarting CKRT</w:t>
      </w:r>
    </w:p>
    <w:p w14:paraId="1B10F53D" w14:textId="4080DA16" w:rsidR="0016331D" w:rsidRDefault="000C1A1E">
      <w:pPr>
        <w:pStyle w:val="a4"/>
        <w:numPr>
          <w:ilvl w:val="5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If CKRT was discontinued less than 1 month ago, but the patient was transferred to the ward and then re-admitted to the ICU, a new informed consent is required when restarting CKRT</w:t>
      </w:r>
    </w:p>
    <w:p w14:paraId="1B10F53E" w14:textId="77777777" w:rsidR="0016331D" w:rsidRDefault="000C1A1E" w:rsidP="001D4096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>Standard Prescription</w:t>
      </w:r>
    </w:p>
    <w:p w14:paraId="1B10F53F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CKRT</w:t>
      </w:r>
    </w:p>
    <w:p w14:paraId="1B10F540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Blood flow rate: 100–200 mL/min</w:t>
      </w:r>
    </w:p>
    <w:p w14:paraId="1B10F541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Dialysate flow rate: 800–2000 mL/hr</w:t>
      </w:r>
    </w:p>
    <w:p w14:paraId="1B10F542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Replacement flow rate: 800–2000 mL/hr (pre : post = 8 : 2)</w:t>
      </w:r>
    </w:p>
    <w:p w14:paraId="1B10F543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Net balance: 0 balance ~ negative 200 mL/hr</w:t>
      </w:r>
    </w:p>
    <w:p w14:paraId="1B10F544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Anticoagulation: none / heparin / nafamostat (Futhan)</w:t>
      </w:r>
    </w:p>
    <w:p w14:paraId="4B8163E4" w14:textId="167E5F04" w:rsidR="009937B4" w:rsidRPr="009937B4" w:rsidRDefault="000C1A1E" w:rsidP="00C76472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Laboratory follow-up</w:t>
      </w:r>
    </w:p>
    <w:p w14:paraId="1B10F546" w14:textId="205A83DC" w:rsidR="0016331D" w:rsidRPr="00F2775E" w:rsidRDefault="000C1A1E" w:rsidP="009937B4">
      <w:pPr>
        <w:pStyle w:val="a4"/>
        <w:numPr>
          <w:ilvl w:val="4"/>
          <w:numId w:val="2"/>
        </w:numPr>
        <w:ind w:left="908" w:hanging="284"/>
        <w:rPr>
          <w:sz w:val="18"/>
          <w:szCs w:val="18"/>
        </w:rPr>
      </w:pPr>
      <w:r w:rsidRPr="00F2775E">
        <w:rPr>
          <w:rFonts w:eastAsia="Source Sans 3"/>
          <w:color w:val="000000"/>
          <w:sz w:val="22"/>
          <w:szCs w:val="22"/>
        </w:rPr>
        <w:t>Electrolytes, HCO₃⁻, iCa / P / Mg</w:t>
      </w:r>
    </w:p>
    <w:p w14:paraId="1B10F547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Every 6–8 hours initially; every 12 hours when stable</w:t>
      </w:r>
    </w:p>
    <w:p w14:paraId="1B10F548" w14:textId="77777777" w:rsidR="0016331D" w:rsidRDefault="000C1A1E" w:rsidP="001D4096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>Dose</w:t>
      </w:r>
    </w:p>
    <w:p w14:paraId="1B10F549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Initial dose prescription</w:t>
      </w:r>
    </w:p>
    <w:p w14:paraId="1B10F54A" w14:textId="3F0DE1CD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Goal: CKRT dose is determined by the effluent flow rate. At our institution, </w:t>
      </w:r>
      <w:r w:rsidRPr="00F24114">
        <w:rPr>
          <w:rFonts w:eastAsia="Source Sans 3"/>
          <w:b/>
          <w:bCs/>
          <w:color w:val="000000"/>
          <w:sz w:val="22"/>
          <w:szCs w:val="22"/>
        </w:rPr>
        <w:t>the initial dose target is a calculated dose (effective effluent flow rate) of 25–30 mL/kg/hr</w:t>
      </w:r>
    </w:p>
    <w:p w14:paraId="1B10F54B" w14:textId="749411A3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Prescription: refer to Table 2 below according to body weight</w:t>
      </w:r>
    </w:p>
    <w:p w14:paraId="1B10F54C" w14:textId="758707D2" w:rsidR="0016331D" w:rsidRDefault="000C1A1E">
      <w:pPr>
        <w:pStyle w:val="a4"/>
        <w:numPr>
          <w:ilvl w:val="3"/>
          <w:numId w:val="2"/>
        </w:numPr>
      </w:pPr>
      <w:r w:rsidRPr="00B15460">
        <w:rPr>
          <w:rFonts w:eastAsia="Source Sans 3"/>
          <w:b/>
          <w:bCs/>
          <w:color w:val="000000"/>
          <w:sz w:val="22"/>
          <w:szCs w:val="22"/>
        </w:rPr>
        <w:t>Conditions in which a higher</w:t>
      </w:r>
      <w:r w:rsidR="007B32B3" w:rsidRPr="00B15460">
        <w:rPr>
          <w:rFonts w:hint="eastAsia"/>
          <w:b/>
          <w:bCs/>
          <w:color w:val="000000"/>
          <w:sz w:val="22"/>
          <w:szCs w:val="22"/>
        </w:rPr>
        <w:t>-</w:t>
      </w:r>
      <w:r w:rsidRPr="00B15460">
        <w:rPr>
          <w:rFonts w:eastAsia="Source Sans 3"/>
          <w:b/>
          <w:bCs/>
          <w:color w:val="000000"/>
          <w:sz w:val="22"/>
          <w:szCs w:val="22"/>
        </w:rPr>
        <w:t>than</w:t>
      </w:r>
      <w:r w:rsidR="00522F43" w:rsidRPr="00B15460">
        <w:rPr>
          <w:rFonts w:hint="eastAsia"/>
          <w:b/>
          <w:bCs/>
          <w:color w:val="000000"/>
          <w:sz w:val="22"/>
          <w:szCs w:val="22"/>
        </w:rPr>
        <w:t>-</w:t>
      </w:r>
      <w:r w:rsidRPr="00B15460">
        <w:rPr>
          <w:rFonts w:eastAsia="Source Sans 3"/>
          <w:b/>
          <w:bCs/>
          <w:color w:val="000000"/>
          <w:sz w:val="22"/>
          <w:szCs w:val="22"/>
        </w:rPr>
        <w:t>recommended dose</w:t>
      </w:r>
      <w:r>
        <w:rPr>
          <w:rFonts w:eastAsia="Source Sans 3"/>
          <w:color w:val="000000"/>
          <w:sz w:val="22"/>
          <w:szCs w:val="22"/>
        </w:rPr>
        <w:t xml:space="preserve"> should be considered:</w:t>
      </w:r>
    </w:p>
    <w:p w14:paraId="1B10F54D" w14:textId="77777777" w:rsidR="0016331D" w:rsidRDefault="000C1A1E">
      <w:pPr>
        <w:pStyle w:val="a4"/>
        <w:numPr>
          <w:ilvl w:val="4"/>
          <w:numId w:val="2"/>
        </w:numPr>
      </w:pPr>
      <w:r w:rsidRPr="00E10276">
        <w:rPr>
          <w:rFonts w:eastAsia="Source Sans 3"/>
          <w:b/>
          <w:bCs/>
          <w:color w:val="000000"/>
          <w:sz w:val="22"/>
          <w:szCs w:val="22"/>
        </w:rPr>
        <w:t>Severe metabolic derangement</w:t>
      </w:r>
      <w:r>
        <w:rPr>
          <w:rFonts w:eastAsia="Source Sans 3"/>
          <w:color w:val="000000"/>
          <w:sz w:val="22"/>
          <w:szCs w:val="22"/>
        </w:rPr>
        <w:t xml:space="preserve"> (e.g., sepsis, tumor lysis syndrome, rhabdomyolysis), </w:t>
      </w:r>
      <w:r w:rsidRPr="00E10276">
        <w:rPr>
          <w:rFonts w:eastAsia="Source Sans 3"/>
          <w:b/>
          <w:bCs/>
          <w:color w:val="000000"/>
          <w:sz w:val="22"/>
          <w:szCs w:val="22"/>
        </w:rPr>
        <w:t>hyperammonemia, intoxication</w:t>
      </w:r>
      <w:r>
        <w:rPr>
          <w:rFonts w:eastAsia="Source Sans 3"/>
          <w:color w:val="000000"/>
          <w:sz w:val="22"/>
          <w:szCs w:val="22"/>
        </w:rPr>
        <w:t>, etc.</w:t>
      </w:r>
    </w:p>
    <w:p w14:paraId="1B10F54E" w14:textId="0FF1C950" w:rsidR="0016331D" w:rsidRDefault="0083048C">
      <w:pPr>
        <w:pStyle w:val="a4"/>
        <w:numPr>
          <w:ilvl w:val="4"/>
          <w:numId w:val="2"/>
        </w:numPr>
      </w:pPr>
      <w:r w:rsidRPr="0083048C">
        <w:rPr>
          <w:rFonts w:eastAsia="Source Sans 3"/>
          <w:color w:val="000000"/>
          <w:sz w:val="22"/>
          <w:szCs w:val="22"/>
        </w:rPr>
        <w:t>When either of the following criteria is met: prescribe according to the dose corresponding to the next higher body-weight category in Table 2</w:t>
      </w:r>
    </w:p>
    <w:p w14:paraId="1B10F54F" w14:textId="77777777" w:rsidR="0016331D" w:rsidRPr="00E10276" w:rsidRDefault="000C1A1E">
      <w:pPr>
        <w:pStyle w:val="a4"/>
        <w:numPr>
          <w:ilvl w:val="5"/>
          <w:numId w:val="2"/>
        </w:numPr>
        <w:rPr>
          <w:b/>
          <w:bCs/>
        </w:rPr>
      </w:pPr>
      <w:r w:rsidRPr="00E10276">
        <w:rPr>
          <w:rFonts w:eastAsia="Source Sans 3"/>
          <w:b/>
          <w:bCs/>
          <w:color w:val="000000"/>
          <w:sz w:val="22"/>
          <w:szCs w:val="22"/>
        </w:rPr>
        <w:t>Serum potassium &gt; 6.5 mmol/L</w:t>
      </w:r>
    </w:p>
    <w:p w14:paraId="1B10F550" w14:textId="77777777" w:rsidR="0016331D" w:rsidRDefault="000C1A1E">
      <w:pPr>
        <w:pStyle w:val="a4"/>
        <w:numPr>
          <w:ilvl w:val="5"/>
          <w:numId w:val="2"/>
        </w:numPr>
      </w:pPr>
      <w:r w:rsidRPr="00E10276">
        <w:rPr>
          <w:rFonts w:eastAsia="Source Sans 3"/>
          <w:b/>
          <w:bCs/>
          <w:color w:val="000000"/>
          <w:sz w:val="22"/>
          <w:szCs w:val="22"/>
        </w:rPr>
        <w:t>Metabolic acidosis</w:t>
      </w:r>
      <w:r>
        <w:rPr>
          <w:rFonts w:eastAsia="Source Sans 3"/>
          <w:color w:val="000000"/>
          <w:sz w:val="22"/>
          <w:szCs w:val="22"/>
        </w:rPr>
        <w:t xml:space="preserve"> (pH &lt; 7.15 with PaCO₂ &lt; 35 mmHg, or serum bicarbonate &lt; 12 mmol/L)</w:t>
      </w:r>
    </w:p>
    <w:p w14:paraId="2C97AE28" w14:textId="5661DBF0" w:rsidR="00B45E13" w:rsidRDefault="000C1A1E" w:rsidP="00B45E13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Considerations: </w:t>
      </w:r>
      <w:r w:rsidRPr="00F71E5F">
        <w:rPr>
          <w:rFonts w:eastAsia="Source Sans 3"/>
          <w:b/>
          <w:bCs/>
          <w:color w:val="000000"/>
          <w:sz w:val="22"/>
          <w:szCs w:val="22"/>
        </w:rPr>
        <w:t>when an ECMO circuit is used as the CKRT route, prescribe a BFR of 150 mL/min or higher</w:t>
      </w:r>
      <w:r>
        <w:rPr>
          <w:rFonts w:eastAsia="Source Sans 3"/>
          <w:color w:val="000000"/>
          <w:sz w:val="22"/>
          <w:szCs w:val="22"/>
        </w:rPr>
        <w:t xml:space="preserve"> as a baseline</w:t>
      </w:r>
    </w:p>
    <w:p w14:paraId="5B1FA7AE" w14:textId="77777777" w:rsidR="00923B76" w:rsidRDefault="00923B76">
      <w:pPr>
        <w:widowControl/>
        <w:wordWrap/>
        <w:autoSpaceDE/>
        <w:autoSpaceDN/>
        <w:rPr>
          <w:rFonts w:eastAsia="Source Sans 3"/>
          <w:b/>
          <w:bCs/>
          <w:color w:val="000000"/>
          <w:sz w:val="22"/>
          <w:szCs w:val="22"/>
        </w:rPr>
      </w:pPr>
      <w:r>
        <w:rPr>
          <w:rFonts w:eastAsia="Source Sans 3"/>
          <w:b/>
          <w:bCs/>
          <w:color w:val="000000"/>
          <w:sz w:val="22"/>
          <w:szCs w:val="22"/>
        </w:rPr>
        <w:br w:type="page"/>
      </w:r>
    </w:p>
    <w:p w14:paraId="1B10F552" w14:textId="17816C2D" w:rsidR="0016331D" w:rsidRDefault="000C1A1E" w:rsidP="00FC1282">
      <w:pPr>
        <w:spacing w:before="360" w:after="60" w:line="276" w:lineRule="auto"/>
        <w:rPr>
          <w:b/>
          <w:bCs/>
          <w:color w:val="000000"/>
          <w:sz w:val="22"/>
          <w:szCs w:val="22"/>
        </w:rPr>
      </w:pPr>
      <w:r>
        <w:rPr>
          <w:rFonts w:eastAsia="Source Sans 3"/>
          <w:b/>
          <w:bCs/>
          <w:color w:val="000000"/>
          <w:sz w:val="22"/>
          <w:szCs w:val="22"/>
        </w:rPr>
        <w:lastRenderedPageBreak/>
        <w:t>Table 2. Dose protocol</w:t>
      </w:r>
    </w:p>
    <w:tbl>
      <w:tblPr>
        <w:tblW w:w="907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304"/>
        <w:gridCol w:w="1757"/>
        <w:gridCol w:w="1701"/>
        <w:gridCol w:w="1304"/>
        <w:gridCol w:w="1304"/>
      </w:tblGrid>
      <w:tr w:rsidR="006A5E38" w:rsidRPr="00F01E04" w14:paraId="19D040B6" w14:textId="77777777" w:rsidTr="006412AF">
        <w:trPr>
          <w:tblHeader/>
        </w:trPr>
        <w:tc>
          <w:tcPr>
            <w:tcW w:w="170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FD23E" w14:textId="77777777" w:rsidR="006A5E38" w:rsidRPr="00F01E04" w:rsidRDefault="006A5E38" w:rsidP="00F01E04">
            <w:pPr>
              <w:spacing w:line="192" w:lineRule="auto"/>
              <w:jc w:val="center"/>
              <w:rPr>
                <w:rFonts w:eastAsia="Source Sans 3"/>
                <w:b/>
                <w:bCs/>
                <w:color w:val="000000"/>
              </w:rPr>
            </w:pPr>
            <w:r w:rsidRPr="00F01E04">
              <w:rPr>
                <w:rFonts w:eastAsia="Source Sans 3"/>
                <w:b/>
                <w:bCs/>
                <w:color w:val="000000"/>
              </w:rPr>
              <w:t xml:space="preserve">Body weight </w:t>
            </w:r>
          </w:p>
          <w:p w14:paraId="3D2435BE" w14:textId="0845C053" w:rsidR="006A5E38" w:rsidRPr="00F01E04" w:rsidRDefault="006A5E38" w:rsidP="00F01E04">
            <w:pPr>
              <w:spacing w:line="192" w:lineRule="auto"/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b/>
                <w:bCs/>
                <w:color w:val="000000"/>
              </w:rPr>
              <w:t>(kg)</w:t>
            </w:r>
          </w:p>
        </w:tc>
        <w:tc>
          <w:tcPr>
            <w:tcW w:w="1304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E8D1F" w14:textId="77777777" w:rsidR="006A5E38" w:rsidRPr="00F01E04" w:rsidRDefault="006A5E38" w:rsidP="00F01E04">
            <w:pPr>
              <w:spacing w:line="192" w:lineRule="auto"/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b/>
                <w:bCs/>
                <w:color w:val="000000"/>
              </w:rPr>
              <w:t>Blood flow rate (mL/min)</w:t>
            </w:r>
          </w:p>
        </w:tc>
        <w:tc>
          <w:tcPr>
            <w:tcW w:w="175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8A298" w14:textId="77777777" w:rsidR="006A5E38" w:rsidRPr="00F01E04" w:rsidRDefault="006A5E38" w:rsidP="00F01E04">
            <w:pPr>
              <w:spacing w:line="192" w:lineRule="auto"/>
              <w:jc w:val="center"/>
              <w:rPr>
                <w:rFonts w:eastAsia="Source Sans 3"/>
                <w:b/>
                <w:bCs/>
                <w:color w:val="000000"/>
              </w:rPr>
            </w:pPr>
            <w:r w:rsidRPr="00F01E04">
              <w:rPr>
                <w:rFonts w:eastAsia="Source Sans 3"/>
                <w:b/>
                <w:bCs/>
                <w:color w:val="000000"/>
              </w:rPr>
              <w:t xml:space="preserve">Total replacement rate </w:t>
            </w:r>
          </w:p>
          <w:p w14:paraId="34B2943C" w14:textId="77777777" w:rsidR="006A5E38" w:rsidRPr="00F01E04" w:rsidRDefault="006A5E38" w:rsidP="00F01E04">
            <w:pPr>
              <w:spacing w:line="192" w:lineRule="auto"/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b/>
                <w:bCs/>
                <w:color w:val="000000"/>
              </w:rPr>
              <w:t>(mL/hr)</w:t>
            </w:r>
          </w:p>
        </w:tc>
        <w:tc>
          <w:tcPr>
            <w:tcW w:w="170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D94AB" w14:textId="77777777" w:rsidR="006A5E38" w:rsidRPr="00F01E04" w:rsidRDefault="006A5E38" w:rsidP="00F01E04">
            <w:pPr>
              <w:spacing w:line="192" w:lineRule="auto"/>
              <w:jc w:val="center"/>
              <w:rPr>
                <w:rFonts w:eastAsia="Source Sans 3"/>
                <w:b/>
                <w:bCs/>
                <w:color w:val="000000"/>
              </w:rPr>
            </w:pPr>
            <w:r w:rsidRPr="00F01E04">
              <w:rPr>
                <w:rFonts w:eastAsia="Source Sans 3"/>
                <w:b/>
                <w:bCs/>
                <w:color w:val="000000"/>
              </w:rPr>
              <w:t>Pre-replacement rate / Post</w:t>
            </w:r>
          </w:p>
          <w:p w14:paraId="526D39EA" w14:textId="77777777" w:rsidR="006A5E38" w:rsidRPr="00F01E04" w:rsidRDefault="006A5E38" w:rsidP="00F01E04">
            <w:pPr>
              <w:spacing w:line="192" w:lineRule="auto"/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b/>
                <w:bCs/>
                <w:color w:val="000000"/>
              </w:rPr>
              <w:t>(mL/hr)</w:t>
            </w:r>
          </w:p>
        </w:tc>
        <w:tc>
          <w:tcPr>
            <w:tcW w:w="1304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39F06" w14:textId="77777777" w:rsidR="006A5E38" w:rsidRPr="00F01E04" w:rsidRDefault="006A5E38" w:rsidP="00F01E04">
            <w:pPr>
              <w:spacing w:line="192" w:lineRule="auto"/>
              <w:jc w:val="center"/>
              <w:rPr>
                <w:rFonts w:eastAsia="Source Sans 3"/>
                <w:b/>
                <w:bCs/>
                <w:color w:val="000000"/>
              </w:rPr>
            </w:pPr>
            <w:r w:rsidRPr="00F01E04">
              <w:rPr>
                <w:rFonts w:eastAsia="Source Sans 3"/>
                <w:b/>
                <w:bCs/>
                <w:color w:val="000000"/>
              </w:rPr>
              <w:t xml:space="preserve">Dialysate rate </w:t>
            </w:r>
          </w:p>
          <w:p w14:paraId="7A087AEC" w14:textId="77777777" w:rsidR="006A5E38" w:rsidRPr="00F01E04" w:rsidRDefault="006A5E38" w:rsidP="00F01E04">
            <w:pPr>
              <w:spacing w:line="192" w:lineRule="auto"/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b/>
                <w:bCs/>
                <w:color w:val="000000"/>
              </w:rPr>
              <w:t>(mL/hr)</w:t>
            </w:r>
          </w:p>
        </w:tc>
        <w:tc>
          <w:tcPr>
            <w:tcW w:w="1304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0B675" w14:textId="77777777" w:rsidR="006A5E38" w:rsidRPr="00F01E04" w:rsidRDefault="006A5E38" w:rsidP="00F01E04">
            <w:pPr>
              <w:spacing w:line="192" w:lineRule="auto"/>
              <w:jc w:val="center"/>
              <w:rPr>
                <w:rFonts w:eastAsia="Source Sans 3"/>
                <w:b/>
                <w:bCs/>
                <w:color w:val="000000"/>
              </w:rPr>
            </w:pPr>
            <w:r w:rsidRPr="00F01E04">
              <w:rPr>
                <w:rFonts w:eastAsia="Source Sans 3"/>
                <w:b/>
                <w:bCs/>
                <w:color w:val="000000"/>
              </w:rPr>
              <w:t xml:space="preserve">Calculated </w:t>
            </w:r>
          </w:p>
          <w:p w14:paraId="434470C2" w14:textId="77777777" w:rsidR="006A5E38" w:rsidRPr="00F01E04" w:rsidRDefault="006A5E38" w:rsidP="00F01E04">
            <w:pPr>
              <w:spacing w:line="192" w:lineRule="auto"/>
              <w:jc w:val="center"/>
              <w:rPr>
                <w:rFonts w:eastAsia="Source Sans 3"/>
                <w:b/>
                <w:bCs/>
                <w:color w:val="000000"/>
              </w:rPr>
            </w:pPr>
            <w:r w:rsidRPr="00F01E04">
              <w:rPr>
                <w:rFonts w:eastAsia="Source Sans 3"/>
                <w:b/>
                <w:bCs/>
                <w:color w:val="000000"/>
              </w:rPr>
              <w:t>dose</w:t>
            </w:r>
          </w:p>
          <w:p w14:paraId="33A69C8B" w14:textId="77777777" w:rsidR="006A5E38" w:rsidRPr="00F01E04" w:rsidRDefault="006A5E38" w:rsidP="00F01E04">
            <w:pPr>
              <w:spacing w:line="192" w:lineRule="auto"/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b/>
                <w:bCs/>
                <w:color w:val="000000"/>
              </w:rPr>
              <w:t xml:space="preserve"> (mL/kg/hr)</w:t>
            </w:r>
          </w:p>
        </w:tc>
      </w:tr>
      <w:tr w:rsidR="006A5E38" w:rsidRPr="00F01E04" w14:paraId="6DF71CC2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F5324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40–49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581CB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130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109EF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800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6F0B7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600 / 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D5C9E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800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705D3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30.9–37.8</w:t>
            </w:r>
          </w:p>
        </w:tc>
      </w:tr>
      <w:tr w:rsidR="006A5E38" w:rsidRPr="00F01E04" w14:paraId="47058072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725A7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50–59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C5627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130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1F1E1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900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92B2B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700 / 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9CFC9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900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53094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30.7–36.3</w:t>
            </w:r>
          </w:p>
        </w:tc>
      </w:tr>
      <w:tr w:rsidR="006A5E38" w:rsidRPr="00F01E04" w14:paraId="1705870D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D77B9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60–69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6B3AC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130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7A18D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1000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D96C9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800 / 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E5A76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1000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1389B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26.3–30.2</w:t>
            </w:r>
          </w:p>
        </w:tc>
      </w:tr>
      <w:tr w:rsidR="006A5E38" w:rsidRPr="00F01E04" w14:paraId="3D798052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AB133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70–79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CC332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130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954EA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1200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B89AD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1000 / 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D5E47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6BEFB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26.5–29.9</w:t>
            </w:r>
          </w:p>
        </w:tc>
      </w:tr>
      <w:tr w:rsidR="006A5E38" w:rsidRPr="00F01E04" w14:paraId="48CED8E2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C9B28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80–89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957C7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150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925B6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1300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8AEB5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1000 / 300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30555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1300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074D5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26.0–28.9</w:t>
            </w:r>
          </w:p>
        </w:tc>
      </w:tr>
      <w:tr w:rsidR="006A5E38" w:rsidRPr="00F01E04" w14:paraId="4A67600F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33735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90–99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9D5AD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170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73D7D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1500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ED720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1200 / 300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FC40F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1500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160B2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26.6–29.3</w:t>
            </w:r>
          </w:p>
        </w:tc>
      </w:tr>
      <w:tr w:rsidR="006A5E38" w:rsidRPr="00F01E04" w14:paraId="7276F8C0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CFFA7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≥ 100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B291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180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712C1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1700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76B26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1400 / 300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68685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1700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35D81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&lt; 29.4</w:t>
            </w:r>
          </w:p>
        </w:tc>
      </w:tr>
      <w:tr w:rsidR="006A5E38" w:rsidRPr="00F01E04" w14:paraId="3CFE8018" w14:textId="77777777" w:rsidTr="006412AF"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1C440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≥ 100 (high dose)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2B7AB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180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D14F4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2000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9BBD0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1600 / 400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71F56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2000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FAFC" w14:textId="77777777" w:rsidR="006A5E38" w:rsidRPr="00F01E04" w:rsidRDefault="006A5E38" w:rsidP="009C5AF7">
            <w:pPr>
              <w:jc w:val="center"/>
              <w:rPr>
                <w:rFonts w:eastAsia="Source Sans 3"/>
              </w:rPr>
            </w:pPr>
            <w:r w:rsidRPr="00F01E04">
              <w:rPr>
                <w:rFonts w:eastAsia="Source Sans 3"/>
                <w:color w:val="000000"/>
              </w:rPr>
              <w:t>&lt; 33.7</w:t>
            </w:r>
          </w:p>
        </w:tc>
      </w:tr>
    </w:tbl>
    <w:p w14:paraId="1B10F592" w14:textId="25749EB7" w:rsidR="0016331D" w:rsidRPr="0019600C" w:rsidRDefault="000C1A1E" w:rsidP="006A5E38">
      <w:pPr>
        <w:spacing w:line="276" w:lineRule="auto"/>
      </w:pPr>
      <w:r>
        <w:rPr>
          <w:rFonts w:eastAsia="Source Sans 3"/>
          <w:color w:val="000000"/>
        </w:rPr>
        <w:t>* Based on Hct 0.3 and total fluid removal 80 mL/hr</w:t>
      </w:r>
    </w:p>
    <w:p w14:paraId="1B10F593" w14:textId="05F9A1D5" w:rsidR="0016331D" w:rsidRPr="00C5710F" w:rsidRDefault="000C1A1E" w:rsidP="006A5E38">
      <w:pPr>
        <w:spacing w:line="276" w:lineRule="auto"/>
      </w:pPr>
      <w:r>
        <w:rPr>
          <w:rFonts w:eastAsia="Source Sans 3"/>
          <w:color w:val="000000"/>
        </w:rPr>
        <w:t>* In patients with edema, use the body weight prior to the onset of edema as the reference</w:t>
      </w:r>
    </w:p>
    <w:p w14:paraId="1B10F594" w14:textId="77777777" w:rsidR="0016331D" w:rsidRDefault="000C1A1E" w:rsidP="003A5077">
      <w:pPr>
        <w:pStyle w:val="a4"/>
        <w:numPr>
          <w:ilvl w:val="2"/>
          <w:numId w:val="2"/>
        </w:numPr>
        <w:spacing w:before="240"/>
        <w:ind w:left="568" w:hanging="284"/>
      </w:pPr>
      <w:r>
        <w:rPr>
          <w:rFonts w:eastAsia="Source Sans 3"/>
          <w:b/>
          <w:bCs/>
          <w:color w:val="000000"/>
          <w:sz w:val="24"/>
          <w:szCs w:val="24"/>
        </w:rPr>
        <w:t>Dose de-escalation</w:t>
      </w:r>
    </w:p>
    <w:p w14:paraId="1B10F595" w14:textId="750FA5BB" w:rsidR="0016331D" w:rsidRDefault="00043DC0">
      <w:pPr>
        <w:pStyle w:val="a4"/>
        <w:numPr>
          <w:ilvl w:val="3"/>
          <w:numId w:val="2"/>
        </w:numPr>
      </w:pPr>
      <w:r w:rsidRPr="00043DC0">
        <w:rPr>
          <w:rFonts w:eastAsia="Source Sans 3"/>
          <w:color w:val="000000"/>
          <w:sz w:val="22"/>
          <w:szCs w:val="22"/>
        </w:rPr>
        <w:t>Unnecessarily prolonged use of a high dose may result in</w:t>
      </w:r>
      <w:r>
        <w:rPr>
          <w:rFonts w:eastAsia="Source Sans 3"/>
          <w:color w:val="000000"/>
          <w:sz w:val="22"/>
          <w:szCs w:val="22"/>
        </w:rPr>
        <w:t xml:space="preserve"> protein malnutrition, vitamin and micronutrient deficiency, and inappropriate reduction of antimicrobial drug levels; therefore, </w:t>
      </w:r>
      <w:r w:rsidR="008B1730" w:rsidRPr="008B1730">
        <w:rPr>
          <w:rFonts w:eastAsia="Source Sans 3"/>
          <w:color w:val="000000"/>
          <w:sz w:val="22"/>
          <w:szCs w:val="22"/>
        </w:rPr>
        <w:t>the dose should be adjusted appropriately with close monitoring of the patient’s clinical status</w:t>
      </w:r>
    </w:p>
    <w:p w14:paraId="3330A9CE" w14:textId="28AC118D" w:rsidR="00BA0567" w:rsidRPr="00BA0567" w:rsidRDefault="00BA0567">
      <w:pPr>
        <w:pStyle w:val="a4"/>
        <w:numPr>
          <w:ilvl w:val="3"/>
          <w:numId w:val="2"/>
        </w:numPr>
      </w:pPr>
      <w:r w:rsidRPr="00BA0567">
        <w:rPr>
          <w:rFonts w:eastAsia="Source Sans 3"/>
          <w:color w:val="000000"/>
          <w:sz w:val="22"/>
          <w:szCs w:val="22"/>
        </w:rPr>
        <w:t xml:space="preserve">After the initial dose has been applied, the dose should be adjusted according to changes in the patient’s condition. </w:t>
      </w:r>
      <w:r w:rsidRPr="00226D78">
        <w:rPr>
          <w:rFonts w:eastAsia="Source Sans 3"/>
          <w:b/>
          <w:bCs/>
          <w:color w:val="000000"/>
          <w:sz w:val="22"/>
          <w:szCs w:val="22"/>
        </w:rPr>
        <w:t>If the patient is clinically stable, more than 3 days have elapsed since CKRT initiation, and all of the following criteria are met</w:t>
      </w:r>
      <w:r w:rsidRPr="00BA0567">
        <w:rPr>
          <w:rFonts w:eastAsia="Source Sans 3"/>
          <w:color w:val="000000"/>
          <w:sz w:val="22"/>
          <w:szCs w:val="22"/>
        </w:rPr>
        <w:t>, dose reduction by at least one step is recommended</w:t>
      </w:r>
      <w:r>
        <w:rPr>
          <w:rFonts w:hint="eastAsia"/>
          <w:color w:val="000000"/>
          <w:sz w:val="22"/>
          <w:szCs w:val="22"/>
        </w:rPr>
        <w:t>:</w:t>
      </w:r>
    </w:p>
    <w:p w14:paraId="1B10F598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BUN &lt; 30 mg/dL</w:t>
      </w:r>
    </w:p>
    <w:p w14:paraId="1B10F599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Normokalemia</w:t>
      </w:r>
    </w:p>
    <w:p w14:paraId="1B10F59A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HCO₃⁻ ≥ 18 mmol/L</w:t>
      </w:r>
    </w:p>
    <w:p w14:paraId="1B10F59B" w14:textId="611D9FFD" w:rsidR="0016331D" w:rsidRPr="00C41CE6" w:rsidRDefault="000C1A1E">
      <w:pPr>
        <w:spacing w:line="276" w:lineRule="auto"/>
        <w:ind w:left="566"/>
        <w:rPr>
          <w:sz w:val="22"/>
          <w:szCs w:val="22"/>
        </w:rPr>
      </w:pPr>
      <w:r w:rsidRPr="00C7161C">
        <w:rPr>
          <w:rFonts w:eastAsia="Source Sans 3"/>
          <w:color w:val="000000"/>
          <w:sz w:val="22"/>
          <w:szCs w:val="22"/>
        </w:rPr>
        <w:t>* For a patient maintained on a dose of 800 mL/hr, dose reduction down to 600 mL/hr is acceptable</w:t>
      </w:r>
    </w:p>
    <w:p w14:paraId="1B10F59C" w14:textId="77777777" w:rsidR="0016331D" w:rsidRDefault="000C1A1E" w:rsidP="001D4096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>Net Fluid Balance</w:t>
      </w:r>
    </w:p>
    <w:p w14:paraId="359765EA" w14:textId="48830382" w:rsidR="006605A6" w:rsidRPr="006605A6" w:rsidRDefault="00E453A7">
      <w:pPr>
        <w:pStyle w:val="a4"/>
        <w:numPr>
          <w:ilvl w:val="4"/>
          <w:numId w:val="2"/>
        </w:numPr>
        <w:ind w:left="568" w:hanging="284"/>
      </w:pPr>
      <w:r w:rsidRPr="00E453A7">
        <w:rPr>
          <w:rFonts w:eastAsia="Source Sans 3"/>
          <w:color w:val="000000"/>
          <w:sz w:val="22"/>
          <w:szCs w:val="22"/>
        </w:rPr>
        <w:t>If an initial prescription includes a net negative fluid balance of ≥ 100 mL/hour, prior consultation with the nephrology fellow responsible for CKRT is required.</w:t>
      </w:r>
      <w:r w:rsidR="006605A6" w:rsidRPr="006605A6">
        <w:rPr>
          <w:rFonts w:hint="eastAsia"/>
        </w:rPr>
        <w:t xml:space="preserve"> </w:t>
      </w:r>
      <w:r w:rsidR="006605A6" w:rsidRPr="006605A6">
        <w:rPr>
          <w:rFonts w:eastAsia="Source Sans 3"/>
          <w:color w:val="000000"/>
          <w:sz w:val="22"/>
          <w:szCs w:val="22"/>
        </w:rPr>
        <w:t>If a negative balance of ≥100 mL/hour is maintained for more than 24 hours, further discussion with the nephrology fellow responsible for CKRT is required</w:t>
      </w:r>
    </w:p>
    <w:p w14:paraId="4026FDEF" w14:textId="77777777" w:rsidR="00F2775E" w:rsidRDefault="00F2775E">
      <w:pPr>
        <w:widowControl/>
        <w:wordWrap/>
        <w:autoSpaceDE/>
        <w:autoSpaceDN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br w:type="page"/>
      </w:r>
    </w:p>
    <w:p w14:paraId="1B10F59E" w14:textId="090FD9E6" w:rsidR="0016331D" w:rsidRDefault="000C1A1E" w:rsidP="001D4096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lastRenderedPageBreak/>
        <w:t>CKRT Fluid Protocol</w:t>
      </w:r>
    </w:p>
    <w:p w14:paraId="1B10F59F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Hemosol B0</w:t>
      </w:r>
    </w:p>
    <w:p w14:paraId="1B10F5A0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Standard CKRT fluid used at our institution</w:t>
      </w:r>
    </w:p>
    <w:p w14:paraId="1B10F5A1" w14:textId="059C04A8" w:rsidR="0016331D" w:rsidRPr="000360A5" w:rsidRDefault="00AE1623">
      <w:pPr>
        <w:pStyle w:val="a4"/>
        <w:numPr>
          <w:ilvl w:val="3"/>
          <w:numId w:val="2"/>
        </w:numPr>
        <w:rPr>
          <w:b/>
          <w:bCs/>
        </w:rPr>
      </w:pPr>
      <w:r w:rsidRPr="000360A5">
        <w:rPr>
          <w:rFonts w:hint="eastAsia"/>
          <w:b/>
          <w:bCs/>
          <w:color w:val="000000"/>
          <w:sz w:val="22"/>
          <w:szCs w:val="22"/>
        </w:rPr>
        <w:t>Risk of h</w:t>
      </w:r>
      <w:r w:rsidRPr="000360A5">
        <w:rPr>
          <w:rFonts w:eastAsia="Source Sans 3"/>
          <w:b/>
          <w:bCs/>
          <w:color w:val="000000"/>
          <w:sz w:val="22"/>
          <w:szCs w:val="22"/>
        </w:rPr>
        <w:t xml:space="preserve">ypokalemia and hypophosphatemia </w:t>
      </w:r>
    </w:p>
    <w:p w14:paraId="1B10F5A2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Risk of occurrence increases with higher CKRT dose and longer CKRT duration when Hemosol B0 is used alone</w:t>
      </w:r>
    </w:p>
    <w:p w14:paraId="1B10F5A3" w14:textId="5BC8DD6E" w:rsidR="0016331D" w:rsidRPr="0070269F" w:rsidRDefault="000C1A1E">
      <w:pPr>
        <w:pStyle w:val="a4"/>
        <w:numPr>
          <w:ilvl w:val="4"/>
          <w:numId w:val="2"/>
        </w:numPr>
        <w:rPr>
          <w:b/>
          <w:bCs/>
        </w:rPr>
      </w:pPr>
      <w:r w:rsidRPr="0070269F">
        <w:rPr>
          <w:rFonts w:eastAsia="Source Sans 3"/>
          <w:b/>
          <w:bCs/>
          <w:color w:val="000000"/>
          <w:sz w:val="22"/>
          <w:szCs w:val="22"/>
        </w:rPr>
        <w:t>Correction and prevention</w:t>
      </w:r>
      <w:r>
        <w:rPr>
          <w:rFonts w:eastAsia="Source Sans 3"/>
          <w:color w:val="000000"/>
          <w:sz w:val="22"/>
          <w:szCs w:val="22"/>
        </w:rPr>
        <w:t>: potassium and phosphate may be added to the dialysate and replacement fluid; however, to reduce the risk of medication error and contamination, do not directly mix potassium and phosphate manually—</w:t>
      </w:r>
      <w:r w:rsidRPr="0070269F">
        <w:rPr>
          <w:rFonts w:eastAsia="Source Sans 3"/>
          <w:b/>
          <w:bCs/>
          <w:color w:val="000000"/>
          <w:sz w:val="22"/>
          <w:szCs w:val="22"/>
        </w:rPr>
        <w:t>use commercially available premixed CKRT solutions appropriately</w:t>
      </w:r>
    </w:p>
    <w:p w14:paraId="1B10F5A4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Multibic 4K, Phoxilium</w:t>
      </w:r>
    </w:p>
    <w:p w14:paraId="1B10F5A5" w14:textId="77777777" w:rsidR="0016331D" w:rsidRDefault="000C1A1E">
      <w:pPr>
        <w:pStyle w:val="a4"/>
        <w:numPr>
          <w:ilvl w:val="3"/>
          <w:numId w:val="2"/>
        </w:numPr>
      </w:pPr>
      <w:r w:rsidRPr="0044151C">
        <w:rPr>
          <w:rFonts w:eastAsia="Source Sans 3"/>
          <w:b/>
          <w:bCs/>
          <w:color w:val="000000"/>
          <w:sz w:val="22"/>
          <w:szCs w:val="22"/>
        </w:rPr>
        <w:t>Use in hypokalemia or hypophosphatemia</w:t>
      </w:r>
      <w:r>
        <w:rPr>
          <w:rFonts w:eastAsia="Source Sans 3"/>
          <w:color w:val="000000"/>
          <w:sz w:val="22"/>
          <w:szCs w:val="22"/>
        </w:rPr>
        <w:t xml:space="preserve"> (Table 3)</w:t>
      </w:r>
    </w:p>
    <w:p w14:paraId="1B10F5A6" w14:textId="0D60E3E9" w:rsidR="0016331D" w:rsidRDefault="000C1A1E">
      <w:pPr>
        <w:pStyle w:val="a4"/>
        <w:numPr>
          <w:ilvl w:val="4"/>
          <w:numId w:val="2"/>
        </w:numPr>
      </w:pPr>
      <w:r w:rsidRPr="0044151C">
        <w:rPr>
          <w:rFonts w:eastAsia="Source Sans 3"/>
          <w:b/>
          <w:bCs/>
          <w:color w:val="000000"/>
          <w:sz w:val="22"/>
          <w:szCs w:val="22"/>
        </w:rPr>
        <w:t>Dialysate solution and pre-replacement fluid</w:t>
      </w:r>
      <w:r>
        <w:rPr>
          <w:rFonts w:eastAsia="Source Sans 3"/>
          <w:color w:val="000000"/>
          <w:sz w:val="22"/>
          <w:szCs w:val="22"/>
        </w:rPr>
        <w:t xml:space="preserve">: while monitoring serum potassium and phosphorus, replace Hemosol B0 with </w:t>
      </w:r>
      <w:r w:rsidRPr="0044151C">
        <w:rPr>
          <w:rFonts w:eastAsia="Source Sans 3"/>
          <w:b/>
          <w:bCs/>
          <w:color w:val="000000"/>
          <w:sz w:val="22"/>
          <w:szCs w:val="22"/>
        </w:rPr>
        <w:t>Multibic 4K or Phoxilium</w:t>
      </w:r>
      <w:r>
        <w:rPr>
          <w:rFonts w:eastAsia="Source Sans 3"/>
          <w:color w:val="000000"/>
          <w:sz w:val="22"/>
          <w:szCs w:val="22"/>
        </w:rPr>
        <w:t xml:space="preserve"> according to Table 3</w:t>
      </w:r>
    </w:p>
    <w:p w14:paraId="1B10F5A7" w14:textId="7D420CA5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Post-replacement fluid: maintain Hemosol B0 without additional adjustment, except in special </w:t>
      </w:r>
      <w:r w:rsidR="0042123D" w:rsidRPr="0042123D">
        <w:rPr>
          <w:rFonts w:eastAsia="Source Sans 3"/>
          <w:color w:val="000000"/>
          <w:sz w:val="22"/>
          <w:szCs w:val="22"/>
        </w:rPr>
        <w:t>circumstances</w:t>
      </w:r>
    </w:p>
    <w:p w14:paraId="1B10F5A8" w14:textId="77777777" w:rsidR="0016331D" w:rsidRDefault="000C1A1E">
      <w:pPr>
        <w:pStyle w:val="a4"/>
        <w:numPr>
          <w:ilvl w:val="3"/>
          <w:numId w:val="2"/>
        </w:numPr>
      </w:pPr>
      <w:r w:rsidRPr="0044151C">
        <w:rPr>
          <w:rFonts w:eastAsia="Source Sans 3"/>
          <w:b/>
          <w:bCs/>
          <w:color w:val="000000"/>
          <w:sz w:val="22"/>
          <w:szCs w:val="22"/>
        </w:rPr>
        <w:t xml:space="preserve">Potassium dose-up </w:t>
      </w:r>
      <w:r>
        <w:rPr>
          <w:rFonts w:eastAsia="Source Sans 3"/>
          <w:color w:val="000000"/>
          <w:sz w:val="22"/>
          <w:szCs w:val="22"/>
        </w:rPr>
        <w:t>(Table 4)</w:t>
      </w:r>
    </w:p>
    <w:p w14:paraId="1B10F5A9" w14:textId="50F8D7C3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When serum potassium needs to be intentionally maintained at a higher level due to arrhythmia or post-cardiac surgery status, apply the modified protocol in Table 4. In these cases, </w:t>
      </w:r>
      <w:r w:rsidRPr="00FD7777">
        <w:rPr>
          <w:rFonts w:eastAsia="Source Sans 3"/>
          <w:b/>
          <w:bCs/>
          <w:color w:val="000000"/>
          <w:sz w:val="22"/>
          <w:szCs w:val="22"/>
        </w:rPr>
        <w:t xml:space="preserve">Multibic 4K or Phoxilium may exceptionally be </w:t>
      </w:r>
      <w:r w:rsidR="005E0F86" w:rsidRPr="00FD7777">
        <w:rPr>
          <w:rFonts w:hint="eastAsia"/>
          <w:b/>
          <w:bCs/>
          <w:color w:val="000000"/>
          <w:sz w:val="22"/>
          <w:szCs w:val="22"/>
        </w:rPr>
        <w:t>used for</w:t>
      </w:r>
      <w:r w:rsidRPr="00FD7777">
        <w:rPr>
          <w:rFonts w:eastAsia="Source Sans 3"/>
          <w:b/>
          <w:bCs/>
          <w:color w:val="000000"/>
          <w:sz w:val="22"/>
          <w:szCs w:val="22"/>
        </w:rPr>
        <w:t xml:space="preserve"> the post-replacement fluid as well</w:t>
      </w:r>
    </w:p>
    <w:p w14:paraId="1B10F5AC" w14:textId="77777777" w:rsidR="0016331D" w:rsidRDefault="000C1A1E" w:rsidP="00A77202">
      <w:pPr>
        <w:spacing w:before="360" w:after="60" w:line="276" w:lineRule="auto"/>
        <w:rPr>
          <w:b/>
          <w:bCs/>
          <w:color w:val="000000"/>
          <w:sz w:val="22"/>
          <w:szCs w:val="22"/>
        </w:rPr>
      </w:pPr>
      <w:r>
        <w:rPr>
          <w:rFonts w:eastAsia="Source Sans 3"/>
          <w:b/>
          <w:bCs/>
          <w:color w:val="000000"/>
          <w:sz w:val="22"/>
          <w:szCs w:val="22"/>
        </w:rPr>
        <w:t>Table 3. Standard fluid protocol</w:t>
      </w:r>
    </w:p>
    <w:tbl>
      <w:tblPr>
        <w:tblStyle w:val="ac"/>
        <w:tblW w:w="9128" w:type="dxa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 w:rsidR="00B956F9" w:rsidRPr="00B956F9" w14:paraId="7B5CB3D8" w14:textId="77777777" w:rsidTr="00521D18">
        <w:trPr>
          <w:trHeight w:val="340"/>
        </w:trPr>
        <w:tc>
          <w:tcPr>
            <w:tcW w:w="1304" w:type="dxa"/>
            <w:vMerge w:val="restart"/>
            <w:vAlign w:val="center"/>
          </w:tcPr>
          <w:p w14:paraId="26D8FBE7" w14:textId="3648374D" w:rsidR="00B956F9" w:rsidRPr="00E059AB" w:rsidRDefault="00B956F9" w:rsidP="001D147F">
            <w:pPr>
              <w:spacing w:before="120" w:after="60" w:line="144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7B0F310E" w14:textId="2213CE3F" w:rsidR="00B956F9" w:rsidRPr="00E059AB" w:rsidRDefault="00B956F9" w:rsidP="00521D18">
            <w:pPr>
              <w:spacing w:line="192" w:lineRule="auto"/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Dialysate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10760CE0" w14:textId="18D109C2" w:rsidR="00B956F9" w:rsidRPr="00E059AB" w:rsidRDefault="00B956F9" w:rsidP="00521D18">
            <w:pPr>
              <w:spacing w:line="192" w:lineRule="auto"/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Pre-replacement fluid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6457120F" w14:textId="0DF29037" w:rsidR="00B956F9" w:rsidRPr="00E059AB" w:rsidRDefault="00B956F9" w:rsidP="00521D18">
            <w:pPr>
              <w:spacing w:line="192" w:lineRule="auto"/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Post-replacement fluid</w:t>
            </w:r>
          </w:p>
        </w:tc>
      </w:tr>
      <w:tr w:rsidR="00B956F9" w:rsidRPr="00B956F9" w14:paraId="6B150770" w14:textId="77777777" w:rsidTr="00521D18">
        <w:trPr>
          <w:trHeight w:val="340"/>
        </w:trPr>
        <w:tc>
          <w:tcPr>
            <w:tcW w:w="1304" w:type="dxa"/>
            <w:vMerge/>
            <w:vAlign w:val="center"/>
          </w:tcPr>
          <w:p w14:paraId="2E6C62FA" w14:textId="77777777" w:rsidR="00B956F9" w:rsidRPr="00B956F9" w:rsidRDefault="00B956F9" w:rsidP="00E839E7">
            <w:pPr>
              <w:spacing w:before="120" w:after="60"/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304" w:type="dxa"/>
            <w:shd w:val="clear" w:color="auto" w:fill="BEDAFF"/>
            <w:vAlign w:val="center"/>
          </w:tcPr>
          <w:p w14:paraId="0F1DCDE4" w14:textId="0BDE7F53" w:rsidR="00B956F9" w:rsidRPr="00E059AB" w:rsidRDefault="00B956F9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057058BB" w14:textId="71C746A0" w:rsidR="00B956F9" w:rsidRPr="00E059AB" w:rsidRDefault="00B956F9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4208BA8D" w14:textId="04ED602A" w:rsidR="00B956F9" w:rsidRPr="00E059AB" w:rsidRDefault="00B956F9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63E98B09" w14:textId="218EDE70" w:rsidR="00B956F9" w:rsidRPr="00E059AB" w:rsidRDefault="00B956F9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1187D3FB" w14:textId="00F8247D" w:rsidR="00B956F9" w:rsidRPr="00E059AB" w:rsidRDefault="00B956F9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22DBF364" w14:textId="4A9C92EC" w:rsidR="00B956F9" w:rsidRPr="00E059AB" w:rsidRDefault="00B956F9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</w:tr>
      <w:tr w:rsidR="00B956F9" w:rsidRPr="00B956F9" w14:paraId="56A51319" w14:textId="77777777" w:rsidTr="00521D18">
        <w:trPr>
          <w:trHeight w:val="340"/>
        </w:trPr>
        <w:tc>
          <w:tcPr>
            <w:tcW w:w="1304" w:type="dxa"/>
            <w:shd w:val="clear" w:color="auto" w:fill="BEDAFF"/>
            <w:vAlign w:val="center"/>
          </w:tcPr>
          <w:p w14:paraId="20CB31CD" w14:textId="6E17BE04" w:rsidR="00B956F9" w:rsidRPr="00E059AB" w:rsidRDefault="00B956F9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K ≤ 4.5</w:t>
            </w:r>
          </w:p>
        </w:tc>
        <w:tc>
          <w:tcPr>
            <w:tcW w:w="1304" w:type="dxa"/>
            <w:vAlign w:val="center"/>
          </w:tcPr>
          <w:p w14:paraId="2E423E58" w14:textId="27CFF02E" w:rsidR="00B956F9" w:rsidRPr="00B956F9" w:rsidRDefault="00B956F9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3E5E8AA3" w14:textId="6F3DEF12" w:rsidR="00B956F9" w:rsidRPr="00B956F9" w:rsidRDefault="00B956F9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1304" w:type="dxa"/>
            <w:vAlign w:val="center"/>
          </w:tcPr>
          <w:p w14:paraId="4BF972CB" w14:textId="63AA40E1" w:rsidR="00B956F9" w:rsidRPr="00B956F9" w:rsidRDefault="00B956F9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3BB5BEF2" w14:textId="1587E0CA" w:rsidR="00B956F9" w:rsidRPr="00B956F9" w:rsidRDefault="00B956F9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2608" w:type="dxa"/>
            <w:gridSpan w:val="2"/>
            <w:vAlign w:val="center"/>
          </w:tcPr>
          <w:p w14:paraId="1769F33C" w14:textId="6DAD2460" w:rsidR="00B956F9" w:rsidRPr="00B956F9" w:rsidRDefault="00B956F9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sz w:val="21"/>
                <w:szCs w:val="21"/>
              </w:rPr>
              <w:t>Hemosol B0</w:t>
            </w:r>
          </w:p>
        </w:tc>
      </w:tr>
      <w:tr w:rsidR="00B956F9" w:rsidRPr="00B956F9" w14:paraId="0A1912D5" w14:textId="77777777" w:rsidTr="00521D18">
        <w:trPr>
          <w:trHeight w:val="340"/>
        </w:trPr>
        <w:tc>
          <w:tcPr>
            <w:tcW w:w="1304" w:type="dxa"/>
            <w:shd w:val="clear" w:color="auto" w:fill="BEDAFF"/>
            <w:vAlign w:val="center"/>
          </w:tcPr>
          <w:p w14:paraId="15DA78CE" w14:textId="1FE18A87" w:rsidR="00B956F9" w:rsidRPr="00E059AB" w:rsidRDefault="00B956F9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4.6 ≤ K ≤ 5.0</w:t>
            </w:r>
          </w:p>
        </w:tc>
        <w:tc>
          <w:tcPr>
            <w:tcW w:w="1304" w:type="dxa"/>
            <w:vAlign w:val="center"/>
          </w:tcPr>
          <w:p w14:paraId="79593EB0" w14:textId="360987FD" w:rsidR="00B956F9" w:rsidRPr="00B956F9" w:rsidRDefault="00B956F9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6FC6ED8E" w14:textId="26B2D7E4" w:rsidR="00B956F9" w:rsidRPr="00B956F9" w:rsidRDefault="00B956F9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2608" w:type="dxa"/>
            <w:gridSpan w:val="2"/>
            <w:vAlign w:val="center"/>
          </w:tcPr>
          <w:p w14:paraId="7F048621" w14:textId="49AC46C1" w:rsidR="00B956F9" w:rsidRPr="00B956F9" w:rsidRDefault="00B956F9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sz w:val="21"/>
                <w:szCs w:val="21"/>
              </w:rPr>
              <w:t>Hemosol B0</w:t>
            </w:r>
          </w:p>
        </w:tc>
        <w:tc>
          <w:tcPr>
            <w:tcW w:w="2608" w:type="dxa"/>
            <w:gridSpan w:val="2"/>
            <w:vAlign w:val="center"/>
          </w:tcPr>
          <w:p w14:paraId="23E10211" w14:textId="0840CFAD" w:rsidR="00B956F9" w:rsidRPr="00B956F9" w:rsidRDefault="00B956F9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sz w:val="21"/>
                <w:szCs w:val="21"/>
              </w:rPr>
              <w:t>Hemosol B0</w:t>
            </w:r>
          </w:p>
        </w:tc>
      </w:tr>
      <w:tr w:rsidR="00B956F9" w:rsidRPr="00B956F9" w14:paraId="2AB4B500" w14:textId="77777777" w:rsidTr="00521D18">
        <w:trPr>
          <w:trHeight w:val="340"/>
        </w:trPr>
        <w:tc>
          <w:tcPr>
            <w:tcW w:w="1304" w:type="dxa"/>
            <w:shd w:val="clear" w:color="auto" w:fill="BEDAFF"/>
            <w:vAlign w:val="center"/>
          </w:tcPr>
          <w:p w14:paraId="7EF421E2" w14:textId="2A8C2640" w:rsidR="00B956F9" w:rsidRPr="00E059AB" w:rsidRDefault="00B956F9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K ≥ 5.1</w:t>
            </w:r>
          </w:p>
        </w:tc>
        <w:tc>
          <w:tcPr>
            <w:tcW w:w="1304" w:type="dxa"/>
            <w:vAlign w:val="center"/>
          </w:tcPr>
          <w:p w14:paraId="76C4D741" w14:textId="36111DA5" w:rsidR="00B956F9" w:rsidRPr="00B956F9" w:rsidRDefault="00B956F9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Hemosol B0</w:t>
            </w:r>
          </w:p>
        </w:tc>
        <w:tc>
          <w:tcPr>
            <w:tcW w:w="1304" w:type="dxa"/>
            <w:vAlign w:val="center"/>
          </w:tcPr>
          <w:p w14:paraId="7882D810" w14:textId="49AB1849" w:rsidR="00B956F9" w:rsidRPr="00B956F9" w:rsidRDefault="00B956F9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Hemosol B0</w:t>
            </w:r>
          </w:p>
        </w:tc>
        <w:tc>
          <w:tcPr>
            <w:tcW w:w="2608" w:type="dxa"/>
            <w:gridSpan w:val="2"/>
            <w:vAlign w:val="center"/>
          </w:tcPr>
          <w:p w14:paraId="18D4D303" w14:textId="7B8891B8" w:rsidR="00B956F9" w:rsidRPr="00B956F9" w:rsidRDefault="00B956F9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sz w:val="21"/>
                <w:szCs w:val="21"/>
              </w:rPr>
              <w:t>Hemosol B0</w:t>
            </w:r>
          </w:p>
        </w:tc>
        <w:tc>
          <w:tcPr>
            <w:tcW w:w="2608" w:type="dxa"/>
            <w:gridSpan w:val="2"/>
            <w:vAlign w:val="center"/>
          </w:tcPr>
          <w:p w14:paraId="724DB8BA" w14:textId="78214C09" w:rsidR="00B956F9" w:rsidRPr="00B956F9" w:rsidRDefault="00B956F9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sz w:val="21"/>
                <w:szCs w:val="21"/>
              </w:rPr>
              <w:t>Hemosol B0</w:t>
            </w:r>
          </w:p>
        </w:tc>
      </w:tr>
    </w:tbl>
    <w:p w14:paraId="1B10F5CC" w14:textId="344EA104" w:rsidR="0016331D" w:rsidRDefault="000C1A1E" w:rsidP="00A77202">
      <w:pPr>
        <w:spacing w:before="360" w:after="60" w:line="276" w:lineRule="auto"/>
        <w:rPr>
          <w:b/>
          <w:bCs/>
          <w:color w:val="000000"/>
          <w:sz w:val="22"/>
          <w:szCs w:val="22"/>
        </w:rPr>
      </w:pPr>
      <w:r>
        <w:rPr>
          <w:rFonts w:eastAsia="Source Sans 3"/>
          <w:b/>
          <w:bCs/>
          <w:color w:val="000000"/>
          <w:sz w:val="22"/>
          <w:szCs w:val="22"/>
        </w:rPr>
        <w:t>Table 4. Potassium dose-up protocol</w:t>
      </w:r>
    </w:p>
    <w:tbl>
      <w:tblPr>
        <w:tblStyle w:val="ac"/>
        <w:tblW w:w="9128" w:type="dxa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 w:rsidR="001D147F" w:rsidRPr="00B956F9" w14:paraId="556F2B95" w14:textId="77777777" w:rsidTr="00521D18">
        <w:trPr>
          <w:trHeight w:val="340"/>
        </w:trPr>
        <w:tc>
          <w:tcPr>
            <w:tcW w:w="1304" w:type="dxa"/>
            <w:vMerge w:val="restart"/>
            <w:vAlign w:val="center"/>
          </w:tcPr>
          <w:p w14:paraId="70DDFF8C" w14:textId="24F2DE8A" w:rsidR="001D147F" w:rsidRPr="00E059AB" w:rsidRDefault="001D147F" w:rsidP="00521D18">
            <w:pPr>
              <w:spacing w:line="144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0FA19812" w14:textId="77777777" w:rsidR="001D147F" w:rsidRPr="00E059AB" w:rsidRDefault="001D147F" w:rsidP="00521D18">
            <w:pPr>
              <w:spacing w:line="192" w:lineRule="auto"/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Dialysate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4553A7E8" w14:textId="77777777" w:rsidR="001D147F" w:rsidRPr="00E059AB" w:rsidRDefault="001D147F" w:rsidP="00521D18">
            <w:pPr>
              <w:spacing w:line="192" w:lineRule="auto"/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Pre-replacement fluid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355D400E" w14:textId="77777777" w:rsidR="001D147F" w:rsidRPr="00E059AB" w:rsidRDefault="001D147F" w:rsidP="00521D18">
            <w:pPr>
              <w:spacing w:line="192" w:lineRule="auto"/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Post-replacement fluid</w:t>
            </w:r>
          </w:p>
        </w:tc>
      </w:tr>
      <w:tr w:rsidR="001D147F" w:rsidRPr="00B956F9" w14:paraId="1D087A07" w14:textId="77777777" w:rsidTr="00521D18">
        <w:trPr>
          <w:trHeight w:val="340"/>
        </w:trPr>
        <w:tc>
          <w:tcPr>
            <w:tcW w:w="1304" w:type="dxa"/>
            <w:vMerge/>
            <w:vAlign w:val="center"/>
          </w:tcPr>
          <w:p w14:paraId="24E7CC72" w14:textId="77777777" w:rsidR="001D147F" w:rsidRPr="00B956F9" w:rsidRDefault="001D147F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304" w:type="dxa"/>
            <w:shd w:val="clear" w:color="auto" w:fill="BEDAFF"/>
            <w:vAlign w:val="center"/>
          </w:tcPr>
          <w:p w14:paraId="6B9AF8AB" w14:textId="77777777" w:rsidR="001D147F" w:rsidRPr="00E059AB" w:rsidRDefault="001D147F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3342AE5C" w14:textId="77777777" w:rsidR="001D147F" w:rsidRPr="00E059AB" w:rsidRDefault="001D147F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2027CB2D" w14:textId="77777777" w:rsidR="001D147F" w:rsidRPr="00E059AB" w:rsidRDefault="001D147F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31AA4953" w14:textId="77777777" w:rsidR="001D147F" w:rsidRPr="00E059AB" w:rsidRDefault="001D147F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6CCBD608" w14:textId="77777777" w:rsidR="001D147F" w:rsidRPr="00E059AB" w:rsidRDefault="001D147F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62DEEBC9" w14:textId="77777777" w:rsidR="001D147F" w:rsidRPr="00E059AB" w:rsidRDefault="001D147F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</w:tr>
      <w:tr w:rsidR="00617BFD" w:rsidRPr="00B956F9" w14:paraId="2CA84B64" w14:textId="77777777" w:rsidTr="00521D18">
        <w:trPr>
          <w:trHeight w:val="340"/>
        </w:trPr>
        <w:tc>
          <w:tcPr>
            <w:tcW w:w="1304" w:type="dxa"/>
            <w:shd w:val="clear" w:color="auto" w:fill="BEDAFF"/>
            <w:vAlign w:val="center"/>
          </w:tcPr>
          <w:p w14:paraId="693E299E" w14:textId="77777777" w:rsidR="00617BFD" w:rsidRPr="00E059AB" w:rsidRDefault="00617BFD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K ≤ 4.5</w:t>
            </w:r>
          </w:p>
        </w:tc>
        <w:tc>
          <w:tcPr>
            <w:tcW w:w="1304" w:type="dxa"/>
            <w:vAlign w:val="center"/>
          </w:tcPr>
          <w:p w14:paraId="10CF92C1" w14:textId="77777777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063DAF5D" w14:textId="77777777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1304" w:type="dxa"/>
            <w:vAlign w:val="center"/>
          </w:tcPr>
          <w:p w14:paraId="077D2D93" w14:textId="77777777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684A0903" w14:textId="77777777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1304" w:type="dxa"/>
            <w:vAlign w:val="center"/>
          </w:tcPr>
          <w:p w14:paraId="4E9AE43D" w14:textId="1D355F80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7B48A329" w14:textId="239D67AD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Phoxilium</w:t>
            </w:r>
          </w:p>
        </w:tc>
      </w:tr>
      <w:tr w:rsidR="00617BFD" w:rsidRPr="00B956F9" w14:paraId="6101F451" w14:textId="77777777" w:rsidTr="00521D18">
        <w:trPr>
          <w:trHeight w:val="340"/>
        </w:trPr>
        <w:tc>
          <w:tcPr>
            <w:tcW w:w="1304" w:type="dxa"/>
            <w:shd w:val="clear" w:color="auto" w:fill="BEDAFF"/>
            <w:vAlign w:val="center"/>
          </w:tcPr>
          <w:p w14:paraId="4F60F998" w14:textId="77777777" w:rsidR="00617BFD" w:rsidRPr="00E059AB" w:rsidRDefault="00617BFD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4.6 ≤ K ≤ 5.0</w:t>
            </w:r>
          </w:p>
        </w:tc>
        <w:tc>
          <w:tcPr>
            <w:tcW w:w="1304" w:type="dxa"/>
            <w:vAlign w:val="center"/>
          </w:tcPr>
          <w:p w14:paraId="565413E2" w14:textId="77777777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728BB2DE" w14:textId="77777777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1304" w:type="dxa"/>
            <w:vAlign w:val="center"/>
          </w:tcPr>
          <w:p w14:paraId="20412B95" w14:textId="32DBD32A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7459F2D2" w14:textId="3640BB64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2608" w:type="dxa"/>
            <w:gridSpan w:val="2"/>
            <w:vAlign w:val="center"/>
          </w:tcPr>
          <w:p w14:paraId="39C54C03" w14:textId="77777777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sz w:val="21"/>
                <w:szCs w:val="21"/>
              </w:rPr>
              <w:t>Hemosol B0</w:t>
            </w:r>
          </w:p>
        </w:tc>
      </w:tr>
      <w:tr w:rsidR="00617BFD" w:rsidRPr="00B956F9" w14:paraId="723C3F1D" w14:textId="77777777" w:rsidTr="00521D18">
        <w:trPr>
          <w:trHeight w:val="340"/>
        </w:trPr>
        <w:tc>
          <w:tcPr>
            <w:tcW w:w="1304" w:type="dxa"/>
            <w:shd w:val="clear" w:color="auto" w:fill="BEDAFF"/>
            <w:vAlign w:val="center"/>
          </w:tcPr>
          <w:p w14:paraId="2306B07A" w14:textId="77777777" w:rsidR="00617BFD" w:rsidRPr="00E059AB" w:rsidRDefault="00617BFD" w:rsidP="00521D18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K ≥ 5.1</w:t>
            </w:r>
          </w:p>
        </w:tc>
        <w:tc>
          <w:tcPr>
            <w:tcW w:w="1304" w:type="dxa"/>
            <w:vAlign w:val="center"/>
          </w:tcPr>
          <w:p w14:paraId="52AD051F" w14:textId="2F443CE3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304" w:type="dxa"/>
            <w:vAlign w:val="center"/>
          </w:tcPr>
          <w:p w14:paraId="52AA5711" w14:textId="30F24402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2608" w:type="dxa"/>
            <w:gridSpan w:val="2"/>
            <w:vAlign w:val="center"/>
          </w:tcPr>
          <w:p w14:paraId="6BDB1B16" w14:textId="77777777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sz w:val="21"/>
                <w:szCs w:val="21"/>
              </w:rPr>
              <w:t>Hemosol B0</w:t>
            </w:r>
          </w:p>
        </w:tc>
        <w:tc>
          <w:tcPr>
            <w:tcW w:w="2608" w:type="dxa"/>
            <w:gridSpan w:val="2"/>
            <w:vAlign w:val="center"/>
          </w:tcPr>
          <w:p w14:paraId="4FAB1B1E" w14:textId="77777777" w:rsidR="00617BFD" w:rsidRPr="00B956F9" w:rsidRDefault="00617BFD" w:rsidP="00521D18">
            <w:pPr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sz w:val="21"/>
                <w:szCs w:val="21"/>
              </w:rPr>
              <w:t>Hemosol B0</w:t>
            </w:r>
          </w:p>
        </w:tc>
      </w:tr>
    </w:tbl>
    <w:p w14:paraId="5BE67DC4" w14:textId="7DD155CA" w:rsidR="006B63F6" w:rsidRDefault="006B63F6" w:rsidP="00165A79">
      <w:pPr>
        <w:pStyle w:val="a4"/>
        <w:numPr>
          <w:ilvl w:val="2"/>
          <w:numId w:val="2"/>
        </w:numPr>
        <w:spacing w:before="360"/>
        <w:ind w:left="568" w:hanging="284"/>
      </w:pPr>
      <w:r>
        <w:rPr>
          <w:rFonts w:eastAsia="Source Sans 3"/>
          <w:b/>
          <w:bCs/>
          <w:color w:val="000000"/>
          <w:sz w:val="24"/>
          <w:szCs w:val="24"/>
        </w:rPr>
        <w:lastRenderedPageBreak/>
        <w:t>Composition of CKRT fluids in use at our institution</w:t>
      </w:r>
    </w:p>
    <w:tbl>
      <w:tblPr>
        <w:tblW w:w="8335" w:type="dxa"/>
        <w:tblInd w:w="62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2551"/>
        <w:gridCol w:w="1928"/>
        <w:gridCol w:w="1928"/>
        <w:gridCol w:w="1928"/>
      </w:tblGrid>
      <w:tr w:rsidR="00BC5749" w:rsidRPr="0019600C" w14:paraId="1B10F5F3" w14:textId="77777777" w:rsidTr="002A6DFE">
        <w:trPr>
          <w:trHeight w:val="20"/>
          <w:tblHeader/>
        </w:trPr>
        <w:tc>
          <w:tcPr>
            <w:tcW w:w="2551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0" w14:textId="77777777" w:rsidR="00BC5749" w:rsidRPr="0019600C" w:rsidRDefault="00BC5749">
            <w:pPr>
              <w:spacing w:line="264" w:lineRule="auto"/>
              <w:jc w:val="center"/>
            </w:pPr>
            <w:r w:rsidRPr="0019600C">
              <w:rPr>
                <w:rFonts w:eastAsia="Source Sans 3"/>
                <w:b/>
                <w:bCs/>
                <w:color w:val="000000"/>
              </w:rPr>
              <w:t>Components (mmol/L)</w:t>
            </w:r>
          </w:p>
        </w:tc>
        <w:tc>
          <w:tcPr>
            <w:tcW w:w="3856" w:type="dxa"/>
            <w:gridSpan w:val="2"/>
            <w:shd w:val="clear" w:color="auto" w:fill="8CB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1" w14:textId="6D1B689F" w:rsidR="00BC5749" w:rsidRPr="0019600C" w:rsidRDefault="00BC5749">
            <w:pPr>
              <w:spacing w:line="264" w:lineRule="auto"/>
              <w:jc w:val="center"/>
            </w:pPr>
            <w:r w:rsidRPr="0019600C">
              <w:rPr>
                <w:rFonts w:eastAsia="Source Sans 3"/>
                <w:b/>
                <w:bCs/>
                <w:color w:val="000000"/>
              </w:rPr>
              <w:t>Vantive</w:t>
            </w:r>
          </w:p>
        </w:tc>
        <w:tc>
          <w:tcPr>
            <w:tcW w:w="1928" w:type="dxa"/>
            <w:shd w:val="clear" w:color="auto" w:fill="8CB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2" w14:textId="77777777" w:rsidR="00BC5749" w:rsidRPr="0019600C" w:rsidRDefault="00BC5749">
            <w:pPr>
              <w:spacing w:line="264" w:lineRule="auto"/>
              <w:jc w:val="center"/>
            </w:pPr>
            <w:r w:rsidRPr="0019600C">
              <w:rPr>
                <w:rFonts w:eastAsia="Source Sans 3"/>
                <w:b/>
                <w:bCs/>
                <w:color w:val="000000"/>
              </w:rPr>
              <w:t>Fresenius</w:t>
            </w:r>
          </w:p>
        </w:tc>
      </w:tr>
      <w:tr w:rsidR="0016331D" w:rsidRPr="0019600C" w14:paraId="1B10F5F8" w14:textId="77777777" w:rsidTr="00D44D7E">
        <w:trPr>
          <w:trHeight w:val="20"/>
          <w:tblHeader/>
        </w:trPr>
        <w:tc>
          <w:tcPr>
            <w:tcW w:w="2551" w:type="dxa"/>
            <w:vMerge/>
          </w:tcPr>
          <w:p w14:paraId="1B10F5F4" w14:textId="77777777" w:rsidR="0016331D" w:rsidRPr="0019600C" w:rsidRDefault="0016331D"/>
        </w:tc>
        <w:tc>
          <w:tcPr>
            <w:tcW w:w="192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5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b/>
                <w:bCs/>
                <w:color w:val="000000"/>
              </w:rPr>
              <w:t>Hemosol B0</w:t>
            </w:r>
          </w:p>
        </w:tc>
        <w:tc>
          <w:tcPr>
            <w:tcW w:w="192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6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b/>
                <w:bCs/>
                <w:color w:val="000000"/>
              </w:rPr>
              <w:t>Phoxilium</w:t>
            </w:r>
          </w:p>
        </w:tc>
        <w:tc>
          <w:tcPr>
            <w:tcW w:w="192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7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b/>
                <w:bCs/>
                <w:color w:val="000000"/>
              </w:rPr>
              <w:t>MultiBic 4K</w:t>
            </w:r>
          </w:p>
        </w:tc>
      </w:tr>
      <w:tr w:rsidR="0016331D" w:rsidRPr="0019600C" w14:paraId="1B10F5FD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9" w14:textId="77777777" w:rsidR="0016331D" w:rsidRPr="00C50BC7" w:rsidRDefault="000C1A1E">
            <w:pPr>
              <w:spacing w:line="264" w:lineRule="auto"/>
              <w:jc w:val="center"/>
              <w:rPr>
                <w:b/>
                <w:bCs/>
              </w:rPr>
            </w:pPr>
            <w:r w:rsidRPr="00C50BC7">
              <w:rPr>
                <w:rFonts w:eastAsia="Source Sans 3"/>
                <w:b/>
                <w:bCs/>
                <w:color w:val="000000"/>
              </w:rPr>
              <w:t>Na⁺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A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140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B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140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C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140</w:t>
            </w:r>
          </w:p>
        </w:tc>
      </w:tr>
      <w:tr w:rsidR="0016331D" w:rsidRPr="0019600C" w14:paraId="1B10F602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E" w14:textId="77777777" w:rsidR="0016331D" w:rsidRPr="00C50BC7" w:rsidRDefault="000C1A1E">
            <w:pPr>
              <w:spacing w:line="264" w:lineRule="auto"/>
              <w:jc w:val="center"/>
              <w:rPr>
                <w:b/>
                <w:bCs/>
              </w:rPr>
            </w:pPr>
            <w:r w:rsidRPr="00C50BC7">
              <w:rPr>
                <w:rFonts w:eastAsia="Source Sans 3"/>
                <w:b/>
                <w:bCs/>
                <w:color w:val="000000"/>
              </w:rPr>
              <w:t>K⁺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5FF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0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4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1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4</w:t>
            </w:r>
          </w:p>
        </w:tc>
      </w:tr>
      <w:tr w:rsidR="0016331D" w:rsidRPr="0019600C" w14:paraId="1B10F607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3" w14:textId="77777777" w:rsidR="0016331D" w:rsidRPr="00C50BC7" w:rsidRDefault="000C1A1E">
            <w:pPr>
              <w:spacing w:line="264" w:lineRule="auto"/>
              <w:jc w:val="center"/>
              <w:rPr>
                <w:b/>
                <w:bCs/>
              </w:rPr>
            </w:pPr>
            <w:r w:rsidRPr="00C50BC7">
              <w:rPr>
                <w:rFonts w:eastAsia="Source Sans 3"/>
                <w:b/>
                <w:bCs/>
                <w:color w:val="000000"/>
              </w:rPr>
              <w:t>Cl⁻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4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109.5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5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116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6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113</w:t>
            </w:r>
          </w:p>
        </w:tc>
      </w:tr>
      <w:tr w:rsidR="0016331D" w:rsidRPr="0019600C" w14:paraId="1B10F60C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8" w14:textId="77777777" w:rsidR="0016331D" w:rsidRPr="00C50BC7" w:rsidRDefault="000C1A1E">
            <w:pPr>
              <w:spacing w:line="264" w:lineRule="auto"/>
              <w:jc w:val="center"/>
              <w:rPr>
                <w:b/>
                <w:bCs/>
              </w:rPr>
            </w:pPr>
            <w:r w:rsidRPr="00C50BC7">
              <w:rPr>
                <w:rFonts w:eastAsia="Source Sans 3"/>
                <w:b/>
                <w:bCs/>
                <w:color w:val="000000"/>
              </w:rPr>
              <w:t>Ca²⁺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9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1.75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A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1.25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B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1.5</w:t>
            </w:r>
          </w:p>
        </w:tc>
      </w:tr>
      <w:tr w:rsidR="0016331D" w:rsidRPr="0019600C" w14:paraId="1B10F611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D" w14:textId="77777777" w:rsidR="0016331D" w:rsidRPr="00C50BC7" w:rsidRDefault="000C1A1E">
            <w:pPr>
              <w:spacing w:line="264" w:lineRule="auto"/>
              <w:jc w:val="center"/>
              <w:rPr>
                <w:b/>
                <w:bCs/>
              </w:rPr>
            </w:pPr>
            <w:r w:rsidRPr="00C50BC7">
              <w:rPr>
                <w:rFonts w:eastAsia="Source Sans 3"/>
                <w:b/>
                <w:bCs/>
                <w:color w:val="000000"/>
              </w:rPr>
              <w:t>Mg²⁺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E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0.5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0F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0.6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0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0.5</w:t>
            </w:r>
          </w:p>
        </w:tc>
      </w:tr>
      <w:tr w:rsidR="0016331D" w:rsidRPr="0019600C" w14:paraId="1B10F616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2" w14:textId="77777777" w:rsidR="0016331D" w:rsidRPr="00C50BC7" w:rsidRDefault="000C1A1E">
            <w:pPr>
              <w:spacing w:line="264" w:lineRule="auto"/>
              <w:jc w:val="center"/>
              <w:rPr>
                <w:b/>
                <w:bCs/>
              </w:rPr>
            </w:pPr>
            <w:r w:rsidRPr="00C50BC7">
              <w:rPr>
                <w:rFonts w:eastAsia="Source Sans 3"/>
                <w:b/>
                <w:bCs/>
                <w:color w:val="000000"/>
              </w:rPr>
              <w:t>HCO₃⁻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3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32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4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30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5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35</w:t>
            </w:r>
          </w:p>
        </w:tc>
      </w:tr>
      <w:tr w:rsidR="0016331D" w:rsidRPr="0019600C" w14:paraId="1B10F61B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7" w14:textId="77777777" w:rsidR="0016331D" w:rsidRPr="00C50BC7" w:rsidRDefault="000C1A1E">
            <w:pPr>
              <w:spacing w:line="264" w:lineRule="auto"/>
              <w:jc w:val="center"/>
              <w:rPr>
                <w:b/>
                <w:bCs/>
              </w:rPr>
            </w:pPr>
            <w:r w:rsidRPr="00C50BC7">
              <w:rPr>
                <w:rFonts w:eastAsia="Source Sans 3"/>
                <w:b/>
                <w:bCs/>
                <w:color w:val="000000"/>
              </w:rPr>
              <w:t>Lactate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8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3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9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A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0</w:t>
            </w:r>
          </w:p>
        </w:tc>
      </w:tr>
      <w:tr w:rsidR="0016331D" w:rsidRPr="0019600C" w14:paraId="1B10F620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C" w14:textId="77777777" w:rsidR="0016331D" w:rsidRPr="00C50BC7" w:rsidRDefault="000C1A1E">
            <w:pPr>
              <w:spacing w:line="264" w:lineRule="auto"/>
              <w:jc w:val="center"/>
              <w:rPr>
                <w:b/>
                <w:bCs/>
              </w:rPr>
            </w:pPr>
            <w:r w:rsidRPr="00C50BC7">
              <w:rPr>
                <w:rFonts w:eastAsia="Source Sans 3"/>
                <w:b/>
                <w:bCs/>
                <w:color w:val="000000"/>
              </w:rPr>
              <w:t>Glucose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D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E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1F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5.55</w:t>
            </w:r>
          </w:p>
        </w:tc>
      </w:tr>
      <w:tr w:rsidR="0016331D" w:rsidRPr="0019600C" w14:paraId="1B10F625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1" w14:textId="77777777" w:rsidR="0016331D" w:rsidRPr="00C50BC7" w:rsidRDefault="000C1A1E">
            <w:pPr>
              <w:spacing w:line="264" w:lineRule="auto"/>
              <w:jc w:val="center"/>
              <w:rPr>
                <w:b/>
                <w:bCs/>
              </w:rPr>
            </w:pPr>
            <w:r w:rsidRPr="00C50BC7">
              <w:rPr>
                <w:rFonts w:eastAsia="Source Sans 3"/>
                <w:b/>
                <w:bCs/>
                <w:color w:val="000000"/>
              </w:rPr>
              <w:t>Phosphate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2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0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3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1.2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4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0</w:t>
            </w:r>
          </w:p>
        </w:tc>
      </w:tr>
      <w:tr w:rsidR="0016331D" w:rsidRPr="0019600C" w14:paraId="1B10F62A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6" w14:textId="77777777" w:rsidR="0016331D" w:rsidRPr="00C50BC7" w:rsidRDefault="000C1A1E">
            <w:pPr>
              <w:spacing w:line="264" w:lineRule="auto"/>
              <w:jc w:val="center"/>
              <w:rPr>
                <w:b/>
                <w:bCs/>
              </w:rPr>
            </w:pPr>
            <w:r w:rsidRPr="00C50BC7">
              <w:rPr>
                <w:rFonts w:eastAsia="Source Sans 3"/>
                <w:b/>
                <w:bCs/>
                <w:color w:val="000000"/>
              </w:rPr>
              <w:t>pH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7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7.0–8.5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8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7.0–8.5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9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7.4</w:t>
            </w:r>
          </w:p>
        </w:tc>
      </w:tr>
      <w:tr w:rsidR="0016331D" w:rsidRPr="0019600C" w14:paraId="1B10F62F" w14:textId="77777777" w:rsidTr="00D44D7E">
        <w:trPr>
          <w:trHeight w:val="20"/>
        </w:trPr>
        <w:tc>
          <w:tcPr>
            <w:tcW w:w="255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B" w14:textId="77777777" w:rsidR="0016331D" w:rsidRPr="00C50BC7" w:rsidRDefault="000C1A1E">
            <w:pPr>
              <w:spacing w:line="264" w:lineRule="auto"/>
              <w:jc w:val="center"/>
              <w:rPr>
                <w:b/>
                <w:bCs/>
              </w:rPr>
            </w:pPr>
            <w:r w:rsidRPr="00C50BC7">
              <w:rPr>
                <w:rFonts w:eastAsia="Source Sans 3"/>
                <w:b/>
                <w:bCs/>
                <w:color w:val="000000"/>
              </w:rPr>
              <w:t>Osmolality (mOsm/L)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C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287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D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293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0F62E" w14:textId="77777777" w:rsidR="0016331D" w:rsidRPr="0019600C" w:rsidRDefault="000C1A1E">
            <w:pPr>
              <w:spacing w:line="264" w:lineRule="auto"/>
              <w:jc w:val="center"/>
            </w:pPr>
            <w:r w:rsidRPr="0019600C">
              <w:rPr>
                <w:rFonts w:eastAsia="Source Sans 3"/>
                <w:color w:val="000000"/>
              </w:rPr>
              <w:t>300</w:t>
            </w:r>
          </w:p>
        </w:tc>
      </w:tr>
    </w:tbl>
    <w:p w14:paraId="1B10F630" w14:textId="77777777" w:rsidR="0016331D" w:rsidRPr="00FD0EAB" w:rsidRDefault="000C1A1E" w:rsidP="00BE4745">
      <w:pPr>
        <w:spacing w:line="276" w:lineRule="auto"/>
        <w:ind w:left="680"/>
        <w:rPr>
          <w:sz w:val="18"/>
          <w:szCs w:val="18"/>
        </w:rPr>
      </w:pPr>
      <w:r w:rsidRPr="00FD0EAB">
        <w:rPr>
          <w:rFonts w:eastAsia="Source Sans 3"/>
          <w:color w:val="000000"/>
        </w:rPr>
        <w:t>(P 1.2 mmol/L = 3.7 mg/dL)</w:t>
      </w:r>
    </w:p>
    <w:p w14:paraId="577104BD" w14:textId="77777777" w:rsidR="00FD0EAB" w:rsidRDefault="00FD0EAB">
      <w:pPr>
        <w:widowControl/>
        <w:wordWrap/>
        <w:autoSpaceDE/>
        <w:autoSpaceDN/>
        <w:rPr>
          <w:rFonts w:eastAsia="Source Sans 3"/>
          <w:b/>
          <w:bCs/>
          <w:color w:val="1428A0"/>
          <w:sz w:val="32"/>
          <w:szCs w:val="32"/>
        </w:rPr>
      </w:pPr>
      <w:r>
        <w:rPr>
          <w:rFonts w:eastAsia="Source Sans 3"/>
          <w:b/>
          <w:bCs/>
          <w:color w:val="1428A0"/>
          <w:sz w:val="32"/>
          <w:szCs w:val="32"/>
        </w:rPr>
        <w:br w:type="page"/>
      </w:r>
    </w:p>
    <w:p w14:paraId="1B10F631" w14:textId="5F1C302D" w:rsidR="0016331D" w:rsidRPr="00335C1E" w:rsidRDefault="000C1A1E">
      <w:pPr>
        <w:pStyle w:val="a4"/>
        <w:numPr>
          <w:ilvl w:val="0"/>
          <w:numId w:val="2"/>
        </w:numPr>
        <w:rPr>
          <w:caps/>
        </w:rPr>
      </w:pPr>
      <w:r w:rsidRPr="00335C1E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Electrolyte and Acid-Base Imbalance Correction</w:t>
      </w:r>
    </w:p>
    <w:p w14:paraId="1B10F632" w14:textId="77777777" w:rsidR="0016331D" w:rsidRDefault="000C1A1E">
      <w:pPr>
        <w:pStyle w:val="a4"/>
        <w:numPr>
          <w:ilvl w:val="1"/>
          <w:numId w:val="2"/>
        </w:numPr>
      </w:pPr>
      <w:r>
        <w:rPr>
          <w:rFonts w:eastAsia="Source Sans 3"/>
          <w:b/>
          <w:bCs/>
          <w:color w:val="0A4BFF"/>
          <w:sz w:val="28"/>
          <w:szCs w:val="28"/>
        </w:rPr>
        <w:t>Chronic Hyponatremia</w:t>
      </w:r>
    </w:p>
    <w:p w14:paraId="1B10F633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Correction goal: ΔNa &lt; 10 mmol/L over 24 hours</w:t>
      </w:r>
    </w:p>
    <w:p w14:paraId="1B10F634" w14:textId="768C93C3" w:rsidR="0016331D" w:rsidRPr="00AF0B48" w:rsidRDefault="000C1A1E">
      <w:pPr>
        <w:pStyle w:val="a4"/>
        <w:numPr>
          <w:ilvl w:val="2"/>
          <w:numId w:val="2"/>
        </w:numPr>
        <w:rPr>
          <w:sz w:val="18"/>
          <w:szCs w:val="18"/>
        </w:rPr>
      </w:pPr>
      <w:r>
        <w:rPr>
          <w:rFonts w:eastAsia="Source Sans 3"/>
          <w:b/>
          <w:bCs/>
          <w:color w:val="000000"/>
          <w:sz w:val="24"/>
          <w:szCs w:val="24"/>
        </w:rPr>
        <w:t xml:space="preserve">High risk of osmotic demyelination syndrome: </w:t>
      </w:r>
      <w:r w:rsidR="00126AC2" w:rsidRPr="00AF0B48">
        <w:rPr>
          <w:rFonts w:eastAsia="Source Sans 3"/>
          <w:color w:val="000000"/>
          <w:sz w:val="22"/>
          <w:szCs w:val="22"/>
        </w:rPr>
        <w:t xml:space="preserve">serum Na concentration ≤ 110 mmol/L in patients with hypokalemia, alcoholism, malnutrition, or advanced liver disease </w:t>
      </w:r>
    </w:p>
    <w:p w14:paraId="1B10F635" w14:textId="3978C7CA" w:rsidR="0016331D" w:rsidRDefault="00F4543E">
      <w:pPr>
        <w:pStyle w:val="a4"/>
        <w:numPr>
          <w:ilvl w:val="2"/>
          <w:numId w:val="2"/>
        </w:numPr>
      </w:pPr>
      <w:r w:rsidRPr="00F4543E">
        <w:rPr>
          <w:rFonts w:eastAsia="Source Sans 3"/>
          <w:b/>
          <w:bCs/>
          <w:color w:val="000000"/>
          <w:sz w:val="24"/>
          <w:szCs w:val="24"/>
        </w:rPr>
        <w:t>Correction strategy</w:t>
      </w:r>
    </w:p>
    <w:p w14:paraId="1B10F636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At CKRT initiation</w:t>
      </w:r>
    </w:p>
    <w:p w14:paraId="1B10F638" w14:textId="6E237F03" w:rsidR="0016331D" w:rsidRPr="003D763F" w:rsidRDefault="000C1A1E" w:rsidP="003D763F">
      <w:pPr>
        <w:pStyle w:val="a4"/>
        <w:numPr>
          <w:ilvl w:val="4"/>
          <w:numId w:val="2"/>
        </w:numPr>
      </w:pPr>
      <w:r w:rsidRPr="00CE4E56">
        <w:rPr>
          <w:rFonts w:eastAsia="Source Sans 3"/>
          <w:b/>
          <w:bCs/>
          <w:color w:val="000000"/>
          <w:sz w:val="22"/>
          <w:szCs w:val="22"/>
        </w:rPr>
        <w:t>5% DW (dextrose water)</w:t>
      </w:r>
      <w:r>
        <w:rPr>
          <w:rFonts w:eastAsia="Source Sans 3"/>
          <w:color w:val="000000"/>
          <w:sz w:val="22"/>
          <w:szCs w:val="22"/>
        </w:rPr>
        <w:t>: start infusion via a separate line at the following rates according to the severity of hyponatremia</w:t>
      </w:r>
    </w:p>
    <w:tbl>
      <w:tblPr>
        <w:tblW w:w="7596" w:type="dxa"/>
        <w:tblInd w:w="119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3798"/>
        <w:gridCol w:w="3798"/>
      </w:tblGrid>
      <w:tr w:rsidR="000E4E5E" w:rsidRPr="000E4E5E" w14:paraId="44CF1554" w14:textId="77777777" w:rsidTr="007921F9">
        <w:trPr>
          <w:tblHeader/>
        </w:trPr>
        <w:tc>
          <w:tcPr>
            <w:tcW w:w="379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B3730" w14:textId="77777777" w:rsidR="000E4E5E" w:rsidRPr="000E4E5E" w:rsidRDefault="000E4E5E" w:rsidP="00EC6BC6">
            <w:pPr>
              <w:spacing w:line="280" w:lineRule="auto"/>
              <w:jc w:val="center"/>
            </w:pPr>
            <w:r w:rsidRPr="000E4E5E">
              <w:rPr>
                <w:rFonts w:eastAsia="Source Sans 3"/>
                <w:b/>
                <w:bCs/>
                <w:color w:val="000000"/>
              </w:rPr>
              <w:t>Serum Na (mmol/L)</w:t>
            </w:r>
          </w:p>
        </w:tc>
        <w:tc>
          <w:tcPr>
            <w:tcW w:w="379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0D6D8" w14:textId="77777777" w:rsidR="000E4E5E" w:rsidRPr="000E4E5E" w:rsidRDefault="000E4E5E" w:rsidP="00EC6BC6">
            <w:pPr>
              <w:spacing w:line="280" w:lineRule="auto"/>
              <w:jc w:val="center"/>
            </w:pPr>
            <w:r w:rsidRPr="000E4E5E">
              <w:rPr>
                <w:rFonts w:eastAsia="Source Sans 3"/>
                <w:b/>
                <w:bCs/>
                <w:color w:val="000000"/>
              </w:rPr>
              <w:t>5DW infusion rate</w:t>
            </w:r>
          </w:p>
        </w:tc>
      </w:tr>
      <w:tr w:rsidR="000E4E5E" w:rsidRPr="000E4E5E" w14:paraId="5972E0FA" w14:textId="77777777" w:rsidTr="007921F9"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210E7" w14:textId="77777777" w:rsidR="000E4E5E" w:rsidRPr="000E4E5E" w:rsidRDefault="000E4E5E" w:rsidP="00EC6BC6">
            <w:pPr>
              <w:spacing w:line="280" w:lineRule="auto"/>
              <w:jc w:val="center"/>
            </w:pPr>
            <w:r w:rsidRPr="000E4E5E">
              <w:rPr>
                <w:rFonts w:eastAsia="Source Sans 3"/>
                <w:color w:val="000000"/>
              </w:rPr>
              <w:t>116–125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F6282" w14:textId="77777777" w:rsidR="000E4E5E" w:rsidRPr="000E4E5E" w:rsidRDefault="000E4E5E" w:rsidP="00EC6BC6">
            <w:pPr>
              <w:spacing w:line="280" w:lineRule="auto"/>
              <w:jc w:val="center"/>
            </w:pPr>
            <w:r w:rsidRPr="000E4E5E">
              <w:rPr>
                <w:rFonts w:eastAsia="Source Sans 3"/>
                <w:color w:val="000000"/>
              </w:rPr>
              <w:t>2 mL/kg/hr</w:t>
            </w:r>
          </w:p>
        </w:tc>
      </w:tr>
      <w:tr w:rsidR="000E4E5E" w:rsidRPr="000E4E5E" w14:paraId="4B2948D0" w14:textId="77777777" w:rsidTr="007921F9"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DC92A" w14:textId="77777777" w:rsidR="000E4E5E" w:rsidRPr="000E4E5E" w:rsidRDefault="000E4E5E" w:rsidP="00EC6BC6">
            <w:pPr>
              <w:spacing w:line="280" w:lineRule="auto"/>
              <w:jc w:val="center"/>
            </w:pPr>
            <w:r w:rsidRPr="000E4E5E">
              <w:rPr>
                <w:rFonts w:eastAsia="Source Sans 3"/>
                <w:color w:val="000000"/>
              </w:rPr>
              <w:t>106–115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B0AC7" w14:textId="77777777" w:rsidR="000E4E5E" w:rsidRPr="000E4E5E" w:rsidRDefault="000E4E5E" w:rsidP="00EC6BC6">
            <w:pPr>
              <w:spacing w:line="280" w:lineRule="auto"/>
              <w:jc w:val="center"/>
            </w:pPr>
            <w:r w:rsidRPr="000E4E5E">
              <w:rPr>
                <w:rFonts w:eastAsia="Source Sans 3"/>
                <w:color w:val="000000"/>
              </w:rPr>
              <w:t>2.5 mL/kg/hr</w:t>
            </w:r>
          </w:p>
        </w:tc>
      </w:tr>
      <w:tr w:rsidR="000E4E5E" w:rsidRPr="000E4E5E" w14:paraId="26E213DF" w14:textId="77777777" w:rsidTr="007921F9"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B2936" w14:textId="77777777" w:rsidR="000E4E5E" w:rsidRPr="000E4E5E" w:rsidRDefault="000E4E5E" w:rsidP="00EC6BC6">
            <w:pPr>
              <w:spacing w:line="280" w:lineRule="auto"/>
              <w:jc w:val="center"/>
            </w:pPr>
            <w:r w:rsidRPr="000E4E5E">
              <w:rPr>
                <w:rFonts w:eastAsia="Source Sans 3"/>
                <w:color w:val="000000"/>
              </w:rPr>
              <w:t>&lt; 105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8A155" w14:textId="77777777" w:rsidR="000E4E5E" w:rsidRPr="000E4E5E" w:rsidRDefault="000E4E5E" w:rsidP="00EC6BC6">
            <w:pPr>
              <w:spacing w:line="280" w:lineRule="auto"/>
              <w:jc w:val="center"/>
            </w:pPr>
            <w:r w:rsidRPr="000E4E5E">
              <w:rPr>
                <w:rFonts w:eastAsia="Source Sans 3"/>
                <w:color w:val="000000"/>
              </w:rPr>
              <w:t>3 mL/kg/hr</w:t>
            </w:r>
          </w:p>
        </w:tc>
      </w:tr>
    </w:tbl>
    <w:p w14:paraId="1B10F645" w14:textId="193805CC" w:rsidR="0016331D" w:rsidRDefault="000C1A1E" w:rsidP="00213712">
      <w:pPr>
        <w:pStyle w:val="a4"/>
        <w:numPr>
          <w:ilvl w:val="4"/>
          <w:numId w:val="2"/>
        </w:numPr>
        <w:spacing w:before="80"/>
        <w:ind w:left="1191" w:hanging="284"/>
      </w:pPr>
      <w:r>
        <w:rPr>
          <w:rFonts w:eastAsia="Source Sans 3"/>
          <w:color w:val="000000"/>
          <w:sz w:val="22"/>
          <w:szCs w:val="22"/>
        </w:rPr>
        <w:t xml:space="preserve">CKRT: </w:t>
      </w:r>
      <w:r w:rsidR="00BE3C8A">
        <w:rPr>
          <w:rFonts w:hint="eastAsia"/>
          <w:color w:val="000000"/>
          <w:sz w:val="22"/>
          <w:szCs w:val="22"/>
        </w:rPr>
        <w:t>u</w:t>
      </w:r>
      <w:r w:rsidR="00BE3C8A" w:rsidRPr="00BE3C8A">
        <w:rPr>
          <w:rFonts w:eastAsia="Source Sans 3"/>
          <w:color w:val="000000"/>
          <w:sz w:val="22"/>
          <w:szCs w:val="22"/>
        </w:rPr>
        <w:t xml:space="preserve">nless HCO₃⁻ &lt; 15 mmol/L or serum K ≥ 6.5 mmol/L, </w:t>
      </w:r>
      <w:r w:rsidR="00BE3C8A" w:rsidRPr="005C2E93">
        <w:rPr>
          <w:rFonts w:eastAsia="Source Sans 3"/>
          <w:b/>
          <w:bCs/>
          <w:color w:val="000000"/>
          <w:sz w:val="22"/>
          <w:szCs w:val="22"/>
        </w:rPr>
        <w:t>initiate CKRT at one step lower than the standard initial dose</w:t>
      </w:r>
    </w:p>
    <w:p w14:paraId="1B10F646" w14:textId="02CF41AB" w:rsidR="0016331D" w:rsidRDefault="00713CDD">
      <w:pPr>
        <w:pStyle w:val="a4"/>
        <w:numPr>
          <w:ilvl w:val="3"/>
          <w:numId w:val="2"/>
        </w:numPr>
      </w:pPr>
      <w:r w:rsidRPr="005F5263">
        <w:rPr>
          <w:rFonts w:eastAsia="Source Sans 3"/>
          <w:b/>
          <w:bCs/>
          <w:color w:val="000000"/>
          <w:sz w:val="22"/>
          <w:szCs w:val="22"/>
        </w:rPr>
        <w:t>Check electrolytes twice at 2-hour intervals</w:t>
      </w:r>
      <w:r w:rsidRPr="00713CDD">
        <w:rPr>
          <w:rFonts w:eastAsia="Source Sans 3"/>
          <w:color w:val="000000"/>
          <w:sz w:val="22"/>
          <w:szCs w:val="22"/>
        </w:rPr>
        <w:t xml:space="preserve"> after CKRT initiation</w:t>
      </w:r>
    </w:p>
    <w:p w14:paraId="1B10F647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ΔNa ≥ 2 mmol/L at 2 hours: increase DW infusion rate by 50%</w:t>
      </w:r>
    </w:p>
    <w:p w14:paraId="1B10F648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ΔNa = 1 mmol/L at 2 hours: maintain DW infusion rate</w:t>
      </w:r>
    </w:p>
    <w:p w14:paraId="1B10F649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ΔNa &lt; 1 mmol/L at 2 hours: (if serum Na is unchanged) reduce DW infusion rate</w:t>
      </w:r>
    </w:p>
    <w:p w14:paraId="4589C3DD" w14:textId="512BBC2B" w:rsidR="009150E9" w:rsidRPr="009150E9" w:rsidRDefault="009150E9">
      <w:pPr>
        <w:pStyle w:val="a4"/>
        <w:numPr>
          <w:ilvl w:val="3"/>
          <w:numId w:val="2"/>
        </w:numPr>
      </w:pPr>
      <w:r w:rsidRPr="009150E9">
        <w:rPr>
          <w:rFonts w:eastAsia="Source Sans 3"/>
          <w:color w:val="000000"/>
          <w:sz w:val="22"/>
          <w:szCs w:val="22"/>
        </w:rPr>
        <w:t>If ΔNa remains ≤ 2 mmol/L over 4 hours based on two consecutive follow-up measurements, continue testing every 4 hours thereafter</w:t>
      </w:r>
    </w:p>
    <w:p w14:paraId="1B10F64B" w14:textId="77777777" w:rsidR="0016331D" w:rsidRDefault="000C1A1E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>Chronic Hypernatremia</w:t>
      </w:r>
    </w:p>
    <w:p w14:paraId="1B10F64C" w14:textId="467B4BAA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 xml:space="preserve">Correction goal: </w:t>
      </w:r>
      <w:r w:rsidR="00D15A4B">
        <w:rPr>
          <w:rFonts w:hint="eastAsia"/>
          <w:b/>
          <w:bCs/>
          <w:color w:val="000000"/>
          <w:sz w:val="24"/>
          <w:szCs w:val="24"/>
        </w:rPr>
        <w:t>g</w:t>
      </w:r>
      <w:r w:rsidR="00D15A4B" w:rsidRPr="00D15A4B">
        <w:rPr>
          <w:rFonts w:eastAsia="Source Sans 3"/>
          <w:b/>
          <w:bCs/>
          <w:color w:val="000000"/>
          <w:sz w:val="24"/>
          <w:szCs w:val="24"/>
        </w:rPr>
        <w:t>radually correct hypernatremia so that the decrease in serum sodium does not exceed 8 mmol/L over 24 hours</w:t>
      </w:r>
    </w:p>
    <w:p w14:paraId="1B10F64D" w14:textId="78CCBCFE" w:rsidR="0016331D" w:rsidRPr="00241B0B" w:rsidRDefault="008E6D5B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241B0B">
        <w:rPr>
          <w:rFonts w:hint="eastAsia"/>
          <w:b/>
          <w:bCs/>
          <w:color w:val="000000"/>
          <w:sz w:val="22"/>
          <w:szCs w:val="22"/>
        </w:rPr>
        <w:t>In s</w:t>
      </w:r>
      <w:r w:rsidRPr="00241B0B">
        <w:rPr>
          <w:rFonts w:eastAsia="Source Sans 3"/>
          <w:b/>
          <w:bCs/>
          <w:color w:val="000000"/>
          <w:sz w:val="22"/>
          <w:szCs w:val="22"/>
        </w:rPr>
        <w:t>evere hypernatremia (Na &gt; 165 mmol/L): target ΔNa ≤ 6 mmol/L over 24 hours</w:t>
      </w:r>
    </w:p>
    <w:p w14:paraId="1B10F64E" w14:textId="7D03A3A7" w:rsidR="0016331D" w:rsidRDefault="00F4543E">
      <w:pPr>
        <w:pStyle w:val="a4"/>
        <w:numPr>
          <w:ilvl w:val="2"/>
          <w:numId w:val="2"/>
        </w:numPr>
      </w:pPr>
      <w:r w:rsidRPr="00F4543E">
        <w:rPr>
          <w:rFonts w:eastAsia="Source Sans 3"/>
          <w:b/>
          <w:bCs/>
          <w:color w:val="000000"/>
          <w:sz w:val="24"/>
          <w:szCs w:val="24"/>
        </w:rPr>
        <w:t>Correction strategy</w:t>
      </w:r>
    </w:p>
    <w:p w14:paraId="1B10F64F" w14:textId="6C1EB678" w:rsidR="0016331D" w:rsidRDefault="00AF30E1">
      <w:pPr>
        <w:pStyle w:val="a4"/>
        <w:numPr>
          <w:ilvl w:val="3"/>
          <w:numId w:val="2"/>
        </w:numPr>
      </w:pPr>
      <w:r>
        <w:rPr>
          <w:rFonts w:hint="eastAsia"/>
          <w:color w:val="000000"/>
          <w:sz w:val="22"/>
          <w:szCs w:val="22"/>
        </w:rPr>
        <w:t xml:space="preserve">Initiate </w:t>
      </w:r>
      <w:r>
        <w:rPr>
          <w:rFonts w:eastAsia="Source Sans 3"/>
          <w:color w:val="000000"/>
          <w:sz w:val="22"/>
          <w:szCs w:val="22"/>
        </w:rPr>
        <w:t xml:space="preserve"> CKRT after </w:t>
      </w:r>
      <w:r w:rsidR="00AF10D6" w:rsidRPr="007B4FF3">
        <w:rPr>
          <w:rFonts w:hint="eastAsia"/>
          <w:b/>
          <w:bCs/>
          <w:color w:val="000000"/>
          <w:sz w:val="22"/>
          <w:szCs w:val="22"/>
        </w:rPr>
        <w:t>adding</w:t>
      </w:r>
      <w:r w:rsidRPr="007B4FF3">
        <w:rPr>
          <w:rFonts w:eastAsia="Source Sans 3"/>
          <w:b/>
          <w:bCs/>
          <w:color w:val="000000"/>
          <w:sz w:val="22"/>
          <w:szCs w:val="22"/>
        </w:rPr>
        <w:t xml:space="preserve"> NaCl or bivon</w:t>
      </w:r>
      <w:r w:rsidRPr="007B4FF3">
        <w:rPr>
          <w:rFonts w:hint="eastAsia"/>
          <w:b/>
          <w:bCs/>
          <w:color w:val="000000"/>
          <w:sz w:val="22"/>
          <w:szCs w:val="22"/>
        </w:rPr>
        <w:t xml:space="preserve"> </w:t>
      </w:r>
      <w:r w:rsidR="00633A97" w:rsidRPr="007B4FF3">
        <w:rPr>
          <w:rFonts w:hint="eastAsia"/>
          <w:b/>
          <w:bCs/>
          <w:color w:val="000000"/>
          <w:sz w:val="22"/>
          <w:szCs w:val="22"/>
        </w:rPr>
        <w:t>(</w:t>
      </w:r>
      <w:r w:rsidRPr="007B4FF3">
        <w:rPr>
          <w:rFonts w:eastAsia="Source Sans 3"/>
          <w:b/>
          <w:bCs/>
          <w:color w:val="000000"/>
          <w:sz w:val="22"/>
          <w:szCs w:val="22"/>
        </w:rPr>
        <w:t>in cases of severe metabolic acidosis</w:t>
      </w:r>
      <w:r w:rsidR="00633A97" w:rsidRPr="007B4FF3">
        <w:rPr>
          <w:rFonts w:hint="eastAsia"/>
          <w:b/>
          <w:bCs/>
          <w:color w:val="000000"/>
          <w:sz w:val="22"/>
          <w:szCs w:val="22"/>
        </w:rPr>
        <w:t>)</w:t>
      </w:r>
      <w:r w:rsidRPr="007B4FF3">
        <w:rPr>
          <w:rFonts w:hint="eastAsia"/>
          <w:b/>
          <w:bCs/>
          <w:color w:val="000000"/>
          <w:sz w:val="22"/>
          <w:szCs w:val="22"/>
        </w:rPr>
        <w:t xml:space="preserve"> </w:t>
      </w:r>
      <w:r w:rsidRPr="007B4FF3">
        <w:rPr>
          <w:rFonts w:eastAsia="Source Sans 3"/>
          <w:b/>
          <w:bCs/>
          <w:color w:val="000000"/>
          <w:sz w:val="22"/>
          <w:szCs w:val="22"/>
        </w:rPr>
        <w:t xml:space="preserve">into the dialysate / pre-replacement fluid  </w:t>
      </w:r>
      <w:r w:rsidR="00B91114" w:rsidRPr="007B4FF3">
        <w:rPr>
          <w:rFonts w:eastAsia="Source Sans 3"/>
          <w:b/>
          <w:bCs/>
          <w:color w:val="000000"/>
          <w:sz w:val="22"/>
          <w:szCs w:val="22"/>
        </w:rPr>
        <w:t>so that the sodium concentration is approximately 5 mmol/L lower than the current serum sodium level</w:t>
      </w:r>
    </w:p>
    <w:p w14:paraId="1B10F650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Na concentration of the dialysate / replacement fluid (5L bag): 140 mmol/L</w:t>
      </w:r>
    </w:p>
    <w:p w14:paraId="1B10F651" w14:textId="67410872" w:rsidR="0016331D" w:rsidRDefault="00593F85">
      <w:pPr>
        <w:pStyle w:val="a4"/>
        <w:numPr>
          <w:ilvl w:val="5"/>
          <w:numId w:val="2"/>
        </w:numPr>
      </w:pPr>
      <w:r>
        <w:rPr>
          <w:rFonts w:hint="eastAsia"/>
          <w:color w:val="000000"/>
          <w:sz w:val="22"/>
          <w:szCs w:val="22"/>
        </w:rPr>
        <w:t xml:space="preserve">Addition of </w:t>
      </w:r>
      <w:r>
        <w:rPr>
          <w:rFonts w:eastAsia="Source Sans 3"/>
          <w:color w:val="000000"/>
          <w:sz w:val="22"/>
          <w:szCs w:val="22"/>
        </w:rPr>
        <w:t xml:space="preserve">1 ampule of NaCl (Na 40 mmol / 20 mL) </w:t>
      </w:r>
      <w:r>
        <w:rPr>
          <w:rFonts w:hint="eastAsia"/>
          <w:color w:val="000000"/>
          <w:sz w:val="22"/>
          <w:szCs w:val="22"/>
        </w:rPr>
        <w:t xml:space="preserve">increases </w:t>
      </w:r>
      <w:r>
        <w:rPr>
          <w:rFonts w:eastAsia="Source Sans 3"/>
          <w:color w:val="000000"/>
          <w:sz w:val="22"/>
          <w:szCs w:val="22"/>
        </w:rPr>
        <w:t>Na</w:t>
      </w:r>
      <w:r>
        <w:rPr>
          <w:rFonts w:hint="eastAsia"/>
          <w:color w:val="000000"/>
          <w:sz w:val="22"/>
          <w:szCs w:val="22"/>
        </w:rPr>
        <w:t xml:space="preserve"> </w:t>
      </w:r>
      <w:r w:rsidR="000D1069">
        <w:rPr>
          <w:rFonts w:hint="eastAsia"/>
          <w:color w:val="000000"/>
          <w:sz w:val="22"/>
          <w:szCs w:val="22"/>
        </w:rPr>
        <w:t xml:space="preserve">concentration </w:t>
      </w:r>
      <w:r>
        <w:rPr>
          <w:rFonts w:eastAsia="Source Sans 3"/>
          <w:color w:val="000000"/>
          <w:sz w:val="22"/>
          <w:szCs w:val="22"/>
        </w:rPr>
        <w:t>by 8 mmol/L → 148 mmol/L</w:t>
      </w:r>
    </w:p>
    <w:p w14:paraId="1B10F652" w14:textId="3C4066B7" w:rsidR="0016331D" w:rsidRDefault="000D1069">
      <w:pPr>
        <w:pStyle w:val="a4"/>
        <w:numPr>
          <w:ilvl w:val="5"/>
          <w:numId w:val="2"/>
        </w:numPr>
      </w:pPr>
      <w:r>
        <w:rPr>
          <w:rFonts w:hint="eastAsia"/>
          <w:color w:val="000000"/>
          <w:sz w:val="22"/>
          <w:szCs w:val="22"/>
        </w:rPr>
        <w:lastRenderedPageBreak/>
        <w:t xml:space="preserve">Addition of </w:t>
      </w:r>
      <w:r>
        <w:rPr>
          <w:rFonts w:eastAsia="Source Sans 3"/>
          <w:color w:val="000000"/>
          <w:sz w:val="22"/>
          <w:szCs w:val="22"/>
        </w:rPr>
        <w:t xml:space="preserve">1 ampule of bivon (Na 20 mmol / 20 mL) </w:t>
      </w:r>
      <w:r>
        <w:rPr>
          <w:rFonts w:hint="eastAsia"/>
          <w:color w:val="000000"/>
          <w:sz w:val="22"/>
          <w:szCs w:val="22"/>
        </w:rPr>
        <w:t xml:space="preserve">increases </w:t>
      </w:r>
      <w:r>
        <w:rPr>
          <w:rFonts w:eastAsia="Source Sans 3"/>
          <w:color w:val="000000"/>
          <w:sz w:val="22"/>
          <w:szCs w:val="22"/>
        </w:rPr>
        <w:t>Na</w:t>
      </w:r>
      <w:r>
        <w:rPr>
          <w:rFonts w:hint="eastAsia"/>
          <w:color w:val="000000"/>
          <w:sz w:val="22"/>
          <w:szCs w:val="22"/>
        </w:rPr>
        <w:t xml:space="preserve"> concentration</w:t>
      </w:r>
      <w:r>
        <w:rPr>
          <w:rFonts w:eastAsia="Source Sans 3"/>
          <w:color w:val="000000"/>
          <w:sz w:val="22"/>
          <w:szCs w:val="22"/>
        </w:rPr>
        <w:t xml:space="preserve"> by 4 mmol/L → 144 mmol/L</w:t>
      </w:r>
    </w:p>
    <w:p w14:paraId="7C508552" w14:textId="77777777" w:rsidR="00B575D0" w:rsidRPr="00B575D0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Follow-up testing</w:t>
      </w:r>
    </w:p>
    <w:p w14:paraId="2C4F07CB" w14:textId="6EEAD23B" w:rsidR="00A51EBE" w:rsidRPr="00A51EBE" w:rsidRDefault="00557255" w:rsidP="00B575D0">
      <w:pPr>
        <w:pStyle w:val="a4"/>
        <w:numPr>
          <w:ilvl w:val="4"/>
          <w:numId w:val="2"/>
        </w:numPr>
        <w:rPr>
          <w:color w:val="000000"/>
          <w:sz w:val="22"/>
          <w:szCs w:val="22"/>
        </w:rPr>
      </w:pPr>
      <w:r w:rsidRPr="00557255">
        <w:rPr>
          <w:color w:val="000000"/>
          <w:sz w:val="22"/>
          <w:szCs w:val="22"/>
        </w:rPr>
        <w:t>Perform follow-up testing 2 hours later</w:t>
      </w:r>
      <w:r w:rsidR="00B575D0" w:rsidRPr="00B575D0">
        <w:t xml:space="preserve"> </w:t>
      </w:r>
    </w:p>
    <w:p w14:paraId="1EC14455" w14:textId="41901952" w:rsidR="00B575D0" w:rsidRPr="00B575D0" w:rsidRDefault="00B575D0" w:rsidP="00B575D0">
      <w:pPr>
        <w:pStyle w:val="a4"/>
        <w:numPr>
          <w:ilvl w:val="4"/>
          <w:numId w:val="2"/>
        </w:numPr>
        <w:rPr>
          <w:color w:val="000000"/>
          <w:sz w:val="22"/>
          <w:szCs w:val="22"/>
        </w:rPr>
      </w:pPr>
      <w:r w:rsidRPr="00B575D0">
        <w:rPr>
          <w:color w:val="000000"/>
          <w:sz w:val="22"/>
          <w:szCs w:val="22"/>
        </w:rPr>
        <w:t>If results are acceptable on two or more occasions, extend the testing interval to every 4 hours</w:t>
      </w:r>
    </w:p>
    <w:p w14:paraId="17A02BD7" w14:textId="50282A3E" w:rsidR="00B575D0" w:rsidRPr="00B575D0" w:rsidRDefault="00B575D0" w:rsidP="00B575D0">
      <w:pPr>
        <w:pStyle w:val="a4"/>
        <w:numPr>
          <w:ilvl w:val="4"/>
          <w:numId w:val="2"/>
        </w:numPr>
      </w:pPr>
      <w:r w:rsidRPr="00B575D0">
        <w:rPr>
          <w:color w:val="000000"/>
          <w:sz w:val="22"/>
          <w:szCs w:val="22"/>
        </w:rPr>
        <w:t>If sodium is being corrected gradually and remains stable for more than 24 hours, extend the interval to every 6 hours</w:t>
      </w:r>
    </w:p>
    <w:p w14:paraId="1B10F654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Special situation: therapeutic induction of hypernatremia</w:t>
      </w:r>
    </w:p>
    <w:p w14:paraId="1B10F655" w14:textId="093F8EE7" w:rsidR="0016331D" w:rsidRDefault="008F251C">
      <w:pPr>
        <w:pStyle w:val="a4"/>
        <w:numPr>
          <w:ilvl w:val="3"/>
          <w:numId w:val="2"/>
        </w:numPr>
      </w:pPr>
      <w:r w:rsidRPr="008F251C">
        <w:rPr>
          <w:rFonts w:eastAsia="Source Sans 3"/>
          <w:color w:val="000000"/>
          <w:sz w:val="22"/>
          <w:szCs w:val="22"/>
        </w:rPr>
        <w:t>When hypernatremia needs to be induced or maintained therapeutically in the setting of elevated intracranial pressure, use the above principles to add NaCl or bivon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eastAsia="Source Sans 3"/>
          <w:color w:val="000000"/>
          <w:sz w:val="22"/>
          <w:szCs w:val="22"/>
        </w:rPr>
        <w:t xml:space="preserve">to the pre-replacement / dialysate / post-replacement fluid </w:t>
      </w:r>
      <w:r w:rsidR="008A0C32" w:rsidRPr="008A0C32">
        <w:rPr>
          <w:rFonts w:eastAsia="Source Sans 3"/>
          <w:color w:val="000000"/>
          <w:sz w:val="22"/>
          <w:szCs w:val="22"/>
        </w:rPr>
        <w:t>in order to maintain the target serum sodium level</w:t>
      </w:r>
    </w:p>
    <w:p w14:paraId="635EE217" w14:textId="77777777" w:rsidR="0088277C" w:rsidRPr="0088277C" w:rsidRDefault="0088277C">
      <w:pPr>
        <w:pStyle w:val="a4"/>
        <w:numPr>
          <w:ilvl w:val="3"/>
          <w:numId w:val="2"/>
        </w:numPr>
      </w:pPr>
      <w:r w:rsidRPr="0088277C">
        <w:rPr>
          <w:rFonts w:eastAsia="Source Sans 3"/>
          <w:color w:val="000000"/>
          <w:sz w:val="22"/>
          <w:szCs w:val="22"/>
        </w:rPr>
        <w:t>If the serum sodium rises above the intended target, discontinue NaCl or bivon supplementation in the post-replacement fluid first</w:t>
      </w:r>
    </w:p>
    <w:p w14:paraId="1B10F657" w14:textId="77777777" w:rsidR="0016331D" w:rsidRDefault="000C1A1E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>Hypercalcemia</w:t>
      </w:r>
    </w:p>
    <w:p w14:paraId="1B10F658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Calcium-free CKRT fluid</w:t>
      </w:r>
    </w:p>
    <w:p w14:paraId="1B10F659" w14:textId="0EA7D628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Initiation criteria: apply the protocol below when </w:t>
      </w:r>
      <w:r w:rsidRPr="009758AA">
        <w:rPr>
          <w:rFonts w:eastAsia="Source Sans 3"/>
          <w:b/>
          <w:bCs/>
          <w:color w:val="000000"/>
          <w:sz w:val="22"/>
          <w:szCs w:val="22"/>
        </w:rPr>
        <w:t>ionized Ca persists at ≥ 1.4 mmol/L and there is an underlying disease likely to cause hypercalcemia</w:t>
      </w:r>
    </w:p>
    <w:p w14:paraId="1B10F65A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Method of applying calcium-free fluid</w:t>
      </w:r>
    </w:p>
    <w:p w14:paraId="1B10F65B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Apply the calcium-free protocol first to the post-replacement fluid</w:t>
      </w:r>
    </w:p>
    <w:p w14:paraId="1B10F65C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Decide subsequently whether to apply it to the pre-replacement fluid as well, based on the trend of calcium levels</w:t>
      </w:r>
    </w:p>
    <w:p w14:paraId="1B10F65D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When applying calcium-free to the pre-replacement fluid, if K ≤ 4.5 and P ≥ 3.6, use Hemosol B0 solution mixed with KCl instead of Multibic 4K.</w:t>
      </w:r>
    </w:p>
    <w:p w14:paraId="1B10F65E" w14:textId="58D314D3" w:rsidR="0016331D" w:rsidRDefault="000C1A1E">
      <w:pPr>
        <w:pStyle w:val="a4"/>
        <w:numPr>
          <w:ilvl w:val="5"/>
          <w:numId w:val="2"/>
        </w:numPr>
      </w:pPr>
      <w:r w:rsidRPr="00DC6DAC">
        <w:rPr>
          <w:rFonts w:eastAsia="Source Sans 3"/>
          <w:b/>
          <w:bCs/>
          <w:color w:val="000000"/>
          <w:sz w:val="22"/>
          <w:szCs w:val="22"/>
        </w:rPr>
        <w:t>Multibic 4K's A bag contains potassium; therefore, omitting the A bag results in a potassium-free state</w:t>
      </w:r>
    </w:p>
    <w:p w14:paraId="1B10F65F" w14:textId="32A12EDB" w:rsidR="0016331D" w:rsidRDefault="000C1A1E" w:rsidP="00DC6DAC">
      <w:pPr>
        <w:spacing w:before="360" w:after="60" w:line="276" w:lineRule="auto"/>
        <w:rPr>
          <w:b/>
          <w:bCs/>
          <w:color w:val="000000"/>
          <w:sz w:val="22"/>
          <w:szCs w:val="22"/>
        </w:rPr>
      </w:pPr>
      <w:r>
        <w:rPr>
          <w:rFonts w:eastAsia="Source Sans 3"/>
          <w:b/>
          <w:bCs/>
          <w:color w:val="000000"/>
          <w:sz w:val="22"/>
          <w:szCs w:val="22"/>
        </w:rPr>
        <w:t>Table 7. Fluid protocol in concomitant hypercalcemia</w:t>
      </w:r>
    </w:p>
    <w:tbl>
      <w:tblPr>
        <w:tblStyle w:val="ac"/>
        <w:tblW w:w="9104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1282"/>
        <w:gridCol w:w="1247"/>
        <w:gridCol w:w="1247"/>
        <w:gridCol w:w="1417"/>
        <w:gridCol w:w="1417"/>
        <w:gridCol w:w="2494"/>
      </w:tblGrid>
      <w:tr w:rsidR="00811E4D" w:rsidRPr="00B956F9" w14:paraId="218CA822" w14:textId="77777777" w:rsidTr="004A5A68">
        <w:trPr>
          <w:trHeight w:val="624"/>
        </w:trPr>
        <w:tc>
          <w:tcPr>
            <w:tcW w:w="1282" w:type="dxa"/>
            <w:vMerge w:val="restart"/>
            <w:vAlign w:val="center"/>
          </w:tcPr>
          <w:p w14:paraId="191F6251" w14:textId="5DE177F4" w:rsidR="00811E4D" w:rsidRPr="00E059AB" w:rsidRDefault="00811E4D" w:rsidP="00EC6BC6">
            <w:pPr>
              <w:spacing w:before="120" w:after="60" w:line="144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494" w:type="dxa"/>
            <w:gridSpan w:val="2"/>
            <w:shd w:val="clear" w:color="auto" w:fill="8CBAFF"/>
            <w:vAlign w:val="center"/>
          </w:tcPr>
          <w:p w14:paraId="5BFD4883" w14:textId="706978C5" w:rsidR="00811E4D" w:rsidRPr="00E059AB" w:rsidRDefault="00811E4D" w:rsidP="002F3FDE">
            <w:pPr>
              <w:spacing w:line="192" w:lineRule="auto"/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Dialysate</w:t>
            </w:r>
          </w:p>
        </w:tc>
        <w:tc>
          <w:tcPr>
            <w:tcW w:w="2834" w:type="dxa"/>
            <w:gridSpan w:val="2"/>
            <w:shd w:val="clear" w:color="auto" w:fill="8CBAFF"/>
            <w:vAlign w:val="center"/>
          </w:tcPr>
          <w:p w14:paraId="6D44140B" w14:textId="77777777" w:rsidR="00811E4D" w:rsidRDefault="00811E4D" w:rsidP="00EC6BC6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Pre-replacement fluid</w:t>
            </w:r>
          </w:p>
          <w:p w14:paraId="0DF46C0A" w14:textId="77638584" w:rsidR="002F3FDE" w:rsidRPr="00E059AB" w:rsidRDefault="002F3FDE" w:rsidP="00EC6BC6">
            <w:pPr>
              <w:spacing w:line="192" w:lineRule="auto"/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Source Sans 3" w:cs="Source Sans 3" w:hint="eastAsia"/>
                <w:b/>
                <w:bCs/>
                <w:color w:val="000000"/>
                <w:sz w:val="21"/>
                <w:szCs w:val="21"/>
              </w:rPr>
              <w:t>(Optional)</w:t>
            </w:r>
          </w:p>
        </w:tc>
        <w:tc>
          <w:tcPr>
            <w:tcW w:w="2494" w:type="dxa"/>
            <w:shd w:val="clear" w:color="auto" w:fill="8CBAFF"/>
            <w:vAlign w:val="center"/>
          </w:tcPr>
          <w:p w14:paraId="1C3E6A9C" w14:textId="7AA492D4" w:rsidR="00811E4D" w:rsidRPr="00E059AB" w:rsidRDefault="00811E4D" w:rsidP="00EC6BC6">
            <w:pPr>
              <w:spacing w:line="192" w:lineRule="auto"/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  <w:r w:rsidRPr="00E059AB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Post-replacement fluid</w:t>
            </w:r>
          </w:p>
        </w:tc>
      </w:tr>
      <w:tr w:rsidR="00AC34EF" w:rsidRPr="00B956F9" w14:paraId="4DBF0201" w14:textId="77777777" w:rsidTr="008E5CBE">
        <w:trPr>
          <w:trHeight w:val="479"/>
        </w:trPr>
        <w:tc>
          <w:tcPr>
            <w:tcW w:w="1282" w:type="dxa"/>
            <w:vMerge/>
            <w:vAlign w:val="center"/>
          </w:tcPr>
          <w:p w14:paraId="2C1AE271" w14:textId="77777777" w:rsidR="00AC34EF" w:rsidRPr="00B956F9" w:rsidRDefault="00AC34EF" w:rsidP="00EC6BC6">
            <w:pPr>
              <w:spacing w:before="120" w:after="60"/>
              <w:jc w:val="center"/>
              <w:rPr>
                <w:rFonts w:cs="Source Sans 3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247" w:type="dxa"/>
            <w:shd w:val="clear" w:color="auto" w:fill="BEDAFF"/>
            <w:vAlign w:val="center"/>
          </w:tcPr>
          <w:p w14:paraId="1E6DC479" w14:textId="77777777" w:rsidR="00AC34EF" w:rsidRPr="00E059AB" w:rsidRDefault="00AC34EF" w:rsidP="00EC6BC6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247" w:type="dxa"/>
            <w:shd w:val="clear" w:color="auto" w:fill="BEDAFF"/>
            <w:vAlign w:val="center"/>
          </w:tcPr>
          <w:p w14:paraId="74170B01" w14:textId="77777777" w:rsidR="00AC34EF" w:rsidRPr="00E059AB" w:rsidRDefault="00AC34EF" w:rsidP="00EC6BC6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  <w:tc>
          <w:tcPr>
            <w:tcW w:w="1417" w:type="dxa"/>
            <w:shd w:val="clear" w:color="auto" w:fill="BEDAFF"/>
            <w:vAlign w:val="center"/>
          </w:tcPr>
          <w:p w14:paraId="330E1648" w14:textId="77777777" w:rsidR="00AC34EF" w:rsidRPr="00E059AB" w:rsidRDefault="00AC34EF" w:rsidP="00EC6BC6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≥ 3.6</w:t>
            </w:r>
          </w:p>
        </w:tc>
        <w:tc>
          <w:tcPr>
            <w:tcW w:w="1417" w:type="dxa"/>
            <w:shd w:val="clear" w:color="auto" w:fill="BEDAFF"/>
            <w:vAlign w:val="center"/>
          </w:tcPr>
          <w:p w14:paraId="3E7997CE" w14:textId="77777777" w:rsidR="00AC34EF" w:rsidRPr="00E059AB" w:rsidRDefault="00AC34EF" w:rsidP="00EC6BC6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B956F9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P ≤ 3.5</w:t>
            </w:r>
          </w:p>
        </w:tc>
        <w:tc>
          <w:tcPr>
            <w:tcW w:w="2494" w:type="dxa"/>
            <w:shd w:val="clear" w:color="auto" w:fill="BEDAFF"/>
            <w:vAlign w:val="center"/>
          </w:tcPr>
          <w:p w14:paraId="72C6BFF5" w14:textId="4FB1139B" w:rsidR="00AC34EF" w:rsidRPr="00E059AB" w:rsidRDefault="00AC34EF" w:rsidP="00EC6BC6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A47714" w:rsidRPr="00B956F9" w14:paraId="622EDE6D" w14:textId="77777777" w:rsidTr="003E5155">
        <w:trPr>
          <w:trHeight w:val="397"/>
        </w:trPr>
        <w:tc>
          <w:tcPr>
            <w:tcW w:w="1282" w:type="dxa"/>
            <w:shd w:val="clear" w:color="auto" w:fill="BEDAFF"/>
            <w:vAlign w:val="center"/>
          </w:tcPr>
          <w:p w14:paraId="33BCBEB3" w14:textId="77777777" w:rsidR="00A47714" w:rsidRPr="00E059AB" w:rsidRDefault="00A47714" w:rsidP="003E5155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K ≤ 4.5</w:t>
            </w:r>
          </w:p>
        </w:tc>
        <w:tc>
          <w:tcPr>
            <w:tcW w:w="1247" w:type="dxa"/>
            <w:vAlign w:val="center"/>
          </w:tcPr>
          <w:p w14:paraId="6AECA6CD" w14:textId="77777777" w:rsidR="00A47714" w:rsidRPr="00A47714" w:rsidRDefault="00A47714" w:rsidP="003E5155">
            <w:pPr>
              <w:jc w:val="center"/>
              <w:rPr>
                <w:rFonts w:cs="Source Sans 3"/>
                <w:color w:val="000000"/>
                <w:sz w:val="21"/>
                <w:szCs w:val="21"/>
              </w:rPr>
            </w:pPr>
            <w:r w:rsidRPr="00A47714">
              <w:rPr>
                <w:rFonts w:eastAsia="Source Sans 3" w:cs="Source Sans 3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247" w:type="dxa"/>
            <w:vAlign w:val="center"/>
          </w:tcPr>
          <w:p w14:paraId="13C7F525" w14:textId="77777777" w:rsidR="00A47714" w:rsidRPr="00A47714" w:rsidRDefault="00A47714" w:rsidP="003E5155">
            <w:pPr>
              <w:jc w:val="center"/>
              <w:rPr>
                <w:rFonts w:cs="Source Sans 3"/>
                <w:color w:val="000000"/>
                <w:sz w:val="21"/>
                <w:szCs w:val="21"/>
              </w:rPr>
            </w:pPr>
            <w:r w:rsidRPr="00A47714">
              <w:rPr>
                <w:rFonts w:eastAsia="Source Sans 3" w:cs="Source Sans 3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1417" w:type="dxa"/>
            <w:vAlign w:val="center"/>
          </w:tcPr>
          <w:p w14:paraId="598DAEDC" w14:textId="77777777" w:rsidR="002F3FDE" w:rsidRDefault="00A47714" w:rsidP="003E5155">
            <w:pPr>
              <w:spacing w:line="192" w:lineRule="auto"/>
              <w:jc w:val="center"/>
              <w:rPr>
                <w:rFonts w:eastAsia="Source Sans 3" w:cs="Source Sans 3"/>
                <w:color w:val="000000"/>
                <w:sz w:val="21"/>
                <w:szCs w:val="21"/>
              </w:rPr>
            </w:pPr>
            <w:r w:rsidRPr="00A47714">
              <w:rPr>
                <w:rFonts w:eastAsia="Source Sans 3" w:cs="Source Sans 3"/>
                <w:color w:val="000000"/>
                <w:sz w:val="21"/>
                <w:szCs w:val="21"/>
              </w:rPr>
              <w:t>Hemosol B0 without A bag</w:t>
            </w:r>
          </w:p>
          <w:p w14:paraId="79144ADB" w14:textId="2B7A013E" w:rsidR="00A47714" w:rsidRPr="00A47714" w:rsidRDefault="00A47714" w:rsidP="003E5155">
            <w:pPr>
              <w:spacing w:line="192" w:lineRule="auto"/>
              <w:jc w:val="center"/>
              <w:rPr>
                <w:rFonts w:cs="Source Sans 3"/>
                <w:color w:val="000000"/>
                <w:sz w:val="21"/>
                <w:szCs w:val="21"/>
              </w:rPr>
            </w:pPr>
            <w:r w:rsidRPr="00A47714">
              <w:rPr>
                <w:rFonts w:eastAsia="Source Sans 3" w:cs="Source Sans 3"/>
                <w:color w:val="000000"/>
                <w:sz w:val="21"/>
                <w:szCs w:val="21"/>
              </w:rPr>
              <w:t>+ 1 bag of KCl 20 mmol / NS 100 mL</w:t>
            </w:r>
          </w:p>
        </w:tc>
        <w:tc>
          <w:tcPr>
            <w:tcW w:w="1417" w:type="dxa"/>
            <w:vAlign w:val="center"/>
          </w:tcPr>
          <w:p w14:paraId="1A88992A" w14:textId="0F3E386A" w:rsidR="00A47714" w:rsidRPr="00A47714" w:rsidRDefault="00A47714" w:rsidP="003E5155">
            <w:pPr>
              <w:spacing w:line="192" w:lineRule="auto"/>
              <w:jc w:val="center"/>
              <w:rPr>
                <w:rFonts w:cs="Source Sans 3"/>
                <w:color w:val="000000"/>
                <w:sz w:val="21"/>
                <w:szCs w:val="21"/>
              </w:rPr>
            </w:pPr>
            <w:r w:rsidRPr="00A47714">
              <w:rPr>
                <w:rFonts w:eastAsia="Source Sans 3" w:cs="Source Sans 3"/>
                <w:color w:val="000000"/>
                <w:sz w:val="21"/>
                <w:szCs w:val="21"/>
              </w:rPr>
              <w:t>Phoxilium without A bag</w:t>
            </w:r>
          </w:p>
        </w:tc>
        <w:tc>
          <w:tcPr>
            <w:tcW w:w="2494" w:type="dxa"/>
            <w:vAlign w:val="center"/>
          </w:tcPr>
          <w:p w14:paraId="19B8D0CC" w14:textId="78FB8E25" w:rsidR="00A47714" w:rsidRPr="00A47714" w:rsidRDefault="00A47714" w:rsidP="003E5155">
            <w:pPr>
              <w:jc w:val="center"/>
              <w:rPr>
                <w:rFonts w:cs="Source Sans 3"/>
                <w:color w:val="000000"/>
                <w:sz w:val="21"/>
                <w:szCs w:val="21"/>
              </w:rPr>
            </w:pPr>
            <w:r w:rsidRPr="00A47714">
              <w:rPr>
                <w:rFonts w:eastAsia="Source Sans 3" w:cs="Source Sans 3"/>
                <w:color w:val="000000"/>
                <w:sz w:val="21"/>
                <w:szCs w:val="21"/>
              </w:rPr>
              <w:t>Hemosol B0 without A bag</w:t>
            </w:r>
          </w:p>
        </w:tc>
      </w:tr>
      <w:tr w:rsidR="00A47714" w:rsidRPr="00B956F9" w14:paraId="34311B87" w14:textId="77777777" w:rsidTr="003E5155">
        <w:trPr>
          <w:trHeight w:val="397"/>
        </w:trPr>
        <w:tc>
          <w:tcPr>
            <w:tcW w:w="1282" w:type="dxa"/>
            <w:shd w:val="clear" w:color="auto" w:fill="BEDAFF"/>
            <w:vAlign w:val="center"/>
          </w:tcPr>
          <w:p w14:paraId="3B17DDE7" w14:textId="77777777" w:rsidR="00A47714" w:rsidRPr="00E059AB" w:rsidRDefault="00A47714" w:rsidP="003E5155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lastRenderedPageBreak/>
              <w:t>4.6 ≤ K ≤ 5.0</w:t>
            </w:r>
          </w:p>
        </w:tc>
        <w:tc>
          <w:tcPr>
            <w:tcW w:w="1247" w:type="dxa"/>
            <w:vAlign w:val="center"/>
          </w:tcPr>
          <w:p w14:paraId="1DA8CCBF" w14:textId="77777777" w:rsidR="00A47714" w:rsidRPr="00A47714" w:rsidRDefault="00A47714" w:rsidP="003E5155">
            <w:pPr>
              <w:jc w:val="center"/>
              <w:rPr>
                <w:rFonts w:cs="Source Sans 3"/>
                <w:color w:val="000000"/>
                <w:sz w:val="21"/>
                <w:szCs w:val="21"/>
              </w:rPr>
            </w:pPr>
            <w:r w:rsidRPr="00A47714">
              <w:rPr>
                <w:rFonts w:eastAsia="Source Sans 3" w:cs="Source Sans 3"/>
                <w:color w:val="000000"/>
                <w:sz w:val="21"/>
                <w:szCs w:val="21"/>
              </w:rPr>
              <w:t>Multibic 4K</w:t>
            </w:r>
          </w:p>
        </w:tc>
        <w:tc>
          <w:tcPr>
            <w:tcW w:w="1247" w:type="dxa"/>
            <w:vAlign w:val="center"/>
          </w:tcPr>
          <w:p w14:paraId="6FC38F74" w14:textId="77777777" w:rsidR="00A47714" w:rsidRPr="00A47714" w:rsidRDefault="00A47714" w:rsidP="003E5155">
            <w:pPr>
              <w:jc w:val="center"/>
              <w:rPr>
                <w:rFonts w:cs="Source Sans 3"/>
                <w:color w:val="000000"/>
                <w:sz w:val="21"/>
                <w:szCs w:val="21"/>
              </w:rPr>
            </w:pPr>
            <w:r w:rsidRPr="00A47714">
              <w:rPr>
                <w:rFonts w:eastAsia="Source Sans 3" w:cs="Source Sans 3"/>
                <w:color w:val="000000"/>
                <w:sz w:val="21"/>
                <w:szCs w:val="21"/>
              </w:rPr>
              <w:t>Phoxilium</w:t>
            </w:r>
          </w:p>
        </w:tc>
        <w:tc>
          <w:tcPr>
            <w:tcW w:w="2834" w:type="dxa"/>
            <w:gridSpan w:val="2"/>
            <w:vAlign w:val="center"/>
          </w:tcPr>
          <w:p w14:paraId="48A8AFE8" w14:textId="592515DB" w:rsidR="00A47714" w:rsidRPr="00A47714" w:rsidRDefault="00A47714" w:rsidP="003E5155">
            <w:pPr>
              <w:jc w:val="center"/>
              <w:rPr>
                <w:rFonts w:cs="Source Sans 3"/>
                <w:color w:val="000000"/>
                <w:sz w:val="21"/>
                <w:szCs w:val="21"/>
              </w:rPr>
            </w:pPr>
            <w:r w:rsidRPr="00A47714">
              <w:rPr>
                <w:rFonts w:cs="Source Sans 3"/>
                <w:color w:val="000000"/>
                <w:sz w:val="21"/>
                <w:szCs w:val="21"/>
              </w:rPr>
              <w:t>Hemosol B0 without A bag</w:t>
            </w:r>
          </w:p>
        </w:tc>
        <w:tc>
          <w:tcPr>
            <w:tcW w:w="2494" w:type="dxa"/>
            <w:vAlign w:val="center"/>
          </w:tcPr>
          <w:p w14:paraId="0A7135FF" w14:textId="4F4E73D7" w:rsidR="00A47714" w:rsidRPr="00A47714" w:rsidRDefault="00A47714" w:rsidP="003E5155">
            <w:pPr>
              <w:jc w:val="center"/>
              <w:rPr>
                <w:rFonts w:cs="Source Sans 3"/>
                <w:color w:val="000000"/>
                <w:sz w:val="21"/>
                <w:szCs w:val="21"/>
              </w:rPr>
            </w:pPr>
            <w:r w:rsidRPr="00A47714">
              <w:rPr>
                <w:rFonts w:cs="Source Sans 3"/>
                <w:color w:val="000000"/>
                <w:sz w:val="21"/>
                <w:szCs w:val="21"/>
              </w:rPr>
              <w:t>Hemosol B0 without A bag</w:t>
            </w:r>
          </w:p>
        </w:tc>
      </w:tr>
      <w:tr w:rsidR="00AC34EF" w:rsidRPr="00B956F9" w14:paraId="38DF8DD2" w14:textId="77777777" w:rsidTr="003E5155">
        <w:trPr>
          <w:trHeight w:val="397"/>
        </w:trPr>
        <w:tc>
          <w:tcPr>
            <w:tcW w:w="1282" w:type="dxa"/>
            <w:shd w:val="clear" w:color="auto" w:fill="BEDAFF"/>
            <w:vAlign w:val="center"/>
          </w:tcPr>
          <w:p w14:paraId="5AF9E41B" w14:textId="77777777" w:rsidR="00AC34EF" w:rsidRPr="00E059AB" w:rsidRDefault="00AC34EF" w:rsidP="003E5155">
            <w:pPr>
              <w:spacing w:line="192" w:lineRule="auto"/>
              <w:jc w:val="center"/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</w:pPr>
            <w:r w:rsidRPr="005C06D7">
              <w:rPr>
                <w:rFonts w:eastAsia="Source Sans 3" w:cs="Source Sans 3"/>
                <w:b/>
                <w:bCs/>
                <w:color w:val="000000"/>
                <w:sz w:val="21"/>
                <w:szCs w:val="21"/>
              </w:rPr>
              <w:t>K ≥ 5.1</w:t>
            </w:r>
          </w:p>
        </w:tc>
        <w:tc>
          <w:tcPr>
            <w:tcW w:w="1247" w:type="dxa"/>
            <w:vAlign w:val="center"/>
          </w:tcPr>
          <w:p w14:paraId="66F5F397" w14:textId="3303FF75" w:rsidR="00AC34EF" w:rsidRPr="00A47714" w:rsidRDefault="00AC34EF" w:rsidP="003E5155">
            <w:pPr>
              <w:jc w:val="center"/>
              <w:rPr>
                <w:rFonts w:cs="Source Sans 3"/>
                <w:color w:val="000000"/>
                <w:sz w:val="21"/>
                <w:szCs w:val="21"/>
              </w:rPr>
            </w:pPr>
            <w:r w:rsidRPr="00A47714">
              <w:rPr>
                <w:rFonts w:cs="Source Sans 3"/>
                <w:color w:val="000000"/>
                <w:sz w:val="21"/>
                <w:szCs w:val="21"/>
              </w:rPr>
              <w:t>Hemosol B0</w:t>
            </w:r>
          </w:p>
        </w:tc>
        <w:tc>
          <w:tcPr>
            <w:tcW w:w="1247" w:type="dxa"/>
            <w:vAlign w:val="center"/>
          </w:tcPr>
          <w:p w14:paraId="7BB790FD" w14:textId="3FF169C3" w:rsidR="00AC34EF" w:rsidRPr="00A47714" w:rsidRDefault="00AC34EF" w:rsidP="003E5155">
            <w:pPr>
              <w:jc w:val="center"/>
              <w:rPr>
                <w:rFonts w:cs="Source Sans 3"/>
                <w:color w:val="000000"/>
                <w:sz w:val="21"/>
                <w:szCs w:val="21"/>
              </w:rPr>
            </w:pPr>
            <w:r w:rsidRPr="00AC34EF">
              <w:rPr>
                <w:rFonts w:cs="Source Sans 3"/>
                <w:color w:val="000000"/>
                <w:sz w:val="21"/>
                <w:szCs w:val="21"/>
              </w:rPr>
              <w:t>Hemosol B0</w:t>
            </w:r>
          </w:p>
        </w:tc>
        <w:tc>
          <w:tcPr>
            <w:tcW w:w="2834" w:type="dxa"/>
            <w:gridSpan w:val="2"/>
            <w:vAlign w:val="center"/>
          </w:tcPr>
          <w:p w14:paraId="4C422F9F" w14:textId="58B63538" w:rsidR="00AC34EF" w:rsidRPr="00A47714" w:rsidRDefault="00AC34EF" w:rsidP="003E5155">
            <w:pPr>
              <w:jc w:val="center"/>
              <w:rPr>
                <w:rFonts w:cs="Source Sans 3"/>
                <w:color w:val="000000"/>
                <w:sz w:val="21"/>
                <w:szCs w:val="21"/>
              </w:rPr>
            </w:pPr>
            <w:r w:rsidRPr="00A47714">
              <w:rPr>
                <w:rFonts w:cs="Source Sans 3"/>
                <w:color w:val="000000"/>
                <w:sz w:val="21"/>
                <w:szCs w:val="21"/>
              </w:rPr>
              <w:t>Hemosol B0 without A bag</w:t>
            </w:r>
          </w:p>
        </w:tc>
        <w:tc>
          <w:tcPr>
            <w:tcW w:w="2494" w:type="dxa"/>
            <w:vAlign w:val="center"/>
          </w:tcPr>
          <w:p w14:paraId="2229CE64" w14:textId="7C8E04A9" w:rsidR="00AC34EF" w:rsidRPr="00A47714" w:rsidRDefault="00AC34EF" w:rsidP="003E5155">
            <w:pPr>
              <w:jc w:val="center"/>
              <w:rPr>
                <w:rFonts w:cs="Source Sans 3"/>
                <w:color w:val="000000"/>
                <w:sz w:val="21"/>
                <w:szCs w:val="21"/>
              </w:rPr>
            </w:pPr>
            <w:r w:rsidRPr="00A47714">
              <w:rPr>
                <w:rFonts w:cs="Source Sans 3"/>
                <w:color w:val="000000"/>
                <w:sz w:val="21"/>
                <w:szCs w:val="21"/>
              </w:rPr>
              <w:t>Hemosol B0 without A bag</w:t>
            </w:r>
          </w:p>
        </w:tc>
      </w:tr>
    </w:tbl>
    <w:p w14:paraId="1B10F67E" w14:textId="77777777" w:rsidR="0016331D" w:rsidRDefault="000C1A1E" w:rsidP="00514B46">
      <w:pPr>
        <w:pStyle w:val="a4"/>
        <w:numPr>
          <w:ilvl w:val="2"/>
          <w:numId w:val="2"/>
        </w:numPr>
        <w:spacing w:before="240"/>
        <w:ind w:left="568" w:hanging="284"/>
      </w:pPr>
      <w:r>
        <w:rPr>
          <w:rFonts w:eastAsia="Source Sans 3"/>
          <w:b/>
          <w:bCs/>
          <w:color w:val="000000"/>
          <w:sz w:val="24"/>
          <w:szCs w:val="24"/>
        </w:rPr>
        <w:t>Criteria for resuming Ca mixing after a calcium-free period</w:t>
      </w:r>
    </w:p>
    <w:p w14:paraId="1B10F67F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When CKRT dose is 8 : 2 (pre 800, post 200)</w:t>
      </w:r>
    </w:p>
    <w:p w14:paraId="1B10F680" w14:textId="6AC9C1DD" w:rsidR="0016331D" w:rsidRDefault="004B3067">
      <w:pPr>
        <w:pStyle w:val="a4"/>
        <w:numPr>
          <w:ilvl w:val="4"/>
          <w:numId w:val="2"/>
        </w:numPr>
      </w:pPr>
      <w:r w:rsidRPr="00B16303">
        <w:rPr>
          <w:rFonts w:eastAsia="Source Sans 3"/>
          <w:b/>
          <w:bCs/>
          <w:color w:val="000000"/>
          <w:sz w:val="22"/>
          <w:szCs w:val="22"/>
        </w:rPr>
        <w:t>If ionized Ca remains ≤ 1.2 for 12 hours</w:t>
      </w:r>
      <w:r w:rsidRPr="004B3067">
        <w:rPr>
          <w:rFonts w:eastAsia="Source Sans 3"/>
          <w:color w:val="000000"/>
          <w:sz w:val="22"/>
          <w:szCs w:val="22"/>
        </w:rPr>
        <w:t>,</w:t>
      </w:r>
      <w:r>
        <w:rPr>
          <w:rFonts w:eastAsia="Source Sans 3"/>
          <w:color w:val="000000"/>
          <w:sz w:val="22"/>
          <w:szCs w:val="22"/>
        </w:rPr>
        <w:t xml:space="preserve"> resume Ca mixing first in the pre-replacement fluid</w:t>
      </w:r>
    </w:p>
    <w:p w14:paraId="1B10F681" w14:textId="5F004D37" w:rsidR="0016331D" w:rsidRDefault="000C1A1E">
      <w:pPr>
        <w:pStyle w:val="a4"/>
        <w:numPr>
          <w:ilvl w:val="4"/>
          <w:numId w:val="2"/>
        </w:numPr>
      </w:pPr>
      <w:r w:rsidRPr="00B16303">
        <w:rPr>
          <w:rFonts w:eastAsia="Source Sans 3"/>
          <w:b/>
          <w:bCs/>
          <w:color w:val="000000"/>
          <w:sz w:val="22"/>
          <w:szCs w:val="22"/>
        </w:rPr>
        <w:t>If subsequent follow-up shows ionized Ca ≤ 1.1</w:t>
      </w:r>
      <w:r>
        <w:rPr>
          <w:rFonts w:eastAsia="Source Sans 3"/>
          <w:color w:val="000000"/>
          <w:sz w:val="22"/>
          <w:szCs w:val="22"/>
        </w:rPr>
        <w:t>, resume Ca mixing in the post-replacement fluid</w:t>
      </w:r>
    </w:p>
    <w:p w14:paraId="1B10F682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When CKRT dose has been increased (post ≥ 200): apply individually according to the clinical situation</w:t>
      </w:r>
    </w:p>
    <w:p w14:paraId="1B10F683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Cautions when using calcium-free CKRT fluid</w:t>
      </w:r>
    </w:p>
    <w:p w14:paraId="1B10F684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 xml:space="preserve">When the A bag is omitted due to hypercalcemia, </w:t>
      </w:r>
      <w:r w:rsidRPr="00F00EDF">
        <w:rPr>
          <w:rFonts w:eastAsia="Source Sans 3"/>
          <w:b/>
          <w:bCs/>
          <w:color w:val="000000"/>
          <w:sz w:val="22"/>
          <w:szCs w:val="22"/>
        </w:rPr>
        <w:t>the magnesium contained in the A bag is also excluded; therefore, attention to the development of hypomagnesemia is required</w:t>
      </w:r>
      <w:r>
        <w:rPr>
          <w:rFonts w:eastAsia="Source Sans 3"/>
          <w:color w:val="000000"/>
          <w:sz w:val="22"/>
          <w:szCs w:val="22"/>
        </w:rPr>
        <w:t>. Closely monitor serum Mg levels and administer magnesium replacement when needed.</w:t>
      </w:r>
    </w:p>
    <w:p w14:paraId="1B10F685" w14:textId="77777777" w:rsidR="0016331D" w:rsidRDefault="000C1A1E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>Metabolic Acidosis</w:t>
      </w:r>
    </w:p>
    <w:p w14:paraId="1B10F686" w14:textId="1742AC3A" w:rsidR="0016331D" w:rsidRDefault="001971A8">
      <w:pPr>
        <w:pStyle w:val="a4"/>
        <w:numPr>
          <w:ilvl w:val="2"/>
          <w:numId w:val="2"/>
        </w:numPr>
      </w:pPr>
      <w:r w:rsidRPr="001971A8">
        <w:rPr>
          <w:rFonts w:eastAsia="Source Sans 3"/>
          <w:b/>
          <w:bCs/>
          <w:color w:val="000000"/>
          <w:sz w:val="24"/>
          <w:szCs w:val="24"/>
        </w:rPr>
        <w:t>Persistent metabolic acidosis despite CKRT (HCO₃⁻ &lt; 15 mmol/L)</w:t>
      </w:r>
    </w:p>
    <w:p w14:paraId="1B10F687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CKRT duration </w:t>
      </w:r>
      <w:r w:rsidRPr="008E7424">
        <w:rPr>
          <w:rFonts w:eastAsia="Source Sans 3"/>
          <w:b/>
          <w:bCs/>
          <w:color w:val="000000"/>
          <w:sz w:val="22"/>
          <w:szCs w:val="22"/>
        </w:rPr>
        <w:t>&lt; 3 days</w:t>
      </w:r>
    </w:p>
    <w:p w14:paraId="1B10F688" w14:textId="6C88DDD8" w:rsidR="0016331D" w:rsidRDefault="00710F00">
      <w:pPr>
        <w:pStyle w:val="a4"/>
        <w:numPr>
          <w:ilvl w:val="4"/>
          <w:numId w:val="2"/>
        </w:numPr>
      </w:pPr>
      <w:r>
        <w:rPr>
          <w:rFonts w:hint="eastAsia"/>
          <w:color w:val="000000"/>
          <w:sz w:val="22"/>
          <w:szCs w:val="22"/>
        </w:rPr>
        <w:t>M</w:t>
      </w:r>
      <w:r>
        <w:rPr>
          <w:rFonts w:eastAsia="Source Sans 3"/>
          <w:color w:val="000000"/>
          <w:sz w:val="22"/>
          <w:szCs w:val="22"/>
        </w:rPr>
        <w:t>ix bivon into all of dialysate, pre- and post-replacement fluids</w:t>
      </w:r>
      <w:r>
        <w:rPr>
          <w:rFonts w:hint="eastAsia"/>
          <w:color w:val="000000"/>
          <w:sz w:val="22"/>
          <w:szCs w:val="22"/>
        </w:rPr>
        <w:t xml:space="preserve"> </w:t>
      </w:r>
      <w:r w:rsidRPr="00710F00">
        <w:rPr>
          <w:color w:val="000000"/>
          <w:sz w:val="22"/>
          <w:szCs w:val="22"/>
        </w:rPr>
        <w:t>without increasing the CKRT dose</w:t>
      </w:r>
    </w:p>
    <w:p w14:paraId="1B10F689" w14:textId="6229458D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10 &lt; HCO₃⁻ &lt; 15 mmol/L → mix 2 ampules of bivon (per </w:t>
      </w:r>
      <w:r w:rsidR="00461AE1">
        <w:rPr>
          <w:rFonts w:hint="eastAsia"/>
          <w:color w:val="000000"/>
          <w:sz w:val="22"/>
          <w:szCs w:val="22"/>
        </w:rPr>
        <w:t xml:space="preserve">one </w:t>
      </w:r>
      <w:r>
        <w:rPr>
          <w:rFonts w:eastAsia="Source Sans 3"/>
          <w:color w:val="000000"/>
          <w:sz w:val="22"/>
          <w:szCs w:val="22"/>
        </w:rPr>
        <w:t>5L bag)</w:t>
      </w:r>
    </w:p>
    <w:p w14:paraId="1B10F68A" w14:textId="5202145B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HCO₃⁻ ≤ 10 mmol/L → mix 3.5 ampules of bivon (per </w:t>
      </w:r>
      <w:r w:rsidR="00461AE1">
        <w:rPr>
          <w:rFonts w:hint="eastAsia"/>
          <w:color w:val="000000"/>
          <w:sz w:val="22"/>
          <w:szCs w:val="22"/>
        </w:rPr>
        <w:t xml:space="preserve">one </w:t>
      </w:r>
      <w:r>
        <w:rPr>
          <w:rFonts w:eastAsia="Source Sans 3"/>
          <w:color w:val="000000"/>
          <w:sz w:val="22"/>
          <w:szCs w:val="22"/>
        </w:rPr>
        <w:t>5L bag)</w:t>
      </w:r>
    </w:p>
    <w:p w14:paraId="1B10F68B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CKRT duration </w:t>
      </w:r>
      <w:r w:rsidRPr="008E7424">
        <w:rPr>
          <w:rFonts w:eastAsia="Source Sans 3"/>
          <w:b/>
          <w:bCs/>
          <w:color w:val="000000"/>
          <w:sz w:val="22"/>
          <w:szCs w:val="22"/>
        </w:rPr>
        <w:t>≥ 3 days</w:t>
      </w:r>
    </w:p>
    <w:p w14:paraId="1B10F68C" w14:textId="5757B41D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BUN ≥ 30 mg/dL or hyperkalemia: increase the</w:t>
      </w:r>
      <w:r w:rsidR="00B0645E">
        <w:rPr>
          <w:rFonts w:hint="eastAsia"/>
          <w:color w:val="000000"/>
          <w:sz w:val="22"/>
          <w:szCs w:val="22"/>
        </w:rPr>
        <w:t xml:space="preserve"> CKRT</w:t>
      </w:r>
      <w:r>
        <w:rPr>
          <w:rFonts w:eastAsia="Source Sans 3"/>
          <w:color w:val="000000"/>
          <w:sz w:val="22"/>
          <w:szCs w:val="22"/>
        </w:rPr>
        <w:t xml:space="preserve"> dose by one step</w:t>
      </w:r>
    </w:p>
    <w:p w14:paraId="1B10F68D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BUN &lt; 30 mg/dL with normokalemia → mix bivon without dose escalation</w:t>
      </w:r>
    </w:p>
    <w:p w14:paraId="1B10F68E" w14:textId="6D9EFE5B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10 &lt; HCO₃⁻ &lt; 15 mmol/L → mix </w:t>
      </w:r>
      <w:r w:rsidR="004F2F2E">
        <w:rPr>
          <w:rFonts w:hint="eastAsia"/>
          <w:color w:val="000000"/>
          <w:sz w:val="22"/>
          <w:szCs w:val="22"/>
        </w:rPr>
        <w:t xml:space="preserve">2 ampules of </w:t>
      </w:r>
      <w:r>
        <w:rPr>
          <w:rFonts w:eastAsia="Source Sans 3"/>
          <w:color w:val="000000"/>
          <w:sz w:val="22"/>
          <w:szCs w:val="22"/>
        </w:rPr>
        <w:t xml:space="preserve">bivon ampules (per </w:t>
      </w:r>
      <w:r w:rsidR="00F851BB">
        <w:rPr>
          <w:rFonts w:hint="eastAsia"/>
          <w:color w:val="000000"/>
          <w:sz w:val="22"/>
          <w:szCs w:val="22"/>
        </w:rPr>
        <w:t xml:space="preserve">one </w:t>
      </w:r>
      <w:r>
        <w:rPr>
          <w:rFonts w:eastAsia="Source Sans 3"/>
          <w:color w:val="000000"/>
          <w:sz w:val="22"/>
          <w:szCs w:val="22"/>
        </w:rPr>
        <w:t>5L bag)</w:t>
      </w:r>
    </w:p>
    <w:p w14:paraId="1B10F68F" w14:textId="6DCB1D60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HCO₃⁻ ≤ 10 mmol/L → mix 3.5 ampules of bivon (per </w:t>
      </w:r>
      <w:r w:rsidR="00F851BB">
        <w:rPr>
          <w:rFonts w:hint="eastAsia"/>
          <w:color w:val="000000"/>
          <w:sz w:val="22"/>
          <w:szCs w:val="22"/>
        </w:rPr>
        <w:t xml:space="preserve">one </w:t>
      </w:r>
      <w:r>
        <w:rPr>
          <w:rFonts w:eastAsia="Source Sans 3"/>
          <w:color w:val="000000"/>
          <w:sz w:val="22"/>
          <w:szCs w:val="22"/>
        </w:rPr>
        <w:t>5L bag)</w:t>
      </w:r>
    </w:p>
    <w:p w14:paraId="1B10F690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Severe acidosis (pH &lt; 7.2 &amp; HCO₃⁻ &lt; 10 mmol/L)</w:t>
      </w:r>
    </w:p>
    <w:p w14:paraId="1B10F691" w14:textId="77777777" w:rsidR="0016331D" w:rsidRPr="00EA2B6A" w:rsidRDefault="000C1A1E">
      <w:pPr>
        <w:pStyle w:val="a4"/>
        <w:numPr>
          <w:ilvl w:val="3"/>
          <w:numId w:val="2"/>
        </w:numPr>
        <w:rPr>
          <w:b/>
          <w:bCs/>
        </w:rPr>
      </w:pPr>
      <w:r w:rsidRPr="00EA2B6A">
        <w:rPr>
          <w:rFonts w:eastAsia="Source Sans 3"/>
          <w:b/>
          <w:bCs/>
          <w:color w:val="000000"/>
          <w:sz w:val="22"/>
          <w:szCs w:val="22"/>
        </w:rPr>
        <w:t>Bivon-mixed fluid</w:t>
      </w:r>
    </w:p>
    <w:p w14:paraId="1B10F692" w14:textId="449AEB99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IV: mix bivon appropriately into the main fluid (e.g., 5%DW 1L + </w:t>
      </w:r>
      <w:r w:rsidR="005F2A6B">
        <w:rPr>
          <w:rFonts w:hint="eastAsia"/>
          <w:color w:val="000000"/>
          <w:sz w:val="22"/>
          <w:szCs w:val="22"/>
        </w:rPr>
        <w:t xml:space="preserve">bivon </w:t>
      </w:r>
      <w:r>
        <w:rPr>
          <w:rFonts w:eastAsia="Source Sans 3"/>
          <w:color w:val="000000"/>
          <w:sz w:val="22"/>
          <w:szCs w:val="22"/>
        </w:rPr>
        <w:t>7</w:t>
      </w:r>
      <w:r w:rsidR="006546A9">
        <w:rPr>
          <w:rFonts w:hint="eastAsia"/>
          <w:color w:val="000000"/>
          <w:sz w:val="22"/>
          <w:szCs w:val="22"/>
        </w:rPr>
        <w:t xml:space="preserve"> ampules</w:t>
      </w:r>
      <w:r>
        <w:rPr>
          <w:rFonts w:eastAsia="Source Sans 3"/>
          <w:color w:val="000000"/>
          <w:sz w:val="22"/>
          <w:szCs w:val="22"/>
        </w:rPr>
        <w:t xml:space="preserve"> → Na 140 mmol/L)</w:t>
      </w:r>
    </w:p>
    <w:p w14:paraId="1B10F693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CKRT settings</w:t>
      </w:r>
    </w:p>
    <w:p w14:paraId="1B10F694" w14:textId="1FCA726A" w:rsidR="0016331D" w:rsidRDefault="00BD3381">
      <w:pPr>
        <w:pStyle w:val="a4"/>
        <w:numPr>
          <w:ilvl w:val="4"/>
          <w:numId w:val="2"/>
        </w:numPr>
      </w:pPr>
      <w:r w:rsidRPr="00BD3381">
        <w:rPr>
          <w:rFonts w:eastAsia="Source Sans 3"/>
          <w:color w:val="000000"/>
          <w:sz w:val="22"/>
          <w:szCs w:val="22"/>
        </w:rPr>
        <w:t xml:space="preserve">If there is </w:t>
      </w:r>
      <w:r w:rsidRPr="00EA2B6A">
        <w:rPr>
          <w:rFonts w:eastAsia="Source Sans 3"/>
          <w:b/>
          <w:bCs/>
          <w:color w:val="000000"/>
          <w:sz w:val="22"/>
          <w:szCs w:val="22"/>
        </w:rPr>
        <w:t>no indication for high-dose CKRT</w:t>
      </w:r>
      <w:r w:rsidRPr="00BD3381">
        <w:rPr>
          <w:rFonts w:eastAsia="Source Sans 3"/>
          <w:color w:val="000000"/>
          <w:sz w:val="22"/>
          <w:szCs w:val="22"/>
        </w:rPr>
        <w:t xml:space="preserve"> other than metabolic acidosis</w:t>
      </w:r>
    </w:p>
    <w:p w14:paraId="1B10F695" w14:textId="77777777" w:rsidR="0016331D" w:rsidRDefault="000C1A1E">
      <w:pPr>
        <w:pStyle w:val="a4"/>
        <w:numPr>
          <w:ilvl w:val="5"/>
          <w:numId w:val="2"/>
        </w:numPr>
      </w:pPr>
      <w:r w:rsidRPr="00EA2B6A">
        <w:rPr>
          <w:rFonts w:eastAsia="Source Sans 3"/>
          <w:b/>
          <w:bCs/>
          <w:color w:val="000000"/>
          <w:sz w:val="22"/>
          <w:szCs w:val="22"/>
        </w:rPr>
        <w:t>First mix bivon</w:t>
      </w:r>
      <w:r>
        <w:rPr>
          <w:rFonts w:eastAsia="Source Sans 3"/>
          <w:color w:val="000000"/>
          <w:sz w:val="22"/>
          <w:szCs w:val="22"/>
        </w:rPr>
        <w:t xml:space="preserve"> (up to a maximum of 3.5A per 5L CKRT bag)</w:t>
      </w:r>
    </w:p>
    <w:p w14:paraId="1B10F696" w14:textId="77777777" w:rsidR="0016331D" w:rsidRDefault="000C1A1E">
      <w:pPr>
        <w:pStyle w:val="a4"/>
        <w:numPr>
          <w:ilvl w:val="5"/>
          <w:numId w:val="2"/>
        </w:numPr>
      </w:pPr>
      <w:r>
        <w:rPr>
          <w:rFonts w:eastAsia="Source Sans 3"/>
          <w:color w:val="000000"/>
          <w:sz w:val="22"/>
          <w:szCs w:val="22"/>
        </w:rPr>
        <w:lastRenderedPageBreak/>
        <w:t>If metabolic acidosis does not improve even after bivon mixing, escalate the CKRT dose</w:t>
      </w:r>
    </w:p>
    <w:p w14:paraId="1B10F697" w14:textId="006ECDA9" w:rsidR="0016331D" w:rsidRDefault="005A4A81">
      <w:pPr>
        <w:pStyle w:val="a4"/>
        <w:numPr>
          <w:ilvl w:val="4"/>
          <w:numId w:val="2"/>
        </w:numPr>
      </w:pPr>
      <w:r w:rsidRPr="005A4A81">
        <w:rPr>
          <w:rFonts w:eastAsia="Source Sans 3"/>
          <w:color w:val="000000"/>
          <w:sz w:val="22"/>
          <w:szCs w:val="22"/>
        </w:rPr>
        <w:t xml:space="preserve">If there is another </w:t>
      </w:r>
      <w:r w:rsidRPr="00EA2B6A">
        <w:rPr>
          <w:rFonts w:eastAsia="Source Sans 3"/>
          <w:b/>
          <w:bCs/>
          <w:color w:val="000000"/>
          <w:sz w:val="22"/>
          <w:szCs w:val="22"/>
        </w:rPr>
        <w:t>indication for high-dose CKRT</w:t>
      </w:r>
      <w:r w:rsidRPr="005A4A81">
        <w:rPr>
          <w:rFonts w:eastAsia="Source Sans 3"/>
          <w:color w:val="000000"/>
          <w:sz w:val="22"/>
          <w:szCs w:val="22"/>
        </w:rPr>
        <w:t xml:space="preserve"> in addition to metabolic acidosis</w:t>
      </w:r>
    </w:p>
    <w:p w14:paraId="1B10F698" w14:textId="1E79920C" w:rsidR="0016331D" w:rsidRPr="00EA2B6A" w:rsidRDefault="005A4A81">
      <w:pPr>
        <w:pStyle w:val="a4"/>
        <w:numPr>
          <w:ilvl w:val="5"/>
          <w:numId w:val="2"/>
        </w:numPr>
        <w:rPr>
          <w:b/>
          <w:bCs/>
        </w:rPr>
      </w:pPr>
      <w:r w:rsidRPr="00EA2B6A">
        <w:rPr>
          <w:rFonts w:hint="eastAsia"/>
          <w:b/>
          <w:bCs/>
          <w:color w:val="000000"/>
          <w:sz w:val="22"/>
          <w:szCs w:val="22"/>
        </w:rPr>
        <w:t>Increase</w:t>
      </w:r>
      <w:r w:rsidRPr="00EA2B6A">
        <w:rPr>
          <w:rFonts w:eastAsia="Source Sans 3"/>
          <w:b/>
          <w:bCs/>
          <w:color w:val="000000"/>
          <w:sz w:val="22"/>
          <w:szCs w:val="22"/>
        </w:rPr>
        <w:t xml:space="preserve"> the CKRT dose up to 80 mL/kg/hr</w:t>
      </w:r>
    </w:p>
    <w:p w14:paraId="1B10F699" w14:textId="2AC43F19" w:rsidR="0016331D" w:rsidRDefault="007E738A">
      <w:pPr>
        <w:pStyle w:val="a4"/>
        <w:numPr>
          <w:ilvl w:val="2"/>
          <w:numId w:val="2"/>
        </w:numPr>
      </w:pPr>
      <w:r w:rsidRPr="007E738A">
        <w:rPr>
          <w:rFonts w:eastAsia="Source Sans 3"/>
          <w:b/>
          <w:bCs/>
          <w:color w:val="000000"/>
          <w:sz w:val="24"/>
          <w:szCs w:val="24"/>
        </w:rPr>
        <w:t>Management after improvement of metabolic acidosis</w:t>
      </w:r>
    </w:p>
    <w:p w14:paraId="1B10F69A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Reduce the bivon mixing dose in CKRT fluid: reduce dialysate / pre / post replacement together (3.5A → 2A → 1A)</w:t>
      </w:r>
    </w:p>
    <w:p w14:paraId="1B10F69B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Step 1: when pH &gt; 7.3 and HCO₃⁻ reaches 15 mmol/L → consider reducing bivon</w:t>
      </w:r>
    </w:p>
    <w:p w14:paraId="1B10F69C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Step 2: when pH &gt; 7.3 and HCO₃⁻ ≥ 20 mmol/L is maintained → bivon-free is acceptable</w:t>
      </w:r>
    </w:p>
    <w:p w14:paraId="1B10F69D" w14:textId="77777777" w:rsidR="0016331D" w:rsidRDefault="000C1A1E">
      <w:pPr>
        <w:pStyle w:val="a4"/>
        <w:numPr>
          <w:ilvl w:val="5"/>
          <w:numId w:val="2"/>
        </w:numPr>
      </w:pPr>
      <w:r>
        <w:rPr>
          <w:rFonts w:eastAsia="Source Sans 3"/>
          <w:color w:val="000000"/>
          <w:sz w:val="22"/>
          <w:szCs w:val="22"/>
        </w:rPr>
        <w:t>If it is difficult to convert all three to bivon-free at the same time, switch in the order post → pre → dialysate</w:t>
      </w:r>
    </w:p>
    <w:p w14:paraId="1B10F69E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Reduce CKRT dose</w:t>
      </w:r>
    </w:p>
    <w:p w14:paraId="1B10F69F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Discontinue bivon mixing in the main fluid</w:t>
      </w:r>
    </w:p>
    <w:p w14:paraId="7F8A17B7" w14:textId="77777777" w:rsidR="00837266" w:rsidRDefault="00837266">
      <w:pPr>
        <w:widowControl/>
        <w:wordWrap/>
        <w:autoSpaceDE/>
        <w:autoSpaceDN/>
        <w:rPr>
          <w:rFonts w:eastAsia="Source Sans 3"/>
          <w:b/>
          <w:bCs/>
          <w:color w:val="1428A0"/>
          <w:sz w:val="32"/>
          <w:szCs w:val="32"/>
        </w:rPr>
      </w:pPr>
      <w:r>
        <w:rPr>
          <w:rFonts w:eastAsia="Source Sans 3"/>
          <w:b/>
          <w:bCs/>
          <w:color w:val="1428A0"/>
          <w:sz w:val="32"/>
          <w:szCs w:val="32"/>
        </w:rPr>
        <w:br w:type="page"/>
      </w:r>
    </w:p>
    <w:p w14:paraId="1B10F6A0" w14:textId="0AB291A5" w:rsidR="0016331D" w:rsidRPr="00837266" w:rsidRDefault="000C1A1E">
      <w:pPr>
        <w:pStyle w:val="a4"/>
        <w:numPr>
          <w:ilvl w:val="0"/>
          <w:numId w:val="2"/>
        </w:numPr>
        <w:rPr>
          <w:caps/>
        </w:rPr>
      </w:pPr>
      <w:r w:rsidRPr="00837266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CKRT Discontinuation</w:t>
      </w:r>
    </w:p>
    <w:p w14:paraId="1B10F6A1" w14:textId="36D8A1EA" w:rsidR="0016331D" w:rsidRDefault="00C934C1">
      <w:pPr>
        <w:pStyle w:val="a4"/>
        <w:numPr>
          <w:ilvl w:val="1"/>
          <w:numId w:val="2"/>
        </w:numPr>
      </w:pPr>
      <w:r>
        <w:rPr>
          <w:rFonts w:hint="eastAsia"/>
          <w:b/>
          <w:bCs/>
          <w:color w:val="0A4BFF"/>
          <w:sz w:val="28"/>
          <w:szCs w:val="28"/>
        </w:rPr>
        <w:t>General C</w:t>
      </w:r>
      <w:r>
        <w:rPr>
          <w:rFonts w:eastAsia="Source Sans 3"/>
          <w:b/>
          <w:bCs/>
          <w:color w:val="0A4BFF"/>
          <w:sz w:val="28"/>
          <w:szCs w:val="28"/>
        </w:rPr>
        <w:t>onsiderations</w:t>
      </w:r>
    </w:p>
    <w:p w14:paraId="1B10F6A2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CKRT discontinuation is determined by comprehensive assessment of multiple parameters, including the degree of renal recovery (increased urine output, improvement of uremia: decrease in BUN and serum Cr), improvement of hyperkalemia, and the patient's overall condition (volume status, hemodynamic stability, use of nephrotoxic drugs, fluid input, etc.).</w:t>
      </w:r>
    </w:p>
    <w:p w14:paraId="1B10F6A3" w14:textId="77777777" w:rsidR="0016331D" w:rsidRDefault="000C1A1E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>Decision to Discontinue</w:t>
      </w:r>
    </w:p>
    <w:p w14:paraId="1B10F6A4" w14:textId="51535E73" w:rsidR="0016331D" w:rsidRPr="00ED3078" w:rsidRDefault="000C1A1E">
      <w:pPr>
        <w:pStyle w:val="a4"/>
        <w:numPr>
          <w:ilvl w:val="2"/>
          <w:numId w:val="2"/>
        </w:numPr>
      </w:pPr>
      <w:r w:rsidRPr="00171E18">
        <w:rPr>
          <w:rFonts w:eastAsia="Source Sans 3"/>
          <w:b/>
          <w:bCs/>
          <w:color w:val="000000"/>
          <w:sz w:val="24"/>
          <w:szCs w:val="24"/>
        </w:rPr>
        <w:t>CKRT discontinuation</w:t>
      </w:r>
      <w:r w:rsidRPr="00ED3078">
        <w:rPr>
          <w:rFonts w:eastAsia="Source Sans 3"/>
          <w:color w:val="000000"/>
          <w:sz w:val="24"/>
          <w:szCs w:val="24"/>
        </w:rPr>
        <w:t xml:space="preserve"> may be considered </w:t>
      </w:r>
      <w:r w:rsidRPr="00171E18">
        <w:rPr>
          <w:rFonts w:eastAsia="Source Sans 3"/>
          <w:b/>
          <w:bCs/>
          <w:color w:val="000000"/>
          <w:sz w:val="24"/>
          <w:szCs w:val="24"/>
        </w:rPr>
        <w:t>if all of the following are met</w:t>
      </w:r>
      <w:r w:rsidRPr="00ED3078">
        <w:rPr>
          <w:rFonts w:eastAsia="Source Sans 3"/>
          <w:color w:val="000000"/>
          <w:sz w:val="24"/>
          <w:szCs w:val="24"/>
        </w:rPr>
        <w:t xml:space="preserve">, but the final decision and timing of discontinuation should be made in consultation with the </w:t>
      </w:r>
      <w:r w:rsidR="00EC3C0C" w:rsidRPr="00ED3078">
        <w:rPr>
          <w:rFonts w:eastAsia="Source Sans 3"/>
          <w:color w:val="000000"/>
          <w:sz w:val="24"/>
          <w:szCs w:val="24"/>
        </w:rPr>
        <w:t>nephrology fellow responsible for CKRT</w:t>
      </w:r>
      <w:r w:rsidRPr="00ED3078">
        <w:rPr>
          <w:rFonts w:eastAsia="Source Sans 3"/>
          <w:color w:val="000000"/>
          <w:sz w:val="24"/>
          <w:szCs w:val="24"/>
        </w:rPr>
        <w:t>:</w:t>
      </w:r>
    </w:p>
    <w:p w14:paraId="1B10F6A5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Euvolemic status</w:t>
      </w:r>
    </w:p>
    <w:p w14:paraId="1B10F6A6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Stable acid-base and electrolyte status</w:t>
      </w:r>
    </w:p>
    <w:p w14:paraId="1B10F6A7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No excessive metabolic demand</w:t>
      </w:r>
    </w:p>
    <w:p w14:paraId="1B10F6A8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No need for aggressive fluid therapy or large-volume transfusion</w:t>
      </w:r>
    </w:p>
    <w:p w14:paraId="1B10F6A9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Minimal use or no use of vasopressors or inotropes</w:t>
      </w:r>
    </w:p>
    <w:p w14:paraId="1B10F6AA" w14:textId="4B12C53B" w:rsidR="0016331D" w:rsidRPr="00171E18" w:rsidRDefault="000B1107">
      <w:pPr>
        <w:pStyle w:val="a4"/>
        <w:numPr>
          <w:ilvl w:val="2"/>
          <w:numId w:val="2"/>
        </w:numPr>
      </w:pPr>
      <w:r w:rsidRPr="00171E18">
        <w:rPr>
          <w:rFonts w:eastAsia="Source Sans 3"/>
          <w:color w:val="000000"/>
          <w:sz w:val="24"/>
          <w:szCs w:val="24"/>
        </w:rPr>
        <w:t xml:space="preserve">If the above conditions are met, </w:t>
      </w:r>
      <w:r w:rsidRPr="00171E18">
        <w:rPr>
          <w:rFonts w:eastAsia="Source Sans 3"/>
          <w:b/>
          <w:bCs/>
          <w:color w:val="000000"/>
          <w:sz w:val="24"/>
          <w:szCs w:val="24"/>
        </w:rPr>
        <w:t>discontinuation of dialysis may be further considered</w:t>
      </w:r>
      <w:r w:rsidRPr="00171E18">
        <w:rPr>
          <w:rFonts w:eastAsia="Source Sans 3"/>
          <w:color w:val="000000"/>
          <w:sz w:val="24"/>
          <w:szCs w:val="24"/>
        </w:rPr>
        <w:t xml:space="preserve"> in the following situation:</w:t>
      </w:r>
    </w:p>
    <w:p w14:paraId="1B10F6AB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Urine output &gt; 60 mL/hr or &gt; 400 mL/day without diuretic use</w:t>
      </w:r>
    </w:p>
    <w:p w14:paraId="6A44B13C" w14:textId="77777777" w:rsidR="004276CD" w:rsidRDefault="004276CD">
      <w:pPr>
        <w:widowControl/>
        <w:wordWrap/>
        <w:autoSpaceDE/>
        <w:autoSpaceDN/>
        <w:rPr>
          <w:rFonts w:eastAsia="Source Sans 3"/>
          <w:b/>
          <w:bCs/>
          <w:color w:val="1428A0"/>
          <w:sz w:val="32"/>
          <w:szCs w:val="32"/>
        </w:rPr>
      </w:pPr>
      <w:r>
        <w:rPr>
          <w:rFonts w:eastAsia="Source Sans 3"/>
          <w:b/>
          <w:bCs/>
          <w:color w:val="1428A0"/>
          <w:sz w:val="32"/>
          <w:szCs w:val="32"/>
        </w:rPr>
        <w:br w:type="page"/>
      </w:r>
    </w:p>
    <w:p w14:paraId="1B10F6AC" w14:textId="733F9BB0" w:rsidR="0016331D" w:rsidRPr="004276CD" w:rsidRDefault="000C1A1E">
      <w:pPr>
        <w:pStyle w:val="a4"/>
        <w:numPr>
          <w:ilvl w:val="0"/>
          <w:numId w:val="2"/>
        </w:numPr>
        <w:rPr>
          <w:caps/>
        </w:rPr>
      </w:pPr>
      <w:r w:rsidRPr="004276CD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Anticoagulation for CKRT</w:t>
      </w:r>
    </w:p>
    <w:p w14:paraId="1B10F6AD" w14:textId="77777777" w:rsidR="0016331D" w:rsidRDefault="000C1A1E">
      <w:pPr>
        <w:pStyle w:val="a4"/>
        <w:numPr>
          <w:ilvl w:val="1"/>
          <w:numId w:val="2"/>
        </w:numPr>
      </w:pPr>
      <w:r>
        <w:rPr>
          <w:rFonts w:eastAsia="Source Sans 3"/>
          <w:b/>
          <w:bCs/>
          <w:color w:val="0A4BFF"/>
          <w:sz w:val="28"/>
          <w:szCs w:val="28"/>
        </w:rPr>
        <w:t>General Considerations</w:t>
      </w:r>
    </w:p>
    <w:p w14:paraId="1B10F6AE" w14:textId="7112A1CA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If the CKRT filter is maintained for ≥ 24 hours: </w:t>
      </w:r>
      <w:r w:rsidR="00E27124" w:rsidRPr="00E27124">
        <w:rPr>
          <w:rFonts w:eastAsia="Source Sans 3"/>
          <w:color w:val="000000"/>
          <w:sz w:val="22"/>
          <w:szCs w:val="22"/>
        </w:rPr>
        <w:t>CKRT may be performed without anticoagulation</w:t>
      </w:r>
    </w:p>
    <w:p w14:paraId="1B10F6AF" w14:textId="78057C13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If the CKRT filter is maintained for &lt; 24 hours: anticoagulation</w:t>
      </w:r>
      <w:r w:rsidR="004615BA">
        <w:rPr>
          <w:rFonts w:hint="eastAsia"/>
          <w:color w:val="000000"/>
          <w:sz w:val="22"/>
          <w:szCs w:val="22"/>
        </w:rPr>
        <w:t xml:space="preserve"> should be considered</w:t>
      </w:r>
    </w:p>
    <w:p w14:paraId="1B10F6B0" w14:textId="77777777" w:rsidR="0016331D" w:rsidRDefault="000C1A1E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>Futhan (Nafamostat Mesilate) Protocol</w:t>
      </w:r>
    </w:p>
    <w:p w14:paraId="1B10F6B1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Indications</w:t>
      </w:r>
    </w:p>
    <w:p w14:paraId="1B10F6B2" w14:textId="0D8FB0DE" w:rsidR="0016331D" w:rsidRDefault="000C1A1E">
      <w:pPr>
        <w:spacing w:line="276" w:lineRule="auto"/>
        <w:ind w:left="566"/>
      </w:pPr>
      <w:r w:rsidRPr="0079013A">
        <w:rPr>
          <w:rFonts w:eastAsia="Source Sans 3"/>
          <w:b/>
          <w:bCs/>
          <w:color w:val="000000"/>
          <w:sz w:val="22"/>
          <w:szCs w:val="22"/>
        </w:rPr>
        <w:t>Cases in which heparin cannot be used due to bleeding tendency</w:t>
      </w:r>
      <w:r>
        <w:rPr>
          <w:rFonts w:eastAsia="Source Sans 3"/>
          <w:color w:val="000000"/>
          <w:sz w:val="22"/>
          <w:szCs w:val="22"/>
        </w:rPr>
        <w:t xml:space="preserve"> (</w:t>
      </w:r>
      <w:r w:rsidR="000E295C" w:rsidRPr="000E295C">
        <w:rPr>
          <w:rFonts w:eastAsia="Source Sans 3"/>
          <w:color w:val="000000"/>
          <w:sz w:val="22"/>
          <w:szCs w:val="22"/>
        </w:rPr>
        <w:t>if any of the following are present)</w:t>
      </w:r>
      <w:r>
        <w:rPr>
          <w:rFonts w:eastAsia="Source Sans 3"/>
          <w:color w:val="000000"/>
          <w:sz w:val="22"/>
          <w:szCs w:val="22"/>
        </w:rPr>
        <w:t>:</w:t>
      </w:r>
    </w:p>
    <w:p w14:paraId="1B10F6B3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Platelets &lt; 100,000/µL</w:t>
      </w:r>
    </w:p>
    <w:p w14:paraId="1B10F6B4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Activated partial thromboplastin time (aPTT) &gt; 60 seconds</w:t>
      </w:r>
    </w:p>
    <w:p w14:paraId="1B10F6B5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Prothrombin time–international normalized ratio (PT–INR) &gt; 2.0</w:t>
      </w:r>
    </w:p>
    <w:p w14:paraId="1B10F6B6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Active hemorrhage</w:t>
      </w:r>
    </w:p>
    <w:p w14:paraId="1B10F6B7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Major surgery within the past 7–14 days</w:t>
      </w:r>
    </w:p>
    <w:p w14:paraId="1B10F6B8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Cerebral hemorrhage within the past 3 months or history of major cerebral bleeding</w:t>
      </w:r>
    </w:p>
    <w:p w14:paraId="1B10F6B9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Septic shock or disseminated intravascular coagulation (DIC)</w:t>
      </w:r>
    </w:p>
    <w:p w14:paraId="1B10F6BA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Preparation</w:t>
      </w:r>
    </w:p>
    <w:p w14:paraId="1B10F6BB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PrismaFlex: 5%DW 20 cc + Futhan 200 mg (10 mg/cc)</w:t>
      </w:r>
    </w:p>
    <w:p w14:paraId="1B10F6BC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PrisMax: 5%DW 40 cc + Futhan 200 mg (5 mg/cc)</w:t>
      </w:r>
    </w:p>
    <w:p w14:paraId="1B10F6BD" w14:textId="0EB0E3E3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 xml:space="preserve">Dosing: start and maintain Futhan according to the following ACT </w:t>
      </w:r>
      <w:r w:rsidR="0068614E">
        <w:rPr>
          <w:rFonts w:hint="eastAsia"/>
          <w:b/>
          <w:bCs/>
          <w:color w:val="000000"/>
          <w:sz w:val="24"/>
          <w:szCs w:val="24"/>
        </w:rPr>
        <w:t>values</w:t>
      </w:r>
    </w:p>
    <w:p w14:paraId="1B10F6BE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ACT ≤ 150: 30 mg/hr</w:t>
      </w:r>
    </w:p>
    <w:p w14:paraId="1B10F6BF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ACT 151–200: 20 mg/hr</w:t>
      </w:r>
    </w:p>
    <w:p w14:paraId="1B10F6C0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ACT 201–250: 10 mg/hr</w:t>
      </w:r>
    </w:p>
    <w:p w14:paraId="1B10F6C1" w14:textId="022097B0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 xml:space="preserve">ACT ≥ 251: discontinue Futhan; recheck ACT after 4 hours and </w:t>
      </w:r>
      <w:r w:rsidR="00402F0A" w:rsidRPr="00402F0A">
        <w:rPr>
          <w:rFonts w:eastAsia="Source Sans 3"/>
          <w:color w:val="000000"/>
          <w:sz w:val="22"/>
          <w:szCs w:val="22"/>
        </w:rPr>
        <w:t>determine further management</w:t>
      </w:r>
    </w:p>
    <w:p w14:paraId="1B10F6C2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ACT follow-up</w:t>
      </w:r>
    </w:p>
    <w:p w14:paraId="1B10F6C3" w14:textId="497528C0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Day 1 (initiation day): </w:t>
      </w:r>
      <w:r w:rsidR="00B36B10">
        <w:rPr>
          <w:rFonts w:hint="eastAsia"/>
          <w:color w:val="000000"/>
          <w:sz w:val="22"/>
          <w:szCs w:val="22"/>
        </w:rPr>
        <w:t xml:space="preserve">draw </w:t>
      </w:r>
      <w:r>
        <w:rPr>
          <w:rFonts w:eastAsia="Source Sans 3"/>
          <w:color w:val="000000"/>
          <w:sz w:val="22"/>
          <w:szCs w:val="22"/>
        </w:rPr>
        <w:t xml:space="preserve">blood 4 hours after </w:t>
      </w:r>
      <w:r w:rsidR="00B36B10">
        <w:rPr>
          <w:rFonts w:hint="eastAsia"/>
          <w:color w:val="000000"/>
          <w:sz w:val="22"/>
          <w:szCs w:val="22"/>
        </w:rPr>
        <w:t>initiation</w:t>
      </w:r>
    </w:p>
    <w:p w14:paraId="1B10F6C4" w14:textId="0A76273A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From day 2 onward: </w:t>
      </w:r>
      <w:r w:rsidR="00160216">
        <w:rPr>
          <w:rFonts w:hint="eastAsia"/>
          <w:color w:val="000000"/>
          <w:sz w:val="22"/>
          <w:szCs w:val="22"/>
        </w:rPr>
        <w:t xml:space="preserve">check </w:t>
      </w:r>
      <w:r>
        <w:rPr>
          <w:rFonts w:eastAsia="Source Sans 3"/>
          <w:color w:val="000000"/>
          <w:sz w:val="22"/>
          <w:szCs w:val="22"/>
        </w:rPr>
        <w:t>once daily (every 24 hours)</w:t>
      </w:r>
    </w:p>
    <w:p w14:paraId="1B10F6C5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When the Futhan dose is increased: follow-up ACT after 4 hours</w:t>
      </w:r>
    </w:p>
    <w:p w14:paraId="1B10F6C6" w14:textId="7777777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When the Futhan dose is reduced: follow-up ACT the next day</w:t>
      </w:r>
    </w:p>
    <w:p w14:paraId="1B10F6C7" w14:textId="77777777" w:rsidR="0016331D" w:rsidRDefault="000C1A1E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>Heparin Protocol</w:t>
      </w:r>
    </w:p>
    <w:p w14:paraId="1B10F6C8" w14:textId="22E98BE8" w:rsidR="0016331D" w:rsidRPr="006C54E5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lastRenderedPageBreak/>
        <w:t xml:space="preserve">Indications: </w:t>
      </w:r>
      <w:r w:rsidRPr="006C54E5">
        <w:rPr>
          <w:rFonts w:eastAsia="Source Sans 3"/>
          <w:color w:val="000000"/>
          <w:sz w:val="24"/>
          <w:szCs w:val="24"/>
        </w:rPr>
        <w:t xml:space="preserve">when </w:t>
      </w:r>
      <w:r w:rsidR="00611A28">
        <w:rPr>
          <w:rFonts w:hint="eastAsia"/>
          <w:color w:val="000000"/>
          <w:sz w:val="24"/>
          <w:szCs w:val="24"/>
        </w:rPr>
        <w:t>f</w:t>
      </w:r>
      <w:r w:rsidRPr="006C54E5">
        <w:rPr>
          <w:rFonts w:eastAsia="Source Sans 3"/>
          <w:color w:val="000000"/>
          <w:sz w:val="24"/>
          <w:szCs w:val="24"/>
        </w:rPr>
        <w:t xml:space="preserve">uthan is not indicated, or when </w:t>
      </w:r>
      <w:r w:rsidRPr="006C54E5">
        <w:rPr>
          <w:rFonts w:eastAsia="Source Sans 3"/>
          <w:b/>
          <w:bCs/>
          <w:color w:val="000000"/>
          <w:sz w:val="24"/>
          <w:szCs w:val="24"/>
        </w:rPr>
        <w:t>bleeding risk is judged to be low</w:t>
      </w:r>
    </w:p>
    <w:p w14:paraId="1B10F6C9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Target: venous aPTT</w:t>
      </w:r>
    </w:p>
    <w:p w14:paraId="1B10F6CA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Tight heparin: 45–60 seconds</w:t>
      </w:r>
    </w:p>
    <w:p w14:paraId="1B10F6CB" w14:textId="77777777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Regular heparin: 60–90 seconds</w:t>
      </w:r>
    </w:p>
    <w:p w14:paraId="1B10F6CC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Dosing</w:t>
      </w:r>
    </w:p>
    <w:p w14:paraId="1B10F6CD" w14:textId="37A43A85" w:rsidR="0016331D" w:rsidRDefault="002C239F">
      <w:pPr>
        <w:pStyle w:val="a4"/>
        <w:numPr>
          <w:ilvl w:val="3"/>
          <w:numId w:val="2"/>
        </w:numPr>
      </w:pPr>
      <w:r w:rsidRPr="002C239F">
        <w:rPr>
          <w:rFonts w:eastAsia="Source Sans 3"/>
          <w:color w:val="000000"/>
          <w:sz w:val="22"/>
          <w:szCs w:val="22"/>
        </w:rPr>
        <w:t>Administer a loading dose of 1,000–2,000 IU</w:t>
      </w:r>
    </w:p>
    <w:p w14:paraId="1B10F6CE" w14:textId="77777777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Then start continuous infusion at 5–10 IU/kg/hr (NS 20 mL + heparin 2000 U)</w:t>
      </w:r>
    </w:p>
    <w:p w14:paraId="1B10F6CF" w14:textId="44BDE4B3" w:rsidR="0016331D" w:rsidRDefault="000C1A1E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Check aPTT every 6 hours</w:t>
      </w:r>
      <w:r w:rsidR="00EC2107">
        <w:rPr>
          <w:rFonts w:hint="eastAsia"/>
          <w:color w:val="000000"/>
          <w:sz w:val="22"/>
          <w:szCs w:val="22"/>
        </w:rPr>
        <w:t xml:space="preserve">. </w:t>
      </w:r>
      <w:r w:rsidR="00EC2107" w:rsidRPr="00EC2107">
        <w:rPr>
          <w:color w:val="000000"/>
          <w:sz w:val="22"/>
          <w:szCs w:val="22"/>
        </w:rPr>
        <w:t>If the aPTT is outside the target range:</w:t>
      </w:r>
    </w:p>
    <w:p w14:paraId="1B10F6D0" w14:textId="535F64A7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If </w:t>
      </w:r>
      <w:r w:rsidR="007B5D20">
        <w:rPr>
          <w:rFonts w:hint="eastAsia"/>
          <w:color w:val="000000"/>
          <w:sz w:val="22"/>
          <w:szCs w:val="22"/>
        </w:rPr>
        <w:t>below</w:t>
      </w:r>
      <w:r>
        <w:rPr>
          <w:rFonts w:eastAsia="Source Sans 3"/>
          <w:color w:val="000000"/>
          <w:sz w:val="22"/>
          <w:szCs w:val="22"/>
        </w:rPr>
        <w:t xml:space="preserve"> target: increase the infusion rate by 1 mL (100 U)/hr</w:t>
      </w:r>
    </w:p>
    <w:p w14:paraId="1B10F6D1" w14:textId="24407C70" w:rsidR="0016331D" w:rsidRDefault="000C1A1E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If </w:t>
      </w:r>
      <w:r w:rsidR="007B5D20">
        <w:rPr>
          <w:rFonts w:hint="eastAsia"/>
          <w:color w:val="000000"/>
          <w:sz w:val="22"/>
          <w:szCs w:val="22"/>
        </w:rPr>
        <w:t>above</w:t>
      </w:r>
      <w:r>
        <w:rPr>
          <w:rFonts w:eastAsia="Source Sans 3"/>
          <w:color w:val="000000"/>
          <w:sz w:val="22"/>
          <w:szCs w:val="22"/>
        </w:rPr>
        <w:t xml:space="preserve"> target: decrease the infusion rate by 1 mL (100 U)/hr</w:t>
      </w:r>
    </w:p>
    <w:p w14:paraId="6D472EF1" w14:textId="77777777" w:rsidR="007B5D20" w:rsidRDefault="007B5D20">
      <w:pPr>
        <w:widowControl/>
        <w:wordWrap/>
        <w:autoSpaceDE/>
        <w:autoSpaceDN/>
        <w:rPr>
          <w:rFonts w:eastAsia="Source Sans 3"/>
          <w:b/>
          <w:bCs/>
          <w:color w:val="1428A0"/>
          <w:sz w:val="32"/>
          <w:szCs w:val="32"/>
        </w:rPr>
      </w:pPr>
      <w:r>
        <w:rPr>
          <w:rFonts w:eastAsia="Source Sans 3"/>
          <w:b/>
          <w:bCs/>
          <w:color w:val="1428A0"/>
          <w:sz w:val="32"/>
          <w:szCs w:val="32"/>
        </w:rPr>
        <w:br w:type="page"/>
      </w:r>
    </w:p>
    <w:p w14:paraId="1B10F6D2" w14:textId="58F294E6" w:rsidR="0016331D" w:rsidRPr="004858B8" w:rsidRDefault="000C1A1E">
      <w:pPr>
        <w:pStyle w:val="a4"/>
        <w:numPr>
          <w:ilvl w:val="0"/>
          <w:numId w:val="2"/>
        </w:numPr>
        <w:rPr>
          <w:caps/>
        </w:rPr>
      </w:pPr>
      <w:r w:rsidRPr="004858B8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ECMO-CKRT Connection</w:t>
      </w:r>
    </w:p>
    <w:p w14:paraId="1B10F6D3" w14:textId="77777777" w:rsidR="0016331D" w:rsidRDefault="000C1A1E">
      <w:pPr>
        <w:pStyle w:val="a4"/>
        <w:numPr>
          <w:ilvl w:val="1"/>
          <w:numId w:val="2"/>
        </w:numPr>
      </w:pPr>
      <w:r>
        <w:rPr>
          <w:rFonts w:eastAsia="Source Sans 3"/>
          <w:b/>
          <w:bCs/>
          <w:color w:val="0A4BFF"/>
          <w:sz w:val="28"/>
          <w:szCs w:val="28"/>
        </w:rPr>
        <w:t>Vascular Access</w:t>
      </w:r>
    </w:p>
    <w:p w14:paraId="7CA90E4F" w14:textId="77777777" w:rsidR="004858B8" w:rsidRPr="004858B8" w:rsidRDefault="004858B8">
      <w:pPr>
        <w:pStyle w:val="a4"/>
        <w:numPr>
          <w:ilvl w:val="2"/>
          <w:numId w:val="2"/>
        </w:numPr>
      </w:pPr>
      <w:r>
        <w:rPr>
          <w:rFonts w:hint="eastAsia"/>
          <w:b/>
          <w:bCs/>
          <w:color w:val="000000"/>
          <w:sz w:val="24"/>
          <w:szCs w:val="24"/>
        </w:rPr>
        <w:t>General principle</w:t>
      </w:r>
    </w:p>
    <w:p w14:paraId="1B10F6D4" w14:textId="6B767E3E" w:rsidR="0016331D" w:rsidRPr="004858B8" w:rsidRDefault="004D74BA" w:rsidP="004858B8">
      <w:pPr>
        <w:pStyle w:val="a4"/>
        <w:numPr>
          <w:ilvl w:val="4"/>
          <w:numId w:val="2"/>
        </w:numPr>
        <w:ind w:left="908" w:hanging="284"/>
        <w:rPr>
          <w:sz w:val="18"/>
          <w:szCs w:val="18"/>
        </w:rPr>
      </w:pPr>
      <w:r w:rsidRPr="004D74BA">
        <w:rPr>
          <w:rFonts w:eastAsia="Source Sans 3"/>
          <w:color w:val="000000"/>
          <w:sz w:val="22"/>
          <w:szCs w:val="22"/>
        </w:rPr>
        <w:t>In patients receiving ECMO,</w:t>
      </w:r>
      <w:r w:rsidRPr="004858B8">
        <w:rPr>
          <w:rFonts w:eastAsia="Source Sans 3"/>
          <w:color w:val="000000"/>
          <w:sz w:val="22"/>
          <w:szCs w:val="22"/>
        </w:rPr>
        <w:t xml:space="preserve"> </w:t>
      </w:r>
      <w:r w:rsidRPr="00393F00">
        <w:rPr>
          <w:rFonts w:eastAsia="Source Sans 3"/>
          <w:b/>
          <w:bCs/>
          <w:color w:val="000000"/>
          <w:sz w:val="22"/>
          <w:szCs w:val="22"/>
        </w:rPr>
        <w:t>the ECMO circuit is used as the basic CKRT vascular access</w:t>
      </w:r>
    </w:p>
    <w:p w14:paraId="1B10F6D5" w14:textId="27CB9D25" w:rsidR="0016331D" w:rsidRDefault="00503961">
      <w:pPr>
        <w:pStyle w:val="a4"/>
        <w:numPr>
          <w:ilvl w:val="2"/>
          <w:numId w:val="2"/>
        </w:numPr>
      </w:pPr>
      <w:r w:rsidRPr="00503961">
        <w:rPr>
          <w:rFonts w:eastAsia="Source Sans 3"/>
          <w:b/>
          <w:bCs/>
          <w:color w:val="000000"/>
          <w:sz w:val="24"/>
          <w:szCs w:val="24"/>
        </w:rPr>
        <w:t>Pressure characteristics within the ECMO circuit</w:t>
      </w:r>
    </w:p>
    <w:p w14:paraId="1B10F6D6" w14:textId="19CB32EB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 xml:space="preserve">Pre-pump segment: maintained </w:t>
      </w:r>
      <w:r w:rsidR="00503961">
        <w:rPr>
          <w:rFonts w:hint="eastAsia"/>
          <w:color w:val="000000"/>
          <w:sz w:val="22"/>
          <w:szCs w:val="22"/>
        </w:rPr>
        <w:t>under</w:t>
      </w:r>
      <w:r>
        <w:rPr>
          <w:rFonts w:eastAsia="Source Sans 3"/>
          <w:color w:val="000000"/>
          <w:sz w:val="22"/>
          <w:szCs w:val="22"/>
        </w:rPr>
        <w:t xml:space="preserve"> high negative pressure</w:t>
      </w:r>
    </w:p>
    <w:p w14:paraId="1B10F6D7" w14:textId="6611F26D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 xml:space="preserve">Post-pump segment: maintained </w:t>
      </w:r>
      <w:r w:rsidR="00503961">
        <w:rPr>
          <w:rFonts w:hint="eastAsia"/>
          <w:color w:val="000000"/>
          <w:sz w:val="22"/>
          <w:szCs w:val="22"/>
        </w:rPr>
        <w:t>under</w:t>
      </w:r>
      <w:r>
        <w:rPr>
          <w:rFonts w:eastAsia="Source Sans 3"/>
          <w:color w:val="000000"/>
          <w:sz w:val="22"/>
          <w:szCs w:val="22"/>
        </w:rPr>
        <w:t xml:space="preserve"> high positive pressure</w:t>
      </w:r>
    </w:p>
    <w:p w14:paraId="1B10F6D8" w14:textId="77777777" w:rsidR="0016331D" w:rsidRPr="001149EB" w:rsidRDefault="000C1A1E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>Connection Method</w:t>
      </w:r>
    </w:p>
    <w:p w14:paraId="60AA19F9" w14:textId="1E555C8C" w:rsidR="001149EB" w:rsidRDefault="007F7AAC" w:rsidP="007F7AAC">
      <w:pPr>
        <w:jc w:val="center"/>
      </w:pPr>
      <w:r w:rsidRPr="007F7AAC">
        <w:rPr>
          <w:noProof/>
        </w:rPr>
        <w:drawing>
          <wp:inline distT="0" distB="0" distL="0" distR="0" wp14:anchorId="2FCD321F" wp14:editId="3440CEDD">
            <wp:extent cx="5760720" cy="4256405"/>
            <wp:effectExtent l="0" t="0" r="0" b="0"/>
            <wp:docPr id="102725928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7CC54" w14:textId="7A3ED7D8" w:rsidR="00EC32E1" w:rsidRPr="00EC32E1" w:rsidRDefault="000C1A1E" w:rsidP="00B723BF">
      <w:pPr>
        <w:pStyle w:val="a4"/>
        <w:numPr>
          <w:ilvl w:val="2"/>
          <w:numId w:val="2"/>
        </w:numPr>
        <w:spacing w:before="360"/>
        <w:ind w:left="568" w:hanging="284"/>
      </w:pPr>
      <w:r>
        <w:rPr>
          <w:rFonts w:eastAsia="Source Sans 3"/>
          <w:b/>
          <w:bCs/>
          <w:color w:val="000000"/>
          <w:sz w:val="24"/>
          <w:szCs w:val="24"/>
        </w:rPr>
        <w:t>CKRT line connection</w:t>
      </w:r>
    </w:p>
    <w:p w14:paraId="5674446B" w14:textId="05597676" w:rsidR="003B2C46" w:rsidRDefault="003B2C46" w:rsidP="00EC32E1">
      <w:pPr>
        <w:pStyle w:val="a4"/>
        <w:ind w:left="566"/>
        <w:rPr>
          <w:color w:val="000000"/>
          <w:sz w:val="22"/>
          <w:szCs w:val="22"/>
        </w:rPr>
      </w:pPr>
      <w:r w:rsidRPr="003B2C46">
        <w:rPr>
          <w:color w:val="000000"/>
          <w:sz w:val="22"/>
          <w:szCs w:val="22"/>
        </w:rPr>
        <w:t xml:space="preserve">Connect the CKRT lines to the pre- and post-pump segments of the ECMO circuit, </w:t>
      </w:r>
      <w:r w:rsidR="00156764">
        <w:rPr>
          <w:rFonts w:hint="eastAsia"/>
          <w:color w:val="000000"/>
          <w:sz w:val="22"/>
          <w:szCs w:val="22"/>
        </w:rPr>
        <w:t xml:space="preserve">but </w:t>
      </w:r>
      <w:r w:rsidR="00156764" w:rsidRPr="00431D88">
        <w:rPr>
          <w:rFonts w:hint="eastAsia"/>
          <w:b/>
          <w:bCs/>
          <w:color w:val="000000"/>
          <w:sz w:val="22"/>
          <w:szCs w:val="22"/>
        </w:rPr>
        <w:t xml:space="preserve">not to the </w:t>
      </w:r>
      <w:r w:rsidR="0046628E" w:rsidRPr="00431D88">
        <w:rPr>
          <w:b/>
          <w:bCs/>
          <w:color w:val="000000"/>
          <w:sz w:val="22"/>
          <w:szCs w:val="22"/>
        </w:rPr>
        <w:t>post-oxygenator segment</w:t>
      </w:r>
    </w:p>
    <w:p w14:paraId="1B10F6DA" w14:textId="559DE88E" w:rsidR="0016331D" w:rsidRDefault="000C1A1E">
      <w:pPr>
        <w:pStyle w:val="a4"/>
        <w:numPr>
          <w:ilvl w:val="3"/>
          <w:numId w:val="2"/>
        </w:numPr>
      </w:pPr>
      <w:r w:rsidRPr="00836AB8">
        <w:rPr>
          <w:rFonts w:eastAsia="Source Sans 3"/>
          <w:b/>
          <w:bCs/>
          <w:color w:val="000000"/>
          <w:sz w:val="22"/>
          <w:szCs w:val="22"/>
        </w:rPr>
        <w:t>CKRT venous line (blue)</w:t>
      </w:r>
      <w:r>
        <w:rPr>
          <w:rFonts w:eastAsia="Source Sans 3"/>
          <w:color w:val="000000"/>
          <w:sz w:val="22"/>
          <w:szCs w:val="22"/>
        </w:rPr>
        <w:t xml:space="preserve">: </w:t>
      </w:r>
      <w:r w:rsidR="00E252A5" w:rsidRPr="00E252A5">
        <w:rPr>
          <w:rFonts w:eastAsia="Source Sans 3"/>
          <w:color w:val="000000"/>
          <w:sz w:val="22"/>
          <w:szCs w:val="22"/>
        </w:rPr>
        <w:t xml:space="preserve">connect to the </w:t>
      </w:r>
      <w:r w:rsidR="00E252A5" w:rsidRPr="00836AB8">
        <w:rPr>
          <w:rFonts w:eastAsia="Source Sans 3"/>
          <w:b/>
          <w:bCs/>
          <w:color w:val="000000"/>
          <w:sz w:val="22"/>
          <w:szCs w:val="22"/>
        </w:rPr>
        <w:t>pre-pump</w:t>
      </w:r>
      <w:r w:rsidR="00E252A5" w:rsidRPr="00E252A5">
        <w:rPr>
          <w:rFonts w:eastAsia="Source Sans 3"/>
          <w:color w:val="000000"/>
          <w:sz w:val="22"/>
          <w:szCs w:val="22"/>
        </w:rPr>
        <w:t xml:space="preserve"> cannula</w:t>
      </w:r>
    </w:p>
    <w:p w14:paraId="1B10F6DB" w14:textId="77777777" w:rsidR="0016331D" w:rsidRDefault="000C1A1E">
      <w:pPr>
        <w:pStyle w:val="a4"/>
        <w:numPr>
          <w:ilvl w:val="3"/>
          <w:numId w:val="2"/>
        </w:numPr>
      </w:pPr>
      <w:r w:rsidRPr="00836AB8">
        <w:rPr>
          <w:rFonts w:eastAsia="Source Sans 3"/>
          <w:b/>
          <w:bCs/>
          <w:color w:val="000000"/>
          <w:sz w:val="22"/>
          <w:szCs w:val="22"/>
        </w:rPr>
        <w:t>CKRT arterial line (red)</w:t>
      </w:r>
      <w:r>
        <w:rPr>
          <w:rFonts w:eastAsia="Source Sans 3"/>
          <w:color w:val="000000"/>
          <w:sz w:val="22"/>
          <w:szCs w:val="22"/>
        </w:rPr>
        <w:t xml:space="preserve">: connect to the cannula </w:t>
      </w:r>
      <w:r w:rsidRPr="00836AB8">
        <w:rPr>
          <w:rFonts w:eastAsia="Source Sans 3"/>
          <w:b/>
          <w:bCs/>
          <w:color w:val="000000"/>
          <w:sz w:val="22"/>
          <w:szCs w:val="22"/>
        </w:rPr>
        <w:t>between the pump and the oxygenator</w:t>
      </w:r>
      <w:r>
        <w:rPr>
          <w:rFonts w:eastAsia="Source Sans 3"/>
          <w:color w:val="000000"/>
          <w:sz w:val="22"/>
          <w:szCs w:val="22"/>
        </w:rPr>
        <w:t xml:space="preserve"> (post-pump, pre-oxygenator)</w:t>
      </w:r>
    </w:p>
    <w:p w14:paraId="038AD062" w14:textId="2A091307" w:rsidR="00852AE9" w:rsidRPr="00852AE9" w:rsidRDefault="00852AE9">
      <w:pPr>
        <w:pStyle w:val="a4"/>
        <w:numPr>
          <w:ilvl w:val="4"/>
          <w:numId w:val="2"/>
        </w:numPr>
      </w:pPr>
      <w:r w:rsidRPr="00852AE9">
        <w:rPr>
          <w:rFonts w:eastAsia="Source Sans 3"/>
          <w:color w:val="000000"/>
          <w:sz w:val="22"/>
          <w:szCs w:val="22"/>
        </w:rPr>
        <w:lastRenderedPageBreak/>
        <w:t>Connection to the post-oxygenator segment generally does not interfere with CKRT device operation. However, it may create a shunt, allowing oxygenated blood exiting the oxygenator to return directly to the ECMO drainage cannula. This may complicate interpretation of ECMO venous blood gas analysis (</w:t>
      </w:r>
      <w:r w:rsidR="009173DC">
        <w:rPr>
          <w:rFonts w:hint="eastAsia"/>
          <w:color w:val="000000"/>
          <w:sz w:val="22"/>
          <w:szCs w:val="22"/>
        </w:rPr>
        <w:t xml:space="preserve">pre-oxygenator </w:t>
      </w:r>
      <w:r w:rsidRPr="00852AE9">
        <w:rPr>
          <w:rFonts w:eastAsia="Source Sans 3"/>
          <w:color w:val="000000"/>
          <w:sz w:val="22"/>
          <w:szCs w:val="22"/>
        </w:rPr>
        <w:t>VBGA); therefore, post-oxygenator connection should be avoided</w:t>
      </w:r>
    </w:p>
    <w:p w14:paraId="1B10F6DD" w14:textId="77777777" w:rsidR="0016331D" w:rsidRDefault="000C1A1E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Extra-line connection</w:t>
      </w:r>
    </w:p>
    <w:p w14:paraId="1B10F6DE" w14:textId="25351F9A" w:rsidR="0016331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 xml:space="preserve">Unlike </w:t>
      </w:r>
      <w:r w:rsidR="00C44998">
        <w:rPr>
          <w:rFonts w:hint="eastAsia"/>
          <w:color w:val="000000"/>
          <w:sz w:val="22"/>
          <w:szCs w:val="22"/>
        </w:rPr>
        <w:t>conventional</w:t>
      </w:r>
      <w:r>
        <w:rPr>
          <w:rFonts w:eastAsia="Source Sans 3"/>
          <w:color w:val="000000"/>
          <w:sz w:val="22"/>
          <w:szCs w:val="22"/>
        </w:rPr>
        <w:t xml:space="preserve"> vascular access, the ECMO pump generates high pressures that frequently trigger alarms and </w:t>
      </w:r>
      <w:r w:rsidR="000B71DD">
        <w:rPr>
          <w:rFonts w:hint="eastAsia"/>
          <w:color w:val="000000"/>
          <w:sz w:val="22"/>
          <w:szCs w:val="22"/>
        </w:rPr>
        <w:t>make</w:t>
      </w:r>
      <w:r>
        <w:rPr>
          <w:rFonts w:eastAsia="Source Sans 3"/>
          <w:color w:val="000000"/>
          <w:sz w:val="22"/>
          <w:szCs w:val="22"/>
        </w:rPr>
        <w:t xml:space="preserve"> CKRT operation</w:t>
      </w:r>
      <w:r w:rsidR="000B71DD">
        <w:rPr>
          <w:rFonts w:hint="eastAsia"/>
          <w:color w:val="000000"/>
          <w:sz w:val="22"/>
          <w:szCs w:val="22"/>
        </w:rPr>
        <w:t xml:space="preserve"> difficult</w:t>
      </w:r>
      <w:r>
        <w:rPr>
          <w:rFonts w:eastAsia="Source Sans 3"/>
          <w:color w:val="000000"/>
          <w:sz w:val="22"/>
          <w:szCs w:val="22"/>
        </w:rPr>
        <w:t xml:space="preserve">. Therefore, </w:t>
      </w:r>
      <w:r w:rsidRPr="005744FE">
        <w:rPr>
          <w:rFonts w:eastAsia="Source Sans 3"/>
          <w:b/>
          <w:bCs/>
          <w:color w:val="000000"/>
          <w:sz w:val="22"/>
          <w:szCs w:val="22"/>
        </w:rPr>
        <w:t>extension lines (extra-lines) are used to lengthen the path and reduce pressure when applying CKRT</w:t>
      </w:r>
    </w:p>
    <w:p w14:paraId="1AB3122F" w14:textId="77777777" w:rsidR="00780DA0" w:rsidRPr="00780DA0" w:rsidRDefault="00780DA0">
      <w:pPr>
        <w:pStyle w:val="a4"/>
        <w:numPr>
          <w:ilvl w:val="4"/>
          <w:numId w:val="2"/>
        </w:numPr>
        <w:ind w:left="908" w:hanging="284"/>
      </w:pPr>
      <w:r w:rsidRPr="00780DA0">
        <w:rPr>
          <w:rFonts w:eastAsia="Source Sans 3"/>
          <w:color w:val="000000"/>
          <w:sz w:val="22"/>
          <w:szCs w:val="22"/>
        </w:rPr>
        <w:t>In general, apply 30 cm extra-lines to both the CKRT venous line and CKRT arterial line to create additional resistance</w:t>
      </w:r>
    </w:p>
    <w:p w14:paraId="41917AE0" w14:textId="0462CFCC" w:rsidR="002B292B" w:rsidRPr="00C73B5D" w:rsidRDefault="000C1A1E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The length of the extra-line can be adjusted to control pressure based on CKRT alarm frequency and ECMO blood flow rate / RPM</w:t>
      </w:r>
      <w:r w:rsidR="002B292B">
        <w:rPr>
          <w:rFonts w:hint="eastAsia"/>
          <w:color w:val="000000"/>
          <w:sz w:val="22"/>
          <w:szCs w:val="22"/>
        </w:rPr>
        <w:t>.</w:t>
      </w:r>
      <w:r>
        <w:rPr>
          <w:rFonts w:eastAsia="Source Sans 3"/>
          <w:color w:val="000000"/>
          <w:sz w:val="22"/>
          <w:szCs w:val="22"/>
        </w:rPr>
        <w:t xml:space="preserve"> </w:t>
      </w:r>
      <w:r w:rsidR="002B292B" w:rsidRPr="002B292B">
        <w:rPr>
          <w:rFonts w:eastAsia="Source Sans 3"/>
          <w:color w:val="000000"/>
          <w:sz w:val="22"/>
          <w:szCs w:val="22"/>
        </w:rPr>
        <w:t>This should be determined in consultation with the ICU CKRT team.</w:t>
      </w:r>
    </w:p>
    <w:p w14:paraId="074DE628" w14:textId="7571D6A3" w:rsidR="00C73B5D" w:rsidRPr="002B292B" w:rsidRDefault="00C73B5D" w:rsidP="00C73B5D"/>
    <w:p w14:paraId="3D3307A1" w14:textId="77777777" w:rsidR="002B292B" w:rsidRDefault="002B292B">
      <w:pPr>
        <w:widowControl/>
        <w:wordWrap/>
        <w:autoSpaceDE/>
        <w:autoSpaceDN/>
        <w:rPr>
          <w:rFonts w:eastAsia="Source Sans 3"/>
          <w:b/>
          <w:bCs/>
          <w:color w:val="1428A0"/>
          <w:sz w:val="32"/>
          <w:szCs w:val="32"/>
        </w:rPr>
      </w:pPr>
      <w:r>
        <w:rPr>
          <w:rFonts w:eastAsia="Source Sans 3"/>
          <w:b/>
          <w:bCs/>
          <w:color w:val="1428A0"/>
          <w:sz w:val="32"/>
          <w:szCs w:val="32"/>
        </w:rPr>
        <w:br w:type="page"/>
      </w:r>
    </w:p>
    <w:p w14:paraId="1B10F6E1" w14:textId="5DCA83E6" w:rsidR="0016331D" w:rsidRPr="002B292B" w:rsidRDefault="000C1A1E">
      <w:pPr>
        <w:pStyle w:val="a4"/>
        <w:numPr>
          <w:ilvl w:val="0"/>
          <w:numId w:val="2"/>
        </w:numPr>
        <w:rPr>
          <w:caps/>
        </w:rPr>
      </w:pPr>
      <w:r w:rsidRPr="002B292B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References</w:t>
      </w:r>
    </w:p>
    <w:p w14:paraId="1B10F6E2" w14:textId="77777777" w:rsidR="0016331D" w:rsidRDefault="000C1A1E">
      <w:pPr>
        <w:pStyle w:val="a4"/>
        <w:numPr>
          <w:ilvl w:val="1"/>
          <w:numId w:val="2"/>
        </w:numPr>
      </w:pPr>
      <w:r>
        <w:rPr>
          <w:rFonts w:eastAsia="Source Sans 3"/>
          <w:b/>
          <w:bCs/>
          <w:color w:val="0A4BFF"/>
          <w:sz w:val="28"/>
          <w:szCs w:val="28"/>
        </w:rPr>
        <w:t>Initiation of CRRT</w:t>
      </w:r>
    </w:p>
    <w:p w14:paraId="1B10F6E3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Forni LG, Hilton PJ. Continuous hemofiltration in the treatment of acute renal failure. N Engl J Med 1997;336:1303-1309.</w:t>
      </w:r>
    </w:p>
    <w:p w14:paraId="1B10F6E4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Golper TA. Indications, technical considerations, and strategies for renal replacement therapy in the intensive care unit. J Intensive Care Med 1992;7:310-317.</w:t>
      </w:r>
    </w:p>
    <w:p w14:paraId="1B10F6E5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Manns M, Sigler MH, Teehan BP. Continuous renal replacement therapies: an update. Am J Kidney Dis 1998;32:185-207.</w:t>
      </w:r>
    </w:p>
    <w:p w14:paraId="1B10F6E6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Ronco C. Continuous renal replacement therapies for the treatment of acute renal failure in intensive care patients. Clin Nephrol 1993;40:187-198.</w:t>
      </w:r>
    </w:p>
    <w:p w14:paraId="1B10F6E7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Vinsonneau C, Camus C, Combes A, et al. Continuous venovenous haemodiafiltration versus intermittent haemodialysis for acute renal failure in patients with multiple-organ dysfunction syndrome: a multicentre randomised trial. Lancet 2006;368:379-385.</w:t>
      </w:r>
    </w:p>
    <w:p w14:paraId="1B10F6E8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Tolwani A. Continuous renal-replacement therapy for acute kidney injury. N Engl J Med 2012;367:2505-2514.</w:t>
      </w:r>
    </w:p>
    <w:p w14:paraId="1B10F6E9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Macedo E, Mehta RL. Continuous Dialysis Therapies: Core Curriculum 2016. Am J Kidney Dis 2016;68:645-657.</w:t>
      </w:r>
    </w:p>
    <w:p w14:paraId="1B10F6EA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Neri M, Villa G, Garzotto F, et al. Nomenclature for renal replacement therapy in acute kidney injury: basic principles. Crit Care 2016;20:318.</w:t>
      </w:r>
    </w:p>
    <w:p w14:paraId="1B10F6EB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Bellomo R, Cass A, Cole L, et al. Intensity of continuous renal-replacement therapy in critically ill patients. N Engl J Med 2009;361:1627-1638.</w:t>
      </w:r>
    </w:p>
    <w:p w14:paraId="1B10F6EC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Palevsky PM, Zhang JH, O'Connor TZ, et al. Intensity of renal support in critically ill patients with acute kidney injury. N Engl J Med 2008;359:7-20.</w:t>
      </w:r>
    </w:p>
    <w:p w14:paraId="1B10F6ED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Barletta JF, Barletta GM, Brophy PD, Maxvold NJ, Hackbarth RM, Bunchman TE. Medication errors and patient complications with continuous renal replacement therapy. Pediatr Nephrol 2006;21:842-845.</w:t>
      </w:r>
    </w:p>
    <w:p w14:paraId="1B10F6EE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Pistolesi V, Zeppilli L, Polistena F, et al. Preventing Continuous Renal Replacement Therapy-Induced Hypophosphatemia: An Extended Clinical Experience with a Phosphate-Containing Solution in the Setting of Regional Citrate Anticoagulation. Blood Purif 2017;44:8-15.</w:t>
      </w:r>
    </w:p>
    <w:p w14:paraId="1B10F6EF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Kraus MA. Selection of dialysate and replacement fluids and management of electrolyte and acid-base disturbances. Semin Dial 2009;22:137-140.</w:t>
      </w:r>
    </w:p>
    <w:p w14:paraId="1B10F6F0" w14:textId="77777777" w:rsidR="0016331D" w:rsidRDefault="000C1A1E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>Electrolyte and Acid-Base Imbalance Correction</w:t>
      </w:r>
    </w:p>
    <w:p w14:paraId="1B10F6F1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Rosner MH, Connor MJ Jr. Management of Severe Hyponatremia with Continuous Renal Replacement Therapies. Clin J Am Soc Nephrol 2018;13:787-789.</w:t>
      </w:r>
    </w:p>
    <w:p w14:paraId="1B10F6F2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lastRenderedPageBreak/>
        <w:t>Yessayan L, Yee J, Frinak S, Szamosfalvi B. Continuous Renal Replacement Therapy for the Management of Acid-Base and Electrolyte Imbalances in Acute Kidney Injury. Adv Chronic Kidney Dis 2016;23:203-210.</w:t>
      </w:r>
    </w:p>
    <w:p w14:paraId="1B10F6F3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Dangoisse C, Dickie H, Tovey L, Ostermann M. Correction of hyper- and hyponatraemia during continuous renal replacement therapy. Nephron Clin Pract 2014;128:394-398.</w:t>
      </w:r>
    </w:p>
    <w:p w14:paraId="1B10F6F4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Haines RW, Kirwan CJ, Prowle JR. Continuous renal replacement therapy: individualization of the prescription. Curr Opin Crit Care 2018;24:443-449.</w:t>
      </w:r>
    </w:p>
    <w:p w14:paraId="1B10F6F5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Park JT, Lee H, Kee YK, et al. High-Dose Versus Conventional-Dose Continuous Venovenous Hemodiafiltration and Patient and Kidney Survival and Cytokine Removal in Sepsis-Associated Acute Kidney Injury: A Randomized Controlled Trial. Am J Kidney Dis 2016;68:599-608.</w:t>
      </w:r>
    </w:p>
    <w:p w14:paraId="1B10F6F6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Macedo E, Mehta RL. Continuous Dialysis Therapies: Core Curriculum 2016. Am J Kidney Dis 2016;68:645-657.</w:t>
      </w:r>
    </w:p>
    <w:p w14:paraId="1B10F6F7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Cerda J, Tolwani AJ, Warnock DG. Critical care nephrology: management of acid-base disorders with CRRT. Kidney Int 2012;82:9-18.</w:t>
      </w:r>
    </w:p>
    <w:p w14:paraId="1B10F6F8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Jaber S, Paugam C, Futier E, et al. Sodium bicarbonate therapy for patients with severe metabolic acidaemia in the intensive care unit (BICAR-ICU): a multicentre, open-label, randomised controlled, phase 3 trial. Lancet 2018;392:31-40.</w:t>
      </w:r>
    </w:p>
    <w:p w14:paraId="1B10F6F9" w14:textId="77777777" w:rsidR="0016331D" w:rsidRDefault="000C1A1E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>CKRT Discontinuation and Anticoagulation</w:t>
      </w:r>
    </w:p>
    <w:p w14:paraId="1B10F6FA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Gibney N, Hoste E, Burdmann EA, et al. Timing of initiation and discontinuation of renal replacement therapy in AKI: unanswered key questions. Clin J Am Soc Nephrol 2008;3:876-880.</w:t>
      </w:r>
    </w:p>
    <w:p w14:paraId="1B10F6FB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Gibney RT, Bagshaw SM, Kutsogiannis DJ, Johnston C. When should renal replacement therapy for acute kidney injury be initiated and discontinued? Blood Purif 2008;26:473-484.</w:t>
      </w:r>
    </w:p>
    <w:p w14:paraId="1B10F6FC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Uchino S, Bellomo R, Morimatsu H, et al. Discontinuation of continuous renal replacement therapy: A post hoc analysis of a prospective multicenter observational study. Crit Care Med 2009;37:2576-2582.</w:t>
      </w:r>
    </w:p>
    <w:p w14:paraId="1B10F6FD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Bouman CS, Oudemans-Van Straaten HM, Tijssen JG, Zandstra DF, Kesecioglu J. Effects of early high-volume continuous venovenous hemofiltration on survival and recovery of renal function in intensive care patients with acute renal failure: a prospective, randomized trial. Crit Care Med 2002;30:2205-2211.</w:t>
      </w:r>
    </w:p>
    <w:p w14:paraId="1B10F6FE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Bellomo R, Teede H, Boyce N. Anticoagulant regimens in acute continuous hemodiafiltration: a comparative study. Intensive Care Med 1993;19:329-332.</w:t>
      </w:r>
    </w:p>
    <w:p w14:paraId="1B10F6FF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Choi JY, Kang YJ, Jang HM, et al. Nafamostat mesilate as an anticoagulant during continuous renal replacement therapy in patients with high bleeding risk: a randomized clinical trial. Medicine 2015;94:e2392.</w:t>
      </w:r>
    </w:p>
    <w:p w14:paraId="1B10F700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lastRenderedPageBreak/>
        <w:t>Lee YK, Lee HW, Choi KH, Kim BS. Ability of nafamostat mesilate to prolong filter patency during continuous renal replacement therapy in patients at high risk of bleeding: a randomized controlled study. PLoS One 2014;9:e108737.</w:t>
      </w:r>
    </w:p>
    <w:p w14:paraId="1B10F701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van de Wetering J, Westendorp RG, van der Hoeven JG, Stolk B, Feuth JD, Chang PC. Heparin use in continuous renal replacement procedures: the struggle between filter coagulation and patient hemorrhage. J Am Soc Nephrol 1996;7:145-150.</w:t>
      </w:r>
    </w:p>
    <w:p w14:paraId="1B10F702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Tan HK, Baldwin I, Bellomo R. Continuous veno-venous hemofiltration without anticoagulation in high-risk patients. Intensive Care Med 2000;26:1652-1657.</w:t>
      </w:r>
    </w:p>
    <w:p w14:paraId="1B10F703" w14:textId="77777777" w:rsidR="0016331D" w:rsidRDefault="000C1A1E" w:rsidP="00A93FE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>ECMO-CKRT Connection</w:t>
      </w:r>
    </w:p>
    <w:p w14:paraId="1B10F704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Askenazi DJ, Selewski DT, Paden ML, et al. Renal replacement therapy in critically ill patients receiving extracorporeal membrane oxygenation. Clin J Am Soc Nephrol 2012;7:1328-1336.</w:t>
      </w:r>
    </w:p>
    <w:p w14:paraId="1B10F705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de Tymowski C, Augustin P, Houissa H, et al. CRRT Connected to ECMO: Managing High Pressures. ASAIO J 2017;63:48-52.</w:t>
      </w:r>
    </w:p>
    <w:p w14:paraId="1B10F706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Kielstein JT, Heiden AM, Beutel G, et al. Renal function and survival in 200 patients undergoing ECMO therapy. Nephrol Dial Transplant 2013;28:86-90.</w:t>
      </w:r>
    </w:p>
    <w:p w14:paraId="1B10F707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Na SJ, Choi HJ, Chung CR, et al. Using additional pressure control lines when connecting a continuous renal replacement therapy device to an extracorporeal membrane oxygenation circuit. BMC Nephrol 2018;19:369.</w:t>
      </w:r>
    </w:p>
    <w:p w14:paraId="1B10F708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Santiago MJ, Sanchez A, Lopez-Herce J, et al. The use of continuous renal replacement therapy in series with extracorporeal membrane oxygenation. Kidney Int 2009;76:1289-1292.</w:t>
      </w:r>
    </w:p>
    <w:p w14:paraId="1B10F709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Seczynska B, Krolikowski W, Nowak I, Jankowski M, Szuldrzynski K, Szczeklik W. Continuous renal replacement therapy during extracorporeal membrane oxygenation in patients treated in medical intensive care unit: technical considerations. Ther Apher Dial 2014;18:523-534.</w:t>
      </w:r>
    </w:p>
    <w:p w14:paraId="1B10F70A" w14:textId="77777777" w:rsidR="0016331D" w:rsidRDefault="000C1A1E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Suga N, Matsumura Y, Abe R, Hattori N, Nakada TA, Oda S. A safe procedure for connecting a continuous renal replacement therapy device into an extracorporeal membrane oxygenation circuit. J Artif Organs 2017;20:125-131.</w:t>
      </w:r>
    </w:p>
    <w:sectPr w:rsidR="0016331D">
      <w:headerReference w:type="default" r:id="rId10"/>
      <w:footerReference w:type="default" r:id="rId11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266BD" w14:textId="77777777" w:rsidR="005635B3" w:rsidRDefault="005635B3">
      <w:r>
        <w:separator/>
      </w:r>
    </w:p>
  </w:endnote>
  <w:endnote w:type="continuationSeparator" w:id="0">
    <w:p w14:paraId="7B407492" w14:textId="77777777" w:rsidR="005635B3" w:rsidRDefault="00563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70B" w14:textId="77777777" w:rsidR="0016331D" w:rsidRDefault="000C1A1E">
    <w:pPr>
      <w:jc w:val="right"/>
    </w:pPr>
    <w:r>
      <w:rPr>
        <w:noProof/>
      </w:rPr>
      <w:drawing>
        <wp:inline distT="0" distB="0" distL="0" distR="0" wp14:anchorId="1B10F70F" wp14:editId="1B10F710">
          <wp:extent cx="277177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70C" w14:textId="77777777" w:rsidR="0016331D" w:rsidRDefault="000C1A1E">
    <w:pPr>
      <w:jc w:val="right"/>
    </w:pPr>
    <w:r>
      <w:rPr>
        <w:noProof/>
      </w:rPr>
      <w:drawing>
        <wp:inline distT="0" distB="0" distL="0" distR="0" wp14:anchorId="1B10F711" wp14:editId="1B10F712">
          <wp:extent cx="2771775" cy="542925"/>
          <wp:effectExtent l="0" t="0" r="0" b="0"/>
          <wp:docPr id="1260916482" name="그림 12609164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70E" w14:textId="5D56265C" w:rsidR="0016331D" w:rsidRDefault="000C1A1E">
    <w:pPr>
      <w:pBdr>
        <w:top w:val="single" w:sz="4" w:space="4" w:color="CCCCCC"/>
      </w:pBdr>
      <w:spacing w:before="60"/>
      <w:jc w:val="center"/>
    </w:pPr>
    <w:r>
      <w:rPr>
        <w:rFonts w:eastAsia="Source Sans 3"/>
        <w:color w:val="666666"/>
        <w:sz w:val="18"/>
        <w:szCs w:val="18"/>
      </w:rPr>
      <w:t xml:space="preserve">- </w:t>
    </w:r>
    <w:r>
      <w:rPr>
        <w:rFonts w:eastAsia="Source Sans 3"/>
        <w:color w:val="666666"/>
        <w:sz w:val="18"/>
        <w:szCs w:val="18"/>
      </w:rPr>
      <w:fldChar w:fldCharType="begin"/>
    </w:r>
    <w:r>
      <w:rPr>
        <w:rFonts w:eastAsia="Source Sans 3"/>
        <w:color w:val="666666"/>
        <w:sz w:val="18"/>
        <w:szCs w:val="18"/>
      </w:rPr>
      <w:instrText>PAGE</w:instrText>
    </w:r>
    <w:r>
      <w:rPr>
        <w:rFonts w:eastAsia="Source Sans 3"/>
        <w:color w:val="666666"/>
        <w:sz w:val="18"/>
        <w:szCs w:val="18"/>
      </w:rPr>
      <w:fldChar w:fldCharType="separate"/>
    </w:r>
    <w:r w:rsidR="0081454A">
      <w:rPr>
        <w:rFonts w:eastAsia="Source Sans 3"/>
        <w:noProof/>
        <w:color w:val="666666"/>
        <w:sz w:val="18"/>
        <w:szCs w:val="18"/>
      </w:rPr>
      <w:t>1</w:t>
    </w:r>
    <w:r>
      <w:rPr>
        <w:rFonts w:eastAsia="Source Sans 3"/>
        <w:color w:val="666666"/>
        <w:sz w:val="18"/>
        <w:szCs w:val="18"/>
      </w:rPr>
      <w:fldChar w:fldCharType="end"/>
    </w:r>
    <w:r>
      <w:rPr>
        <w:rFonts w:eastAsia="Source Sans 3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2BD91" w14:textId="77777777" w:rsidR="005635B3" w:rsidRDefault="005635B3">
      <w:r>
        <w:separator/>
      </w:r>
    </w:p>
  </w:footnote>
  <w:footnote w:type="continuationSeparator" w:id="0">
    <w:p w14:paraId="693B5F30" w14:textId="77777777" w:rsidR="005635B3" w:rsidRDefault="00563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70D" w14:textId="7202FB87" w:rsidR="0016331D" w:rsidRDefault="000C1A1E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eastAsia="Source Sans 3"/>
        <w:color w:val="000000"/>
        <w:sz w:val="18"/>
        <w:szCs w:val="18"/>
      </w:rPr>
      <w:t>CKRT Protocol</w:t>
    </w:r>
    <w:r>
      <w:tab/>
    </w:r>
    <w:r>
      <w:rPr>
        <w:noProof/>
      </w:rPr>
      <w:drawing>
        <wp:inline distT="0" distB="0" distL="0" distR="0" wp14:anchorId="1B10F713" wp14:editId="1B10F714">
          <wp:extent cx="1123950" cy="219075"/>
          <wp:effectExtent l="0" t="0" r="0" b="0"/>
          <wp:docPr id="1918706524" name="그림 19187065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57C2"/>
    <w:multiLevelType w:val="hybridMultilevel"/>
    <w:tmpl w:val="FDECE8B4"/>
    <w:lvl w:ilvl="0" w:tplc="2B64FCD4">
      <w:start w:val="1"/>
      <w:numFmt w:val="decimal"/>
      <w:suff w:val="space"/>
      <w:lvlText w:val="(%1)"/>
      <w:lvlJc w:val="left"/>
      <w:pPr>
        <w:spacing w:line="276" w:lineRule="auto"/>
        <w:ind w:left="566" w:hanging="283"/>
      </w:pPr>
      <w:rPr>
        <w:rFonts w:ascii="Source Sans 3" w:eastAsia="Source Sans 3" w:hAnsi="Source Sans 3" w:cs="Source Sans 3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39D1367"/>
    <w:multiLevelType w:val="hybridMultilevel"/>
    <w:tmpl w:val="E412278E"/>
    <w:lvl w:ilvl="0" w:tplc="20A49EAE">
      <w:start w:val="1"/>
      <w:numFmt w:val="upperRoman"/>
      <w:suff w:val="space"/>
      <w:lvlText w:val="%1."/>
      <w:lvlJc w:val="left"/>
      <w:pPr>
        <w:spacing w:before="400" w:after="0" w:line="276" w:lineRule="auto"/>
        <w:ind w:left="0" w:firstLine="0"/>
      </w:pPr>
      <w:rPr>
        <w:rFonts w:ascii="Source Sans 3" w:eastAsia="Source Sans 3" w:hAnsi="Source Sans 3" w:cs="Source Sans 3"/>
        <w:b/>
        <w:bCs/>
        <w:caps/>
        <w:color w:val="1428A0"/>
        <w:sz w:val="32"/>
        <w:szCs w:val="32"/>
      </w:rPr>
    </w:lvl>
    <w:lvl w:ilvl="1" w:tplc="20CED432">
      <w:start w:val="1"/>
      <w:numFmt w:val="decimal"/>
      <w:lvlText w:val="%2."/>
      <w:lvlJc w:val="left"/>
      <w:pPr>
        <w:tabs>
          <w:tab w:val="num" w:pos="283"/>
        </w:tabs>
        <w:spacing w:before="320" w:after="0" w:line="276" w:lineRule="auto"/>
        <w:ind w:left="283" w:hanging="283"/>
      </w:pPr>
      <w:rPr>
        <w:rFonts w:ascii="Source Sans 3" w:eastAsia="Source Sans 3" w:hAnsi="Source Sans 3" w:cs="Source Sans 3"/>
        <w:b/>
        <w:bCs/>
        <w:color w:val="0A4BFF"/>
        <w:sz w:val="28"/>
        <w:szCs w:val="28"/>
      </w:rPr>
    </w:lvl>
    <w:lvl w:ilvl="2" w:tplc="2B64FCD4">
      <w:start w:val="1"/>
      <w:numFmt w:val="decimal"/>
      <w:suff w:val="space"/>
      <w:lvlText w:val="(%3)"/>
      <w:lvlJc w:val="left"/>
      <w:pPr>
        <w:spacing w:before="120" w:after="0" w:line="276" w:lineRule="auto"/>
        <w:ind w:left="566" w:hanging="283"/>
      </w:pPr>
      <w:rPr>
        <w:rFonts w:ascii="Source Sans 3" w:eastAsia="Source Sans 3" w:hAnsi="Source Sans 3" w:cs="Source Sans 3"/>
        <w:b/>
        <w:bCs/>
        <w:color w:val="000000"/>
        <w:sz w:val="24"/>
        <w:szCs w:val="24"/>
      </w:rPr>
    </w:lvl>
    <w:lvl w:ilvl="3" w:tplc="E696B65C">
      <w:start w:val="1"/>
      <w:numFmt w:val="decimalEnclosedCircle"/>
      <w:lvlText w:val="%4"/>
      <w:lvlJc w:val="left"/>
      <w:pPr>
        <w:tabs>
          <w:tab w:val="num" w:pos="963"/>
        </w:tabs>
        <w:spacing w:before="0" w:after="0" w:line="276" w:lineRule="auto"/>
        <w:ind w:left="963" w:hanging="340"/>
      </w:pPr>
      <w:rPr>
        <w:rFonts w:ascii="Source Sans 3" w:eastAsia="Source Sans 3" w:hAnsi="Source Sans 3" w:cs="Source Sans 3"/>
        <w:color w:val="000000"/>
        <w:sz w:val="22"/>
        <w:szCs w:val="22"/>
        <w:highlight w:val="none"/>
      </w:rPr>
    </w:lvl>
    <w:lvl w:ilvl="4" w:tplc="61242B54">
      <w:start w:val="1"/>
      <w:numFmt w:val="bullet"/>
      <w:lvlText w:val="•"/>
      <w:lvlJc w:val="left"/>
      <w:pPr>
        <w:tabs>
          <w:tab w:val="num" w:pos="1189"/>
        </w:tabs>
        <w:spacing w:before="0" w:after="0" w:line="276" w:lineRule="auto"/>
        <w:ind w:left="1189" w:hanging="283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5" w:tplc="7F0441D2">
      <w:start w:val="1"/>
      <w:numFmt w:val="bullet"/>
      <w:lvlText w:val="–"/>
      <w:lvlJc w:val="left"/>
      <w:pPr>
        <w:tabs>
          <w:tab w:val="num" w:pos="1472"/>
        </w:tabs>
        <w:spacing w:before="0" w:after="0" w:line="276" w:lineRule="auto"/>
        <w:ind w:left="1472" w:hanging="283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6" w:tplc="92FC7142">
      <w:numFmt w:val="decimal"/>
      <w:lvlText w:val=""/>
      <w:lvlJc w:val="left"/>
    </w:lvl>
    <w:lvl w:ilvl="7" w:tplc="571AFEE6">
      <w:numFmt w:val="decimal"/>
      <w:lvlText w:val=""/>
      <w:lvlJc w:val="left"/>
    </w:lvl>
    <w:lvl w:ilvl="8" w:tplc="69F20934">
      <w:numFmt w:val="decimal"/>
      <w:lvlText w:val=""/>
      <w:lvlJc w:val="left"/>
    </w:lvl>
  </w:abstractNum>
  <w:abstractNum w:abstractNumId="2" w15:restartNumberingAfterBreak="0">
    <w:nsid w:val="74967593"/>
    <w:multiLevelType w:val="hybridMultilevel"/>
    <w:tmpl w:val="925A20FA"/>
    <w:lvl w:ilvl="0" w:tplc="6B9A6168">
      <w:start w:val="1"/>
      <w:numFmt w:val="bullet"/>
      <w:lvlText w:val="●"/>
      <w:lvlJc w:val="left"/>
      <w:pPr>
        <w:ind w:left="720" w:hanging="360"/>
      </w:pPr>
    </w:lvl>
    <w:lvl w:ilvl="1" w:tplc="67BAD8D0">
      <w:start w:val="1"/>
      <w:numFmt w:val="bullet"/>
      <w:lvlText w:val="○"/>
      <w:lvlJc w:val="left"/>
      <w:pPr>
        <w:ind w:left="1440" w:hanging="360"/>
      </w:pPr>
    </w:lvl>
    <w:lvl w:ilvl="2" w:tplc="59EC2616">
      <w:start w:val="1"/>
      <w:numFmt w:val="bullet"/>
      <w:lvlText w:val="■"/>
      <w:lvlJc w:val="left"/>
      <w:pPr>
        <w:ind w:left="2160" w:hanging="360"/>
      </w:pPr>
    </w:lvl>
    <w:lvl w:ilvl="3" w:tplc="9894CFF2">
      <w:start w:val="1"/>
      <w:numFmt w:val="bullet"/>
      <w:lvlText w:val="●"/>
      <w:lvlJc w:val="left"/>
      <w:pPr>
        <w:ind w:left="2880" w:hanging="360"/>
      </w:pPr>
    </w:lvl>
    <w:lvl w:ilvl="4" w:tplc="35B487C0">
      <w:start w:val="1"/>
      <w:numFmt w:val="bullet"/>
      <w:lvlText w:val="○"/>
      <w:lvlJc w:val="left"/>
      <w:pPr>
        <w:ind w:left="3600" w:hanging="360"/>
      </w:pPr>
    </w:lvl>
    <w:lvl w:ilvl="5" w:tplc="4FC6C986">
      <w:start w:val="1"/>
      <w:numFmt w:val="bullet"/>
      <w:lvlText w:val="■"/>
      <w:lvlJc w:val="left"/>
      <w:pPr>
        <w:ind w:left="4320" w:hanging="360"/>
      </w:pPr>
    </w:lvl>
    <w:lvl w:ilvl="6" w:tplc="CBCC02C2">
      <w:start w:val="1"/>
      <w:numFmt w:val="bullet"/>
      <w:lvlText w:val="●"/>
      <w:lvlJc w:val="left"/>
      <w:pPr>
        <w:ind w:left="5040" w:hanging="360"/>
      </w:pPr>
    </w:lvl>
    <w:lvl w:ilvl="7" w:tplc="3CCCDA44">
      <w:start w:val="1"/>
      <w:numFmt w:val="bullet"/>
      <w:lvlText w:val="●"/>
      <w:lvlJc w:val="left"/>
      <w:pPr>
        <w:ind w:left="5760" w:hanging="360"/>
      </w:pPr>
    </w:lvl>
    <w:lvl w:ilvl="8" w:tplc="E8F4637E">
      <w:start w:val="1"/>
      <w:numFmt w:val="bullet"/>
      <w:lvlText w:val="●"/>
      <w:lvlJc w:val="left"/>
      <w:pPr>
        <w:ind w:left="6480" w:hanging="360"/>
      </w:pPr>
    </w:lvl>
  </w:abstractNum>
  <w:num w:numId="1" w16cid:durableId="1963224625">
    <w:abstractNumId w:val="2"/>
    <w:lvlOverride w:ilvl="0">
      <w:startOverride w:val="1"/>
    </w:lvlOverride>
  </w:num>
  <w:num w:numId="2" w16cid:durableId="1449003673">
    <w:abstractNumId w:val="1"/>
  </w:num>
  <w:num w:numId="3" w16cid:durableId="1525822509">
    <w:abstractNumId w:val="1"/>
  </w:num>
  <w:num w:numId="4" w16cid:durableId="125871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31D"/>
    <w:rsid w:val="000133A7"/>
    <w:rsid w:val="000360A5"/>
    <w:rsid w:val="00043DC0"/>
    <w:rsid w:val="000B1107"/>
    <w:rsid w:val="000B1A66"/>
    <w:rsid w:val="000B71DD"/>
    <w:rsid w:val="000C1A1E"/>
    <w:rsid w:val="000D0A72"/>
    <w:rsid w:val="000D1069"/>
    <w:rsid w:val="000D153D"/>
    <w:rsid w:val="000D6556"/>
    <w:rsid w:val="000E295C"/>
    <w:rsid w:val="000E4E5E"/>
    <w:rsid w:val="00103CD4"/>
    <w:rsid w:val="001149EB"/>
    <w:rsid w:val="00125A7E"/>
    <w:rsid w:val="00126AC2"/>
    <w:rsid w:val="00156764"/>
    <w:rsid w:val="00160216"/>
    <w:rsid w:val="0016331D"/>
    <w:rsid w:val="00164FAC"/>
    <w:rsid w:val="00165A79"/>
    <w:rsid w:val="00171E18"/>
    <w:rsid w:val="00184EA2"/>
    <w:rsid w:val="0019600C"/>
    <w:rsid w:val="001971A8"/>
    <w:rsid w:val="001C66E2"/>
    <w:rsid w:val="001C7585"/>
    <w:rsid w:val="001D147F"/>
    <w:rsid w:val="001D4096"/>
    <w:rsid w:val="001F67C4"/>
    <w:rsid w:val="002051C3"/>
    <w:rsid w:val="00213712"/>
    <w:rsid w:val="00226D78"/>
    <w:rsid w:val="00241B0B"/>
    <w:rsid w:val="00253293"/>
    <w:rsid w:val="00283F43"/>
    <w:rsid w:val="0029270E"/>
    <w:rsid w:val="002B292B"/>
    <w:rsid w:val="002C239F"/>
    <w:rsid w:val="002D7F37"/>
    <w:rsid w:val="002F3FDE"/>
    <w:rsid w:val="002F6D36"/>
    <w:rsid w:val="00303C2F"/>
    <w:rsid w:val="00335C1E"/>
    <w:rsid w:val="003466F4"/>
    <w:rsid w:val="00360474"/>
    <w:rsid w:val="00376FFD"/>
    <w:rsid w:val="00393F00"/>
    <w:rsid w:val="003A5077"/>
    <w:rsid w:val="003A51AB"/>
    <w:rsid w:val="003B2C46"/>
    <w:rsid w:val="003D763F"/>
    <w:rsid w:val="003E5155"/>
    <w:rsid w:val="00402F0A"/>
    <w:rsid w:val="004206E2"/>
    <w:rsid w:val="0042123D"/>
    <w:rsid w:val="004276CD"/>
    <w:rsid w:val="00431D88"/>
    <w:rsid w:val="0044151C"/>
    <w:rsid w:val="004615BA"/>
    <w:rsid w:val="00461AE1"/>
    <w:rsid w:val="0046628E"/>
    <w:rsid w:val="004664A4"/>
    <w:rsid w:val="00471FD4"/>
    <w:rsid w:val="004858B8"/>
    <w:rsid w:val="004A5A68"/>
    <w:rsid w:val="004B3067"/>
    <w:rsid w:val="004D6BC8"/>
    <w:rsid w:val="004D74BA"/>
    <w:rsid w:val="004F2F2E"/>
    <w:rsid w:val="00500323"/>
    <w:rsid w:val="00503961"/>
    <w:rsid w:val="00514B46"/>
    <w:rsid w:val="00521D18"/>
    <w:rsid w:val="00521D22"/>
    <w:rsid w:val="00522F43"/>
    <w:rsid w:val="00523B79"/>
    <w:rsid w:val="005404DC"/>
    <w:rsid w:val="005506C9"/>
    <w:rsid w:val="00557255"/>
    <w:rsid w:val="005635B3"/>
    <w:rsid w:val="00566F61"/>
    <w:rsid w:val="005744FE"/>
    <w:rsid w:val="00593F85"/>
    <w:rsid w:val="005A4A81"/>
    <w:rsid w:val="005C06D7"/>
    <w:rsid w:val="005C2E93"/>
    <w:rsid w:val="005E0F86"/>
    <w:rsid w:val="005E23BF"/>
    <w:rsid w:val="005F2A6B"/>
    <w:rsid w:val="005F5263"/>
    <w:rsid w:val="00601E3F"/>
    <w:rsid w:val="00611A28"/>
    <w:rsid w:val="00617BFD"/>
    <w:rsid w:val="00633A97"/>
    <w:rsid w:val="00635CAF"/>
    <w:rsid w:val="006412AF"/>
    <w:rsid w:val="006470AC"/>
    <w:rsid w:val="00650B52"/>
    <w:rsid w:val="00652547"/>
    <w:rsid w:val="006546A9"/>
    <w:rsid w:val="006605A6"/>
    <w:rsid w:val="0068614E"/>
    <w:rsid w:val="00687E6F"/>
    <w:rsid w:val="0069140F"/>
    <w:rsid w:val="006A5E38"/>
    <w:rsid w:val="006B63F6"/>
    <w:rsid w:val="006C4B2F"/>
    <w:rsid w:val="006C54E5"/>
    <w:rsid w:val="0070269F"/>
    <w:rsid w:val="00710F00"/>
    <w:rsid w:val="00713CDD"/>
    <w:rsid w:val="007525F1"/>
    <w:rsid w:val="00780DA0"/>
    <w:rsid w:val="007814B5"/>
    <w:rsid w:val="0079013A"/>
    <w:rsid w:val="007921F9"/>
    <w:rsid w:val="007B32B3"/>
    <w:rsid w:val="007B3A77"/>
    <w:rsid w:val="007B4FF3"/>
    <w:rsid w:val="007B5D20"/>
    <w:rsid w:val="007B6362"/>
    <w:rsid w:val="007E26FF"/>
    <w:rsid w:val="007E738A"/>
    <w:rsid w:val="007F7AAC"/>
    <w:rsid w:val="00811E4D"/>
    <w:rsid w:val="0081454A"/>
    <w:rsid w:val="0083048C"/>
    <w:rsid w:val="00836AB8"/>
    <w:rsid w:val="00837266"/>
    <w:rsid w:val="00852AE9"/>
    <w:rsid w:val="0088277C"/>
    <w:rsid w:val="008A0C32"/>
    <w:rsid w:val="008B1730"/>
    <w:rsid w:val="008C1E18"/>
    <w:rsid w:val="008E6D5B"/>
    <w:rsid w:val="008E7424"/>
    <w:rsid w:val="008F251C"/>
    <w:rsid w:val="009150E9"/>
    <w:rsid w:val="009173DC"/>
    <w:rsid w:val="00923B76"/>
    <w:rsid w:val="009504AA"/>
    <w:rsid w:val="00965B4A"/>
    <w:rsid w:val="009758AA"/>
    <w:rsid w:val="009937B4"/>
    <w:rsid w:val="009C5AF7"/>
    <w:rsid w:val="00A006C7"/>
    <w:rsid w:val="00A47714"/>
    <w:rsid w:val="00A51EBE"/>
    <w:rsid w:val="00A73B3A"/>
    <w:rsid w:val="00A77202"/>
    <w:rsid w:val="00A86EEB"/>
    <w:rsid w:val="00A93FEC"/>
    <w:rsid w:val="00AC34EF"/>
    <w:rsid w:val="00AD7A56"/>
    <w:rsid w:val="00AE1623"/>
    <w:rsid w:val="00AF0B48"/>
    <w:rsid w:val="00AF10D6"/>
    <w:rsid w:val="00AF30E1"/>
    <w:rsid w:val="00B0609A"/>
    <w:rsid w:val="00B0645E"/>
    <w:rsid w:val="00B15460"/>
    <w:rsid w:val="00B16303"/>
    <w:rsid w:val="00B36B10"/>
    <w:rsid w:val="00B45E13"/>
    <w:rsid w:val="00B570D0"/>
    <w:rsid w:val="00B575D0"/>
    <w:rsid w:val="00B723BF"/>
    <w:rsid w:val="00B91114"/>
    <w:rsid w:val="00B9211E"/>
    <w:rsid w:val="00B956F9"/>
    <w:rsid w:val="00BA0567"/>
    <w:rsid w:val="00BC5749"/>
    <w:rsid w:val="00BD3381"/>
    <w:rsid w:val="00BE3C8A"/>
    <w:rsid w:val="00BE4745"/>
    <w:rsid w:val="00BE496D"/>
    <w:rsid w:val="00BE4CFD"/>
    <w:rsid w:val="00C1051E"/>
    <w:rsid w:val="00C22805"/>
    <w:rsid w:val="00C31DED"/>
    <w:rsid w:val="00C41CE6"/>
    <w:rsid w:val="00C44998"/>
    <w:rsid w:val="00C50BC7"/>
    <w:rsid w:val="00C5710F"/>
    <w:rsid w:val="00C7161C"/>
    <w:rsid w:val="00C73B5D"/>
    <w:rsid w:val="00C76472"/>
    <w:rsid w:val="00C8169F"/>
    <w:rsid w:val="00C934C1"/>
    <w:rsid w:val="00CE4E56"/>
    <w:rsid w:val="00CF5A43"/>
    <w:rsid w:val="00D15A4B"/>
    <w:rsid w:val="00D44D7E"/>
    <w:rsid w:val="00D65B98"/>
    <w:rsid w:val="00D705D0"/>
    <w:rsid w:val="00D75CAD"/>
    <w:rsid w:val="00D86ECB"/>
    <w:rsid w:val="00D910F2"/>
    <w:rsid w:val="00DB41D9"/>
    <w:rsid w:val="00DB4BC9"/>
    <w:rsid w:val="00DC6DAC"/>
    <w:rsid w:val="00DE70B8"/>
    <w:rsid w:val="00E059AB"/>
    <w:rsid w:val="00E10276"/>
    <w:rsid w:val="00E232FC"/>
    <w:rsid w:val="00E252A5"/>
    <w:rsid w:val="00E27124"/>
    <w:rsid w:val="00E453A7"/>
    <w:rsid w:val="00E73EBB"/>
    <w:rsid w:val="00E839E7"/>
    <w:rsid w:val="00EA2B6A"/>
    <w:rsid w:val="00EC2107"/>
    <w:rsid w:val="00EC32E1"/>
    <w:rsid w:val="00EC3C0C"/>
    <w:rsid w:val="00ED3078"/>
    <w:rsid w:val="00ED7CDC"/>
    <w:rsid w:val="00F00EDF"/>
    <w:rsid w:val="00F01E04"/>
    <w:rsid w:val="00F1671F"/>
    <w:rsid w:val="00F24114"/>
    <w:rsid w:val="00F24C18"/>
    <w:rsid w:val="00F250B1"/>
    <w:rsid w:val="00F2775E"/>
    <w:rsid w:val="00F4543E"/>
    <w:rsid w:val="00F51D9C"/>
    <w:rsid w:val="00F71E5F"/>
    <w:rsid w:val="00F851BB"/>
    <w:rsid w:val="00FB71DF"/>
    <w:rsid w:val="00FC1282"/>
    <w:rsid w:val="00FD0EAB"/>
    <w:rsid w:val="00FD7777"/>
    <w:rsid w:val="00FE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F519"/>
  <w15:docId w15:val="{9887A92F-62F9-4C43-894E-1ADDEF50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3" w:eastAsiaTheme="minorEastAsia" w:hAnsi="Source Sans 3" w:cs="Source Sans 3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1454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1454A"/>
  </w:style>
  <w:style w:type="paragraph" w:styleId="ab">
    <w:name w:val="footer"/>
    <w:basedOn w:val="a"/>
    <w:link w:val="Char2"/>
    <w:uiPriority w:val="99"/>
    <w:unhideWhenUsed/>
    <w:rsid w:val="0081454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1454A"/>
  </w:style>
  <w:style w:type="table" w:styleId="ac">
    <w:name w:val="Table Grid"/>
    <w:basedOn w:val="a1"/>
    <w:uiPriority w:val="39"/>
    <w:rsid w:val="00E232FC"/>
    <w:pPr>
      <w:jc w:val="both"/>
    </w:pPr>
    <w:rPr>
      <w:rFonts w:cstheme="minorBidi"/>
      <w:kern w:val="2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7F7AA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18</Pages>
  <Words>3629</Words>
  <Characters>20688</Characters>
  <Application>Microsoft Office Word</Application>
  <DocSecurity>0</DocSecurity>
  <Lines>172</Lines>
  <Paragraphs>48</Paragraphs>
  <ScaleCrop>false</ScaleCrop>
  <Company/>
  <LinksUpToDate>false</LinksUpToDate>
  <CharactersWithSpaces>24269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Soo Jin Na</cp:lastModifiedBy>
  <cp:revision>1</cp:revision>
  <dcterms:created xsi:type="dcterms:W3CDTF">2026-04-26T15:36:00Z</dcterms:created>
  <dcterms:modified xsi:type="dcterms:W3CDTF">2026-04-27T12:26:00Z</dcterms:modified>
</cp:coreProperties>
</file>