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F61D" w14:textId="77777777" w:rsidR="000F7899" w:rsidRDefault="009A306C">
      <w:pPr>
        <w:spacing w:before="2880" w:after="3120"/>
        <w:jc w:val="center"/>
      </w:pPr>
      <w:r>
        <w:rPr>
          <w:rFonts w:eastAsia="Source Sans 3"/>
          <w:b/>
          <w:bCs/>
          <w:color w:val="1428A0"/>
          <w:sz w:val="56"/>
          <w:szCs w:val="56"/>
        </w:rPr>
        <w:t>Protocol for Prevention of Ventilator-Associated Pneumonia</w:t>
      </w:r>
    </w:p>
    <w:tbl>
      <w:tblPr>
        <w:tblW w:w="544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3157"/>
      </w:tblGrid>
      <w:tr w:rsidR="000F7899" w14:paraId="47A9F620" w14:textId="77777777" w:rsidTr="00835B73">
        <w:trPr>
          <w:tblHeader/>
          <w:jc w:val="right"/>
        </w:trPr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47A9F61E" w14:textId="77777777" w:rsidR="000F7899" w:rsidRDefault="009A306C">
            <w:pPr>
              <w:spacing w:before="40" w:after="40"/>
              <w:jc w:val="center"/>
            </w:pPr>
            <w:r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</w:tcPr>
          <w:p w14:paraId="47A9F61F" w14:textId="77777777" w:rsidR="000F7899" w:rsidRDefault="009A306C">
            <w:pPr>
              <w:spacing w:before="40" w:after="40"/>
              <w:jc w:val="center"/>
            </w:pPr>
            <w:r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0F7899" w14:paraId="47A9F623" w14:textId="77777777" w:rsidTr="00835B73">
        <w:trPr>
          <w:jc w:val="right"/>
        </w:trPr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F621" w14:textId="77777777" w:rsidR="000F7899" w:rsidRDefault="009A306C">
            <w:pPr>
              <w:spacing w:before="40" w:after="40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Initial Version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F622" w14:textId="77777777" w:rsidR="000F7899" w:rsidRDefault="009A306C">
            <w:pPr>
              <w:spacing w:before="40" w:after="40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2014.09.24</w:t>
            </w:r>
          </w:p>
        </w:tc>
      </w:tr>
      <w:tr w:rsidR="000F7899" w14:paraId="47A9F626" w14:textId="77777777" w:rsidTr="00835B73">
        <w:trPr>
          <w:jc w:val="right"/>
        </w:trPr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F624" w14:textId="77777777" w:rsidR="000F7899" w:rsidRDefault="009A306C">
            <w:pPr>
              <w:spacing w:before="40" w:after="40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1st Revision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F625" w14:textId="77777777" w:rsidR="000F7899" w:rsidRDefault="009A306C">
            <w:pPr>
              <w:spacing w:before="40" w:after="40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2019.09.21</w:t>
            </w:r>
          </w:p>
        </w:tc>
      </w:tr>
      <w:tr w:rsidR="000F7899" w14:paraId="47A9F629" w14:textId="77777777" w:rsidTr="00835B73">
        <w:trPr>
          <w:jc w:val="right"/>
        </w:trPr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F627" w14:textId="77777777" w:rsidR="000F7899" w:rsidRDefault="009A306C">
            <w:pPr>
              <w:spacing w:before="40" w:after="40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2nd Revision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F628" w14:textId="77777777" w:rsidR="000F7899" w:rsidRDefault="009A306C">
            <w:pPr>
              <w:spacing w:before="40" w:after="40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2026.03.02</w:t>
            </w:r>
          </w:p>
        </w:tc>
      </w:tr>
    </w:tbl>
    <w:p w14:paraId="47A9F62A" w14:textId="77777777" w:rsidR="000F7899" w:rsidRDefault="000F7899">
      <w:pPr>
        <w:sectPr w:rsidR="000F789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47A9F62B" w14:textId="77777777" w:rsidR="000F7899" w:rsidRDefault="009A306C">
      <w:pPr>
        <w:pStyle w:val="a4"/>
        <w:numPr>
          <w:ilvl w:val="0"/>
          <w:numId w:val="2"/>
        </w:numPr>
      </w:pPr>
      <w:r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Definition</w:t>
      </w:r>
    </w:p>
    <w:p w14:paraId="47A9F62C" w14:textId="77777777" w:rsidR="000F7899" w:rsidRPr="00157E76" w:rsidRDefault="009A306C" w:rsidP="00157E76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57E76">
        <w:rPr>
          <w:rFonts w:eastAsia="Source Sans 3"/>
          <w:b/>
          <w:bCs/>
          <w:color w:val="000000"/>
          <w:sz w:val="24"/>
          <w:szCs w:val="24"/>
        </w:rPr>
        <w:t>Hospital-acquired pneumonia (HAP)</w:t>
      </w:r>
    </w:p>
    <w:p w14:paraId="47A9F62D" w14:textId="77777777" w:rsidR="000F7899" w:rsidRDefault="009A306C" w:rsidP="00157E76">
      <w:pPr>
        <w:pStyle w:val="a4"/>
        <w:numPr>
          <w:ilvl w:val="5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Pneumonia that occurs ≥ 48 hours after admission and did not appear to be incubating at the time of admission</w:t>
      </w:r>
    </w:p>
    <w:p w14:paraId="47A9F62E" w14:textId="77777777" w:rsidR="000F7899" w:rsidRPr="00157E76" w:rsidRDefault="009A306C" w:rsidP="00157E76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57E76">
        <w:rPr>
          <w:rFonts w:eastAsia="Source Sans 3"/>
          <w:b/>
          <w:bCs/>
          <w:color w:val="000000"/>
          <w:sz w:val="24"/>
          <w:szCs w:val="24"/>
        </w:rPr>
        <w:t>Ventilator-associated pneumonia (VAP)</w:t>
      </w:r>
    </w:p>
    <w:p w14:paraId="47A9F62F" w14:textId="77777777" w:rsidR="000F7899" w:rsidRDefault="009A306C" w:rsidP="00157E76">
      <w:pPr>
        <w:pStyle w:val="a4"/>
        <w:numPr>
          <w:ilvl w:val="5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A type of HAP that develops ≥ 48 hours after initiation of invasive mechanical ventilation</w:t>
      </w:r>
    </w:p>
    <w:p w14:paraId="47A9F630" w14:textId="77777777" w:rsidR="000F7899" w:rsidRPr="00157E76" w:rsidRDefault="009A306C" w:rsidP="00157E76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57E76">
        <w:rPr>
          <w:rFonts w:eastAsia="Source Sans 3"/>
          <w:b/>
          <w:bCs/>
          <w:color w:val="000000"/>
          <w:sz w:val="24"/>
          <w:szCs w:val="24"/>
        </w:rPr>
        <w:t>Ventilator-associated events (VAE)</w:t>
      </w:r>
    </w:p>
    <w:p w14:paraId="47A9F631" w14:textId="77777777" w:rsidR="000F7899" w:rsidRDefault="009A306C" w:rsidP="00157E76">
      <w:pPr>
        <w:pStyle w:val="a4"/>
        <w:numPr>
          <w:ilvl w:val="5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Sustained increase in ventilator settings (</w:t>
      </w:r>
      <w:proofErr w:type="spellStart"/>
      <w:r>
        <w:rPr>
          <w:rFonts w:eastAsia="Source Sans 3"/>
          <w:color w:val="000000"/>
          <w:sz w:val="22"/>
          <w:szCs w:val="22"/>
        </w:rPr>
        <w:t>FiO</w:t>
      </w:r>
      <w:proofErr w:type="spellEnd"/>
      <w:r>
        <w:rPr>
          <w:rFonts w:eastAsia="Source Sans 3"/>
          <w:color w:val="000000"/>
          <w:sz w:val="22"/>
          <w:szCs w:val="22"/>
        </w:rPr>
        <w:t>₂ or PEEP) after a period of stable or decreasing support</w:t>
      </w:r>
    </w:p>
    <w:p w14:paraId="47A9F632" w14:textId="77777777" w:rsidR="000F7899" w:rsidRDefault="009A306C" w:rsidP="00157E76">
      <w:pPr>
        <w:pStyle w:val="a4"/>
        <w:numPr>
          <w:ilvl w:val="5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Only ~25–33% of VAEs are due to pneumonia; other causes include fluid overload, atelectasis, and ARDS</w:t>
      </w:r>
    </w:p>
    <w:p w14:paraId="47A9F633" w14:textId="77777777" w:rsidR="000F7899" w:rsidRDefault="000F7899">
      <w:pPr>
        <w:spacing w:line="276" w:lineRule="auto"/>
      </w:pPr>
    </w:p>
    <w:p w14:paraId="47A9F634" w14:textId="77777777" w:rsidR="000F7899" w:rsidRDefault="009A306C">
      <w:pPr>
        <w:pStyle w:val="a4"/>
        <w:numPr>
          <w:ilvl w:val="0"/>
          <w:numId w:val="2"/>
        </w:numPr>
      </w:pPr>
      <w:r>
        <w:rPr>
          <w:rFonts w:eastAsia="Source Sans 3"/>
          <w:b/>
          <w:bCs/>
          <w:caps/>
          <w:color w:val="1428A0"/>
          <w:sz w:val="32"/>
          <w:szCs w:val="32"/>
        </w:rPr>
        <w:t>Indication</w:t>
      </w:r>
    </w:p>
    <w:p w14:paraId="47A9F635" w14:textId="053CB509" w:rsidR="000F7899" w:rsidRPr="00157E76" w:rsidRDefault="009A306C" w:rsidP="00157E76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57E76">
        <w:rPr>
          <w:rFonts w:eastAsia="Source Sans 3"/>
          <w:color w:val="000000"/>
          <w:sz w:val="24"/>
          <w:szCs w:val="24"/>
        </w:rPr>
        <w:t xml:space="preserve">Patients admitted to the </w:t>
      </w:r>
      <w:r w:rsidR="006A50D1">
        <w:rPr>
          <w:rFonts w:hint="eastAsia"/>
          <w:color w:val="000000"/>
          <w:sz w:val="24"/>
          <w:szCs w:val="24"/>
        </w:rPr>
        <w:t>intensive care unit</w:t>
      </w:r>
      <w:r w:rsidRPr="00157E76">
        <w:rPr>
          <w:rFonts w:eastAsia="Source Sans 3"/>
          <w:color w:val="000000"/>
          <w:sz w:val="24"/>
          <w:szCs w:val="24"/>
        </w:rPr>
        <w:t xml:space="preserve"> receiving invasive mechanical ventilation via an endotracheal (oral or nasal) or tracheostomy tube, from initiation of ventilation until liberation from the ventilator</w:t>
      </w:r>
    </w:p>
    <w:p w14:paraId="47A9F636" w14:textId="77777777" w:rsidR="000F7899" w:rsidRDefault="009A306C" w:rsidP="00157E76">
      <w:pPr>
        <w:pStyle w:val="a4"/>
        <w:numPr>
          <w:ilvl w:val="5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Procedures may be limited if patients are in the prone position, have difficulty opening the mouth, or are hemodynamically unstable</w:t>
      </w:r>
    </w:p>
    <w:p w14:paraId="47A9F637" w14:textId="77777777" w:rsidR="000F7899" w:rsidRDefault="000F7899">
      <w:pPr>
        <w:spacing w:line="276" w:lineRule="auto"/>
      </w:pPr>
    </w:p>
    <w:p w14:paraId="47A9F638" w14:textId="77777777" w:rsidR="000F7899" w:rsidRDefault="009A306C">
      <w:pPr>
        <w:pStyle w:val="a4"/>
        <w:numPr>
          <w:ilvl w:val="0"/>
          <w:numId w:val="2"/>
        </w:numPr>
      </w:pPr>
      <w:r>
        <w:rPr>
          <w:rFonts w:eastAsia="Source Sans 3"/>
          <w:b/>
          <w:bCs/>
          <w:caps/>
          <w:color w:val="1428A0"/>
          <w:sz w:val="32"/>
          <w:szCs w:val="32"/>
        </w:rPr>
        <w:t>Recommendations</w:t>
      </w:r>
    </w:p>
    <w:p w14:paraId="47A9F639" w14:textId="77777777" w:rsidR="000F7899" w:rsidRDefault="009A306C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>General Care Principles</w:t>
      </w:r>
    </w:p>
    <w:p w14:paraId="47A9F63A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Avoid intubation when possible</w:t>
      </w:r>
    </w:p>
    <w:p w14:paraId="47A9F63B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Use </w:t>
      </w:r>
      <w:proofErr w:type="gramStart"/>
      <w:r>
        <w:rPr>
          <w:rFonts w:eastAsia="Source Sans 3"/>
          <w:color w:val="000000"/>
          <w:sz w:val="22"/>
          <w:szCs w:val="22"/>
        </w:rPr>
        <w:t>noninvasive</w:t>
      </w:r>
      <w:proofErr w:type="gramEnd"/>
      <w:r>
        <w:rPr>
          <w:rFonts w:eastAsia="Source Sans 3"/>
          <w:color w:val="000000"/>
          <w:sz w:val="22"/>
          <w:szCs w:val="22"/>
        </w:rPr>
        <w:t xml:space="preserve"> respiratory support modalities including non-invasive positive pressure ventilation or high-flow nasal cannula whenever safe and feasible, including the 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period to prevent reintubation</w:t>
      </w:r>
    </w:p>
    <w:p w14:paraId="47A9F63C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Assess daily for readiness to be liberated from ventilatory support as early as clinically appropriate</w:t>
      </w:r>
    </w:p>
    <w:p w14:paraId="47A9F63D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Minimize sedation</w:t>
      </w:r>
    </w:p>
    <w:p w14:paraId="47A9F63E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Keep patients under light sedation whenever possible</w:t>
      </w:r>
    </w:p>
    <w:p w14:paraId="47A9F63F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Avoid benzodiazepines when possible</w:t>
      </w:r>
    </w:p>
    <w:p w14:paraId="47A9F640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Provide early exercise and mobilization</w:t>
      </w:r>
    </w:p>
    <w:p w14:paraId="47A9F641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lastRenderedPageBreak/>
        <w:t>Provide early enteral rather than parenteral nutrition</w:t>
      </w:r>
    </w:p>
    <w:p w14:paraId="47A9F642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Ventilator circuit management</w:t>
      </w:r>
    </w:p>
    <w:p w14:paraId="47A9F643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Change the ventilator circuit only if visibly soiled or malfunctioning</w:t>
      </w:r>
    </w:p>
    <w:p w14:paraId="47A9F644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Drain circuit condensate away from the patient</w:t>
      </w:r>
    </w:p>
    <w:p w14:paraId="47A9F645" w14:textId="77777777" w:rsidR="000F7899" w:rsidRDefault="009A306C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>Preventing Aspiration</w:t>
      </w:r>
    </w:p>
    <w:p w14:paraId="47A9F646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Patient positioning</w:t>
      </w:r>
    </w:p>
    <w:p w14:paraId="47A9F647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b/>
          <w:bCs/>
          <w:color w:val="000000"/>
          <w:sz w:val="22"/>
          <w:szCs w:val="22"/>
        </w:rPr>
        <w:t>Elevate the head of the bed to 30–45°</w:t>
      </w:r>
      <w:r>
        <w:rPr>
          <w:rFonts w:eastAsia="Source Sans 3"/>
          <w:color w:val="000000"/>
          <w:sz w:val="22"/>
          <w:szCs w:val="22"/>
        </w:rPr>
        <w:t>, including during position changes</w:t>
      </w:r>
    </w:p>
    <w:p w14:paraId="47A9F648" w14:textId="77777777" w:rsidR="000F7899" w:rsidRDefault="009A306C" w:rsidP="00751E87">
      <w:pPr>
        <w:pStyle w:val="a4"/>
        <w:numPr>
          <w:ilvl w:val="5"/>
          <w:numId w:val="2"/>
        </w:numPr>
        <w:ind w:left="1191" w:hanging="284"/>
      </w:pPr>
      <w:r>
        <w:rPr>
          <w:rFonts w:eastAsia="Source Sans 3"/>
          <w:color w:val="000000"/>
          <w:sz w:val="22"/>
          <w:szCs w:val="22"/>
        </w:rPr>
        <w:t>Check for patient discomfort and risk of pressure injury</w:t>
      </w:r>
    </w:p>
    <w:p w14:paraId="47A9F649" w14:textId="77777777" w:rsidR="000F7899" w:rsidRDefault="009A306C" w:rsidP="00751E87">
      <w:pPr>
        <w:pStyle w:val="a4"/>
        <w:numPr>
          <w:ilvl w:val="5"/>
          <w:numId w:val="2"/>
        </w:numPr>
        <w:ind w:left="1191" w:hanging="284"/>
      </w:pPr>
      <w:r>
        <w:rPr>
          <w:rFonts w:eastAsia="Source Sans 3"/>
          <w:color w:val="000000"/>
          <w:sz w:val="22"/>
          <w:szCs w:val="22"/>
        </w:rPr>
        <w:t>Use appropriate tilt adjustment and bedding facilities</w:t>
      </w:r>
    </w:p>
    <w:p w14:paraId="47A9F64A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Management of endotracheal tube</w:t>
      </w:r>
    </w:p>
    <w:p w14:paraId="47A9F64B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Maintain endotracheal tube cuff pressure at </w:t>
      </w:r>
      <w:r>
        <w:rPr>
          <w:rFonts w:eastAsia="Source Sans 3"/>
          <w:b/>
          <w:bCs/>
          <w:color w:val="000000"/>
          <w:sz w:val="22"/>
          <w:szCs w:val="22"/>
        </w:rPr>
        <w:t xml:space="preserve">minimal occlusive settings (20–30 </w:t>
      </w:r>
      <w:proofErr w:type="spellStart"/>
      <w:r>
        <w:rPr>
          <w:rFonts w:eastAsia="Source Sans 3"/>
          <w:b/>
          <w:bCs/>
          <w:color w:val="000000"/>
          <w:sz w:val="22"/>
          <w:szCs w:val="22"/>
        </w:rPr>
        <w:t>cmH₂O</w:t>
      </w:r>
      <w:proofErr w:type="spellEnd"/>
      <w:r>
        <w:rPr>
          <w:rFonts w:eastAsia="Source Sans 3"/>
          <w:b/>
          <w:bCs/>
          <w:color w:val="000000"/>
          <w:sz w:val="22"/>
          <w:szCs w:val="22"/>
        </w:rPr>
        <w:t>)</w:t>
      </w:r>
    </w:p>
    <w:p w14:paraId="47A9F64C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For patients expected to require mechanical ventilation for &gt;48 hours, </w:t>
      </w:r>
      <w:r>
        <w:rPr>
          <w:rFonts w:eastAsia="Source Sans 3"/>
          <w:b/>
          <w:bCs/>
          <w:color w:val="000000"/>
          <w:sz w:val="22"/>
          <w:szCs w:val="22"/>
        </w:rPr>
        <w:t>use an endotracheal tube with a subglottic suction port</w:t>
      </w:r>
      <w:r>
        <w:rPr>
          <w:rFonts w:eastAsia="Source Sans 3"/>
          <w:color w:val="000000"/>
          <w:sz w:val="22"/>
          <w:szCs w:val="22"/>
        </w:rPr>
        <w:t xml:space="preserve">, if available (In our center: </w:t>
      </w:r>
      <w:proofErr w:type="spellStart"/>
      <w:r>
        <w:rPr>
          <w:rFonts w:eastAsia="Source Sans 3"/>
          <w:color w:val="000000"/>
          <w:sz w:val="22"/>
          <w:szCs w:val="22"/>
        </w:rPr>
        <w:t>TaperGuard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Evac, Medtronic)</w:t>
      </w:r>
    </w:p>
    <w:p w14:paraId="47A9F64D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For patients intubated with a subglottic-suction-capable tube or appropriate tracheostomy tube, apply continuous subglottic secretion aspiration</w:t>
      </w:r>
    </w:p>
    <w:p w14:paraId="47A9F64E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Suction oral secretions before each position change</w:t>
      </w:r>
    </w:p>
    <w:p w14:paraId="47A9F64F" w14:textId="77777777" w:rsidR="000F7899" w:rsidRDefault="009A306C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>Management of Oral Hygiene and Suction</w:t>
      </w:r>
    </w:p>
    <w:p w14:paraId="47A9F650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Oral hygiene</w:t>
      </w:r>
    </w:p>
    <w:p w14:paraId="47A9F651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Provide regular oral care </w:t>
      </w:r>
      <w:r>
        <w:rPr>
          <w:rFonts w:eastAsia="Source Sans 3"/>
          <w:b/>
          <w:bCs/>
          <w:color w:val="000000"/>
          <w:sz w:val="22"/>
          <w:szCs w:val="22"/>
        </w:rPr>
        <w:t>at least 3 times per day</w:t>
      </w:r>
      <w:r>
        <w:rPr>
          <w:rFonts w:eastAsia="Source Sans 3"/>
          <w:color w:val="000000"/>
          <w:sz w:val="22"/>
          <w:szCs w:val="22"/>
        </w:rPr>
        <w:t xml:space="preserve"> (once per nursing shift)</w:t>
      </w:r>
    </w:p>
    <w:p w14:paraId="47A9F652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Toothbrushing is recommended when feasible</w:t>
      </w:r>
    </w:p>
    <w:p w14:paraId="47A9F653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Use of chlorhexidine is no longer recommended</w:t>
      </w:r>
    </w:p>
    <w:p w14:paraId="47A9F654" w14:textId="77777777" w:rsidR="000F7899" w:rsidRDefault="009A306C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Suctioning</w:t>
      </w:r>
    </w:p>
    <w:p w14:paraId="47A9F655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Always perform hand hygiene before and after suction procedures; wear clean disposable gloves during procedures</w:t>
      </w:r>
    </w:p>
    <w:p w14:paraId="47A9F656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Use sterile saline (or sterile distilled water) for tube irrigation; replace with a new container each time</w:t>
      </w:r>
    </w:p>
    <w:p w14:paraId="47A9F657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Use separate catheters for oral suction and endotracheal suction</w:t>
      </w:r>
    </w:p>
    <w:p w14:paraId="47A9F658" w14:textId="77777777" w:rsidR="000F7899" w:rsidRDefault="009A306C" w:rsidP="00751E87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Use one suction collection bottle per patient. For continued use, empty at least once daily</w:t>
      </w:r>
    </w:p>
    <w:p w14:paraId="47A9F659" w14:textId="77777777" w:rsidR="000F7899" w:rsidRDefault="000F7899">
      <w:pPr>
        <w:spacing w:line="276" w:lineRule="auto"/>
      </w:pPr>
    </w:p>
    <w:p w14:paraId="58D7B513" w14:textId="77777777" w:rsidR="0028719D" w:rsidRDefault="0028719D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47A9F65A" w14:textId="6E449A13" w:rsidR="000F7899" w:rsidRDefault="009A306C">
      <w:pPr>
        <w:pStyle w:val="a4"/>
        <w:numPr>
          <w:ilvl w:val="0"/>
          <w:numId w:val="2"/>
        </w:numPr>
      </w:pPr>
      <w:r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References</w:t>
      </w:r>
    </w:p>
    <w:p w14:paraId="47A9F65B" w14:textId="77777777" w:rsidR="000F7899" w:rsidRDefault="009A306C" w:rsidP="00751E87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Kalil AC, </w:t>
      </w:r>
      <w:proofErr w:type="spellStart"/>
      <w:r>
        <w:rPr>
          <w:rFonts w:eastAsia="Source Sans 3"/>
          <w:color w:val="000000"/>
          <w:sz w:val="22"/>
          <w:szCs w:val="22"/>
        </w:rPr>
        <w:t>Metersky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ML, </w:t>
      </w:r>
      <w:proofErr w:type="spellStart"/>
      <w:r>
        <w:rPr>
          <w:rFonts w:eastAsia="Source Sans 3"/>
          <w:color w:val="000000"/>
          <w:sz w:val="22"/>
          <w:szCs w:val="22"/>
        </w:rPr>
        <w:t>Klompas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M, et al. Management of Adults </w:t>
      </w:r>
      <w:proofErr w:type="gramStart"/>
      <w:r>
        <w:rPr>
          <w:rFonts w:eastAsia="Source Sans 3"/>
          <w:color w:val="000000"/>
          <w:sz w:val="22"/>
          <w:szCs w:val="22"/>
        </w:rPr>
        <w:t>With</w:t>
      </w:r>
      <w:proofErr w:type="gramEnd"/>
      <w:r>
        <w:rPr>
          <w:rFonts w:eastAsia="Source Sans 3"/>
          <w:color w:val="000000"/>
          <w:sz w:val="22"/>
          <w:szCs w:val="22"/>
        </w:rPr>
        <w:t xml:space="preserve"> Hospital-acquired and Ventilator-associated Pneumonia: 2016 Clinical Practice Guidelines by the IDSA and ATS. Clin Infect Dis 2016; </w:t>
      </w:r>
      <w:proofErr w:type="gramStart"/>
      <w:r>
        <w:rPr>
          <w:rFonts w:eastAsia="Source Sans 3"/>
          <w:color w:val="000000"/>
          <w:sz w:val="22"/>
          <w:szCs w:val="22"/>
        </w:rPr>
        <w:t>63:e</w:t>
      </w:r>
      <w:proofErr w:type="gramEnd"/>
      <w:r>
        <w:rPr>
          <w:rFonts w:eastAsia="Source Sans 3"/>
          <w:color w:val="000000"/>
          <w:sz w:val="22"/>
          <w:szCs w:val="22"/>
        </w:rPr>
        <w:t>61.</w:t>
      </w:r>
    </w:p>
    <w:p w14:paraId="47A9F65C" w14:textId="77777777" w:rsidR="000F7899" w:rsidRDefault="009A306C" w:rsidP="00751E87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eastAsia="Source Sans 3"/>
          <w:color w:val="000000"/>
          <w:sz w:val="22"/>
          <w:szCs w:val="22"/>
        </w:rPr>
        <w:t>Klompas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M, Branson R, Eichenwald EC, et al. Strategies to prevent ventilator-associated pneumonia in acute care hospitals: 2014 update. Infect Control Hosp Epidemiol. 2014;35(8):915-36.</w:t>
      </w:r>
    </w:p>
    <w:p w14:paraId="47A9F65D" w14:textId="77777777" w:rsidR="000F7899" w:rsidRDefault="009A306C" w:rsidP="00751E87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eastAsia="Source Sans 3"/>
          <w:color w:val="000000"/>
          <w:sz w:val="22"/>
          <w:szCs w:val="22"/>
        </w:rPr>
        <w:t>Klompas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M, Branson R, </w:t>
      </w:r>
      <w:proofErr w:type="spellStart"/>
      <w:r>
        <w:rPr>
          <w:rFonts w:eastAsia="Source Sans 3"/>
          <w:color w:val="000000"/>
          <w:sz w:val="22"/>
          <w:szCs w:val="22"/>
        </w:rPr>
        <w:t>Cawcutt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K, et al. Strategies to prevent ventilator-associated pneumonia, ventilator-associated events, and </w:t>
      </w:r>
      <w:proofErr w:type="spellStart"/>
      <w:r>
        <w:rPr>
          <w:rFonts w:eastAsia="Source Sans 3"/>
          <w:color w:val="000000"/>
          <w:sz w:val="22"/>
          <w:szCs w:val="22"/>
        </w:rPr>
        <w:t>nonventilator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hospital-acquired pneumonia in acute-care hospitals: 2022 Update. Infect Control Hosp Epidemiol. 2022;43(6):687-713.</w:t>
      </w:r>
    </w:p>
    <w:p w14:paraId="47A9F65E" w14:textId="77777777" w:rsidR="000F7899" w:rsidRDefault="009A306C" w:rsidP="00751E87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Rosenthal VD, Memish ZA, Bearman G, et al. Preventing ventilator-associated pneumonia: A position paper of the International Society for Infectious Diseases, 2024 update. Int J Infect Dis. </w:t>
      </w:r>
      <w:proofErr w:type="gramStart"/>
      <w:r>
        <w:rPr>
          <w:rFonts w:eastAsia="Source Sans 3"/>
          <w:color w:val="000000"/>
          <w:sz w:val="22"/>
          <w:szCs w:val="22"/>
        </w:rPr>
        <w:t>2025;151:107305</w:t>
      </w:r>
      <w:proofErr w:type="gramEnd"/>
      <w:r>
        <w:rPr>
          <w:rFonts w:eastAsia="Source Sans 3"/>
          <w:color w:val="000000"/>
          <w:sz w:val="22"/>
          <w:szCs w:val="22"/>
        </w:rPr>
        <w:t>.</w:t>
      </w:r>
    </w:p>
    <w:sectPr w:rsidR="000F7899">
      <w:headerReference w:type="default" r:id="rId13"/>
      <w:footerReference w:type="default" r:id="rId14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5E4F" w14:textId="77777777" w:rsidR="00B93F32" w:rsidRDefault="00B93F32">
      <w:r>
        <w:separator/>
      </w:r>
    </w:p>
  </w:endnote>
  <w:endnote w:type="continuationSeparator" w:id="0">
    <w:p w14:paraId="41346E60" w14:textId="77777777" w:rsidR="00B93F32" w:rsidRDefault="00B93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8B925" w14:textId="77777777" w:rsidR="00186CFA" w:rsidRDefault="00186CF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5F" w14:textId="77777777" w:rsidR="000F7899" w:rsidRDefault="009A306C">
    <w:pPr>
      <w:jc w:val="right"/>
    </w:pPr>
    <w:r>
      <w:rPr>
        <w:noProof/>
      </w:rPr>
      <w:drawing>
        <wp:inline distT="0" distB="0" distL="0" distR="0" wp14:anchorId="47A9F663" wp14:editId="47A9F664">
          <wp:extent cx="277177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0" w14:textId="77777777" w:rsidR="000F7899" w:rsidRDefault="009A306C">
    <w:pPr>
      <w:jc w:val="right"/>
    </w:pPr>
    <w:r>
      <w:rPr>
        <w:noProof/>
      </w:rPr>
      <w:drawing>
        <wp:inline distT="0" distB="0" distL="0" distR="0" wp14:anchorId="47A9F665" wp14:editId="47A9F666">
          <wp:extent cx="2771775" cy="542925"/>
          <wp:effectExtent l="0" t="0" r="0" b="0"/>
          <wp:docPr id="422775495" name="그림 4227754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2" w14:textId="59D541CC" w:rsidR="000F7899" w:rsidRDefault="009A306C">
    <w:pPr>
      <w:pBdr>
        <w:top w:val="single" w:sz="4" w:space="4" w:color="CCCCCC"/>
      </w:pBdr>
      <w:spacing w:before="60"/>
      <w:jc w:val="center"/>
    </w:pPr>
    <w:r>
      <w:rPr>
        <w:rFonts w:eastAsia="Source Sans 3"/>
        <w:color w:val="666666"/>
        <w:sz w:val="18"/>
        <w:szCs w:val="18"/>
      </w:rPr>
      <w:t xml:space="preserve">- </w:t>
    </w:r>
    <w:r>
      <w:rPr>
        <w:rFonts w:eastAsia="Source Sans 3"/>
        <w:color w:val="666666"/>
        <w:sz w:val="18"/>
        <w:szCs w:val="18"/>
      </w:rPr>
      <w:fldChar w:fldCharType="begin"/>
    </w:r>
    <w:r>
      <w:rPr>
        <w:rFonts w:eastAsia="Source Sans 3"/>
        <w:color w:val="666666"/>
        <w:sz w:val="18"/>
        <w:szCs w:val="18"/>
      </w:rPr>
      <w:instrText>PAGE</w:instrText>
    </w:r>
    <w:r>
      <w:rPr>
        <w:rFonts w:eastAsia="Source Sans 3"/>
        <w:color w:val="666666"/>
        <w:sz w:val="18"/>
        <w:szCs w:val="18"/>
      </w:rPr>
      <w:fldChar w:fldCharType="separate"/>
    </w:r>
    <w:r w:rsidR="00161B77">
      <w:rPr>
        <w:rFonts w:eastAsia="Source Sans 3"/>
        <w:noProof/>
        <w:color w:val="666666"/>
        <w:sz w:val="18"/>
        <w:szCs w:val="18"/>
      </w:rPr>
      <w:t>1</w:t>
    </w:r>
    <w:r>
      <w:rPr>
        <w:rFonts w:eastAsia="Source Sans 3"/>
        <w:color w:val="666666"/>
        <w:sz w:val="18"/>
        <w:szCs w:val="18"/>
      </w:rPr>
      <w:fldChar w:fldCharType="end"/>
    </w:r>
    <w:r>
      <w:rPr>
        <w:rFonts w:eastAsia="Source Sans 3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D40F" w14:textId="77777777" w:rsidR="00B93F32" w:rsidRDefault="00B93F32">
      <w:r>
        <w:separator/>
      </w:r>
    </w:p>
  </w:footnote>
  <w:footnote w:type="continuationSeparator" w:id="0">
    <w:p w14:paraId="740FC460" w14:textId="77777777" w:rsidR="00B93F32" w:rsidRDefault="00B93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B6B8" w14:textId="77777777" w:rsidR="00186CFA" w:rsidRDefault="00186CF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B" w14:textId="77777777" w:rsidR="00A4050E" w:rsidRDefault="009A306C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D" w14:textId="77777777" w:rsidR="00A4050E" w:rsidRDefault="009A306C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F661" w14:textId="6A10202F" w:rsidR="000F7899" w:rsidRDefault="009A306C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eastAsia="Source Sans 3"/>
        <w:color w:val="000000"/>
        <w:sz w:val="18"/>
        <w:szCs w:val="18"/>
      </w:rPr>
      <w:t>VAP Prevention Protocol</w:t>
    </w:r>
    <w:r>
      <w:tab/>
    </w:r>
    <w:r>
      <w:rPr>
        <w:noProof/>
      </w:rPr>
      <w:drawing>
        <wp:inline distT="0" distB="0" distL="0" distR="0" wp14:anchorId="47A9F667" wp14:editId="47A9F668">
          <wp:extent cx="1123950" cy="219075"/>
          <wp:effectExtent l="0" t="0" r="0" b="0"/>
          <wp:docPr id="1467095909" name="그림 14670959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2C08"/>
    <w:multiLevelType w:val="hybridMultilevel"/>
    <w:tmpl w:val="E63895CE"/>
    <w:lvl w:ilvl="0" w:tplc="72B2B754">
      <w:start w:val="1"/>
      <w:numFmt w:val="upperRoman"/>
      <w:suff w:val="space"/>
      <w:lvlText w:val="%1."/>
      <w:lvlJc w:val="left"/>
      <w:pPr>
        <w:spacing w:before="400" w:after="0" w:line="276" w:lineRule="auto"/>
        <w:ind w:left="0" w:firstLine="0"/>
        <w:jc w:val="left"/>
      </w:pPr>
      <w:rPr>
        <w:rFonts w:ascii="Source Sans 3" w:eastAsia="Source Sans 3" w:hAnsi="Source Sans 3" w:cs="Source Sans 3"/>
        <w:b/>
        <w:bCs/>
        <w:caps/>
        <w:color w:val="1428A0"/>
        <w:sz w:val="32"/>
        <w:szCs w:val="32"/>
      </w:rPr>
    </w:lvl>
    <w:lvl w:ilvl="1" w:tplc="C6320716">
      <w:start w:val="1"/>
      <w:numFmt w:val="decimal"/>
      <w:lvlText w:val="%2."/>
      <w:lvlJc w:val="left"/>
      <w:pPr>
        <w:tabs>
          <w:tab w:val="num" w:pos="283"/>
        </w:tabs>
        <w:spacing w:before="320" w:after="0" w:line="276" w:lineRule="auto"/>
        <w:ind w:left="283" w:hanging="283"/>
      </w:pPr>
      <w:rPr>
        <w:rFonts w:ascii="Source Sans 3" w:eastAsia="Source Sans 3" w:hAnsi="Source Sans 3" w:cs="Source Sans 3"/>
        <w:b/>
        <w:bCs/>
        <w:color w:val="0A4BFF"/>
        <w:sz w:val="28"/>
        <w:szCs w:val="28"/>
      </w:rPr>
    </w:lvl>
    <w:lvl w:ilvl="2" w:tplc="5B3EC9F2">
      <w:start w:val="1"/>
      <w:numFmt w:val="decimal"/>
      <w:suff w:val="space"/>
      <w:lvlText w:val="(%3)"/>
      <w:lvlJc w:val="left"/>
      <w:pPr>
        <w:spacing w:before="120" w:after="0" w:line="276" w:lineRule="auto"/>
        <w:ind w:left="566" w:hanging="283"/>
      </w:pPr>
      <w:rPr>
        <w:rFonts w:ascii="Source Sans 3" w:eastAsia="Source Sans 3" w:hAnsi="Source Sans 3" w:cs="Source Sans 3"/>
        <w:b/>
        <w:bCs/>
        <w:color w:val="000000"/>
        <w:sz w:val="24"/>
        <w:szCs w:val="24"/>
      </w:rPr>
    </w:lvl>
    <w:lvl w:ilvl="3" w:tplc="D8BEA6CC">
      <w:start w:val="1"/>
      <w:numFmt w:val="decimalEnclosedCircle"/>
      <w:lvlText w:val="%4"/>
      <w:lvlJc w:val="left"/>
      <w:pPr>
        <w:tabs>
          <w:tab w:val="num" w:pos="963"/>
        </w:tabs>
        <w:spacing w:before="0" w:after="0" w:line="276" w:lineRule="auto"/>
        <w:ind w:left="963" w:hanging="340"/>
      </w:pPr>
      <w:rPr>
        <w:rFonts w:ascii="Source Sans 3" w:eastAsia="Source Sans 3" w:hAnsi="Source Sans 3" w:cs="Source Sans 3"/>
        <w:color w:val="000000"/>
        <w:sz w:val="22"/>
        <w:szCs w:val="22"/>
        <w:highlight w:val="none"/>
      </w:rPr>
    </w:lvl>
    <w:lvl w:ilvl="4" w:tplc="84427190">
      <w:start w:val="1"/>
      <w:numFmt w:val="bullet"/>
      <w:lvlText w:val="•"/>
      <w:lvlJc w:val="left"/>
      <w:pPr>
        <w:tabs>
          <w:tab w:val="num" w:pos="1189"/>
        </w:tabs>
        <w:spacing w:before="0" w:after="0" w:line="276" w:lineRule="auto"/>
        <w:ind w:left="1189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5" w:tplc="FE243124">
      <w:start w:val="1"/>
      <w:numFmt w:val="bullet"/>
      <w:lvlText w:val="–"/>
      <w:lvlJc w:val="left"/>
      <w:pPr>
        <w:tabs>
          <w:tab w:val="num" w:pos="1472"/>
        </w:tabs>
        <w:spacing w:before="0" w:after="0" w:line="276" w:lineRule="auto"/>
        <w:ind w:left="1472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6" w:tplc="7F988BA4">
      <w:numFmt w:val="decimal"/>
      <w:lvlText w:val=""/>
      <w:lvlJc w:val="left"/>
    </w:lvl>
    <w:lvl w:ilvl="7" w:tplc="B35C46FE">
      <w:numFmt w:val="decimal"/>
      <w:lvlText w:val=""/>
      <w:lvlJc w:val="left"/>
    </w:lvl>
    <w:lvl w:ilvl="8" w:tplc="D6A05242">
      <w:numFmt w:val="decimal"/>
      <w:lvlText w:val=""/>
      <w:lvlJc w:val="left"/>
    </w:lvl>
  </w:abstractNum>
  <w:abstractNum w:abstractNumId="1" w15:restartNumberingAfterBreak="0">
    <w:nsid w:val="5E5246E4"/>
    <w:multiLevelType w:val="hybridMultilevel"/>
    <w:tmpl w:val="AC0E0C6E"/>
    <w:lvl w:ilvl="0" w:tplc="3D8EF3FA">
      <w:start w:val="1"/>
      <w:numFmt w:val="bullet"/>
      <w:lvlText w:val="●"/>
      <w:lvlJc w:val="left"/>
      <w:pPr>
        <w:ind w:left="720" w:hanging="360"/>
      </w:pPr>
    </w:lvl>
    <w:lvl w:ilvl="1" w:tplc="6122CF4C">
      <w:start w:val="1"/>
      <w:numFmt w:val="bullet"/>
      <w:lvlText w:val="○"/>
      <w:lvlJc w:val="left"/>
      <w:pPr>
        <w:ind w:left="1440" w:hanging="360"/>
      </w:pPr>
    </w:lvl>
    <w:lvl w:ilvl="2" w:tplc="1B3E8D38">
      <w:start w:val="1"/>
      <w:numFmt w:val="bullet"/>
      <w:lvlText w:val="■"/>
      <w:lvlJc w:val="left"/>
      <w:pPr>
        <w:ind w:left="2160" w:hanging="360"/>
      </w:pPr>
    </w:lvl>
    <w:lvl w:ilvl="3" w:tplc="051A392A">
      <w:start w:val="1"/>
      <w:numFmt w:val="bullet"/>
      <w:lvlText w:val="●"/>
      <w:lvlJc w:val="left"/>
      <w:pPr>
        <w:ind w:left="2880" w:hanging="360"/>
      </w:pPr>
    </w:lvl>
    <w:lvl w:ilvl="4" w:tplc="504AB888">
      <w:start w:val="1"/>
      <w:numFmt w:val="bullet"/>
      <w:lvlText w:val="○"/>
      <w:lvlJc w:val="left"/>
      <w:pPr>
        <w:ind w:left="3600" w:hanging="360"/>
      </w:pPr>
    </w:lvl>
    <w:lvl w:ilvl="5" w:tplc="F1226A0A">
      <w:start w:val="1"/>
      <w:numFmt w:val="bullet"/>
      <w:lvlText w:val="■"/>
      <w:lvlJc w:val="left"/>
      <w:pPr>
        <w:ind w:left="4320" w:hanging="360"/>
      </w:pPr>
    </w:lvl>
    <w:lvl w:ilvl="6" w:tplc="9318AC2A">
      <w:start w:val="1"/>
      <w:numFmt w:val="bullet"/>
      <w:lvlText w:val="●"/>
      <w:lvlJc w:val="left"/>
      <w:pPr>
        <w:ind w:left="5040" w:hanging="360"/>
      </w:pPr>
    </w:lvl>
    <w:lvl w:ilvl="7" w:tplc="567417F4">
      <w:start w:val="1"/>
      <w:numFmt w:val="bullet"/>
      <w:lvlText w:val="●"/>
      <w:lvlJc w:val="left"/>
      <w:pPr>
        <w:ind w:left="5760" w:hanging="360"/>
      </w:pPr>
    </w:lvl>
    <w:lvl w:ilvl="8" w:tplc="5262D9AA">
      <w:start w:val="1"/>
      <w:numFmt w:val="bullet"/>
      <w:lvlText w:val="●"/>
      <w:lvlJc w:val="left"/>
      <w:pPr>
        <w:ind w:left="6480" w:hanging="360"/>
      </w:pPr>
    </w:lvl>
  </w:abstractNum>
  <w:num w:numId="1" w16cid:durableId="2009289357">
    <w:abstractNumId w:val="1"/>
    <w:lvlOverride w:ilvl="0">
      <w:startOverride w:val="1"/>
    </w:lvlOverride>
  </w:num>
  <w:num w:numId="2" w16cid:durableId="1247572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899"/>
    <w:rsid w:val="000A786A"/>
    <w:rsid w:val="000F7899"/>
    <w:rsid w:val="00157E76"/>
    <w:rsid w:val="00161B77"/>
    <w:rsid w:val="00186CFA"/>
    <w:rsid w:val="00265AAB"/>
    <w:rsid w:val="0028719D"/>
    <w:rsid w:val="003322AD"/>
    <w:rsid w:val="00415B32"/>
    <w:rsid w:val="006A50D1"/>
    <w:rsid w:val="00751E87"/>
    <w:rsid w:val="00835B73"/>
    <w:rsid w:val="0092514E"/>
    <w:rsid w:val="009A306C"/>
    <w:rsid w:val="009B5848"/>
    <w:rsid w:val="00A4050E"/>
    <w:rsid w:val="00AF0C40"/>
    <w:rsid w:val="00B9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9F61D"/>
  <w15:docId w15:val="{6A6D6E4D-B6C6-419D-9695-7B6BF44D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Theme="minorEastAsia" w:hAnsi="Source Sans 3" w:cs="Source Sans 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86CF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86CFA"/>
  </w:style>
  <w:style w:type="paragraph" w:styleId="ab">
    <w:name w:val="footer"/>
    <w:basedOn w:val="a"/>
    <w:link w:val="Char2"/>
    <w:uiPriority w:val="99"/>
    <w:unhideWhenUsed/>
    <w:rsid w:val="00186CF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86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2</cp:revision>
  <dcterms:created xsi:type="dcterms:W3CDTF">2026-04-10T03:31:00Z</dcterms:created>
  <dcterms:modified xsi:type="dcterms:W3CDTF">2026-04-27T13:54:00Z</dcterms:modified>
</cp:coreProperties>
</file>