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F61D" w14:textId="77777777" w:rsidR="000F7899" w:rsidRDefault="00000000">
      <w:pPr>
        <w:spacing w:before="2880" w:after="3120"/>
        <w:jc w:val="center"/>
      </w:pPr>
      <w:r>
        <w:rPr>
          <w:rFonts w:ascii="Outfit" w:eastAsia="Outfit" w:hAnsi="Outfit" w:cs="Outfit"/>
          <w:b/>
          <w:bCs/>
          <w:color w:val="1428A0"/>
          <w:sz w:val="56"/>
          <w:szCs w:val="56"/>
        </w:rPr>
        <w:t>Protocol for Prevention of Ventilator-Associated Pneumonia</w:t>
      </w:r>
    </w:p>
    <w:tbl>
      <w:tblPr>
        <w:tblW w:w="544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3157"/>
      </w:tblGrid>
      <w:tr w:rsidR="000F7899" w14:paraId="47A9F620" w14:textId="77777777" w:rsidTr="00835B73"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A9F61E" w14:textId="77777777" w:rsidR="000F7899" w:rsidRDefault="00000000">
            <w:pPr>
              <w:spacing w:before="40" w:after="40"/>
              <w:jc w:val="center"/>
            </w:pPr>
            <w:r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A9F61F" w14:textId="77777777" w:rsidR="000F7899" w:rsidRDefault="00000000">
            <w:pPr>
              <w:spacing w:before="40" w:after="40"/>
              <w:jc w:val="center"/>
            </w:pPr>
            <w:r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0F7899" w14:paraId="47A9F623" w14:textId="77777777" w:rsidTr="00835B73"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A9F621" w14:textId="77777777" w:rsidR="000F7899" w:rsidRDefault="00000000">
            <w:pPr>
              <w:spacing w:before="40" w:after="40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Initial Version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A9F622" w14:textId="77777777" w:rsidR="000F7899" w:rsidRDefault="00000000">
            <w:pPr>
              <w:spacing w:before="40" w:after="40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2014.09.24</w:t>
            </w:r>
          </w:p>
        </w:tc>
      </w:tr>
      <w:tr w:rsidR="000F7899" w14:paraId="47A9F626" w14:textId="77777777" w:rsidTr="00835B73"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A9F624" w14:textId="77777777" w:rsidR="000F7899" w:rsidRDefault="00000000">
            <w:pPr>
              <w:spacing w:before="40" w:after="40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1st Revision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A9F625" w14:textId="77777777" w:rsidR="000F7899" w:rsidRDefault="00000000">
            <w:pPr>
              <w:spacing w:before="40" w:after="40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2019.09.21</w:t>
            </w:r>
          </w:p>
        </w:tc>
      </w:tr>
      <w:tr w:rsidR="000F7899" w14:paraId="47A9F629" w14:textId="77777777" w:rsidTr="00835B73"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A9F627" w14:textId="77777777" w:rsidR="000F7899" w:rsidRDefault="00000000">
            <w:pPr>
              <w:spacing w:before="40" w:after="40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2nd Revision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A9F628" w14:textId="77777777" w:rsidR="000F7899" w:rsidRDefault="00000000">
            <w:pPr>
              <w:spacing w:before="40" w:after="40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2026.03.02</w:t>
            </w:r>
          </w:p>
        </w:tc>
      </w:tr>
    </w:tbl>
    <w:p w14:paraId="47A9F62A" w14:textId="77777777" w:rsidR="000F7899" w:rsidRDefault="000F7899">
      <w:pPr>
        <w:sectPr w:rsidR="000F789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47A9F62B" w14:textId="77777777" w:rsidR="000F7899" w:rsidRDefault="00000000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Definition</w:t>
      </w:r>
    </w:p>
    <w:p w14:paraId="47A9F62C" w14:textId="77777777" w:rsidR="000F7899" w:rsidRPr="00157E76" w:rsidRDefault="00000000" w:rsidP="00157E76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57E76">
        <w:rPr>
          <w:rFonts w:ascii="Outfit" w:eastAsia="Outfit" w:hAnsi="Outfit" w:cs="Outfit"/>
          <w:b/>
          <w:bCs/>
          <w:color w:val="000000"/>
          <w:sz w:val="24"/>
          <w:szCs w:val="24"/>
        </w:rPr>
        <w:t>Hospital-acquired pneumonia (HAP)</w:t>
      </w:r>
    </w:p>
    <w:p w14:paraId="47A9F62D" w14:textId="77777777" w:rsidR="000F7899" w:rsidRDefault="00000000" w:rsidP="00157E76">
      <w:pPr>
        <w:pStyle w:val="a4"/>
        <w:numPr>
          <w:ilvl w:val="5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Pneumonia that occurs ≥ 48 hours after admission and did not appear to be incubating at the time of admission</w:t>
      </w:r>
    </w:p>
    <w:p w14:paraId="47A9F62E" w14:textId="77777777" w:rsidR="000F7899" w:rsidRPr="00157E76" w:rsidRDefault="00000000" w:rsidP="00157E76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57E76">
        <w:rPr>
          <w:rFonts w:ascii="Outfit" w:eastAsia="Outfit" w:hAnsi="Outfit" w:cs="Outfit"/>
          <w:b/>
          <w:bCs/>
          <w:color w:val="000000"/>
          <w:sz w:val="24"/>
          <w:szCs w:val="24"/>
        </w:rPr>
        <w:t>Ventilator-associated pneumonia (VAP)</w:t>
      </w:r>
    </w:p>
    <w:p w14:paraId="47A9F62F" w14:textId="77777777" w:rsidR="000F7899" w:rsidRDefault="00000000" w:rsidP="00157E76">
      <w:pPr>
        <w:pStyle w:val="a4"/>
        <w:numPr>
          <w:ilvl w:val="5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 type of HAP that develops ≥ 48 hours after initiation of invasive mechanical ventilation</w:t>
      </w:r>
    </w:p>
    <w:p w14:paraId="47A9F630" w14:textId="77777777" w:rsidR="000F7899" w:rsidRPr="00157E76" w:rsidRDefault="00000000" w:rsidP="00157E76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57E76">
        <w:rPr>
          <w:rFonts w:ascii="Outfit" w:eastAsia="Outfit" w:hAnsi="Outfit" w:cs="Outfit"/>
          <w:b/>
          <w:bCs/>
          <w:color w:val="000000"/>
          <w:sz w:val="24"/>
          <w:szCs w:val="24"/>
        </w:rPr>
        <w:t>Ventilator-associated events (VAE)</w:t>
      </w:r>
    </w:p>
    <w:p w14:paraId="47A9F631" w14:textId="77777777" w:rsidR="000F7899" w:rsidRDefault="00000000" w:rsidP="00157E76">
      <w:pPr>
        <w:pStyle w:val="a4"/>
        <w:numPr>
          <w:ilvl w:val="5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Sustained increase in ventilator settings (FiO₂ or PEEP) after a period of stable or decreasing support</w:t>
      </w:r>
    </w:p>
    <w:p w14:paraId="47A9F632" w14:textId="77777777" w:rsidR="000F7899" w:rsidRDefault="00000000" w:rsidP="00157E76">
      <w:pPr>
        <w:pStyle w:val="a4"/>
        <w:numPr>
          <w:ilvl w:val="5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Only ~25–33% of VAEs are due to pneumonia; other causes include fluid overload, atelectasis, and ARDS</w:t>
      </w:r>
    </w:p>
    <w:p w14:paraId="47A9F633" w14:textId="77777777" w:rsidR="000F7899" w:rsidRDefault="000F7899">
      <w:pPr>
        <w:spacing w:line="276" w:lineRule="auto"/>
      </w:pPr>
    </w:p>
    <w:p w14:paraId="47A9F634" w14:textId="77777777" w:rsidR="000F7899" w:rsidRDefault="00000000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t>Indication</w:t>
      </w:r>
    </w:p>
    <w:p w14:paraId="47A9F635" w14:textId="053CB509" w:rsidR="000F7899" w:rsidRPr="00157E76" w:rsidRDefault="00000000" w:rsidP="00157E76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57E76">
        <w:rPr>
          <w:rFonts w:ascii="Outfit" w:eastAsia="Outfit" w:hAnsi="Outfit" w:cs="Outfit"/>
          <w:color w:val="000000"/>
          <w:sz w:val="24"/>
          <w:szCs w:val="24"/>
        </w:rPr>
        <w:t xml:space="preserve">Patients admitted to the </w:t>
      </w:r>
      <w:r w:rsidR="006A50D1">
        <w:rPr>
          <w:rFonts w:ascii="Outfit" w:hAnsi="Outfit" w:cs="Outfit" w:hint="eastAsia"/>
          <w:color w:val="000000"/>
          <w:sz w:val="24"/>
          <w:szCs w:val="24"/>
        </w:rPr>
        <w:t>intensive care unit</w:t>
      </w:r>
      <w:r w:rsidRPr="00157E76">
        <w:rPr>
          <w:rFonts w:ascii="Outfit" w:eastAsia="Outfit" w:hAnsi="Outfit" w:cs="Outfit"/>
          <w:color w:val="000000"/>
          <w:sz w:val="24"/>
          <w:szCs w:val="24"/>
        </w:rPr>
        <w:t xml:space="preserve"> receiving invasive mechanical ventilation via an endotracheal (oral or nasal) or tracheostomy tube, from initiation of ventilation until liberation from the ventilator</w:t>
      </w:r>
    </w:p>
    <w:p w14:paraId="47A9F636" w14:textId="77777777" w:rsidR="000F7899" w:rsidRDefault="00000000" w:rsidP="00157E76">
      <w:pPr>
        <w:pStyle w:val="a4"/>
        <w:numPr>
          <w:ilvl w:val="5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Procedures may be limited if patients are in the prone position, have difficulty opening the mouth, or are hemodynamically unstable</w:t>
      </w:r>
    </w:p>
    <w:p w14:paraId="47A9F637" w14:textId="77777777" w:rsidR="000F7899" w:rsidRDefault="000F7899">
      <w:pPr>
        <w:spacing w:line="276" w:lineRule="auto"/>
      </w:pPr>
    </w:p>
    <w:p w14:paraId="47A9F638" w14:textId="77777777" w:rsidR="000F7899" w:rsidRDefault="00000000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t>Recommendations</w:t>
      </w:r>
    </w:p>
    <w:p w14:paraId="47A9F639" w14:textId="77777777" w:rsidR="000F7899" w:rsidRDefault="00000000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General Care Principles</w:t>
      </w:r>
    </w:p>
    <w:p w14:paraId="47A9F63A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Avoid intubation when possible</w:t>
      </w:r>
    </w:p>
    <w:p w14:paraId="47A9F63B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Use noninvasive respiratory support modalities including non-invasive positive pressure ventilation or high-flow nasal cannula whenever safe and feasible, including the post-extubation period to prevent reintubation</w:t>
      </w:r>
    </w:p>
    <w:p w14:paraId="47A9F63C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Assess daily for readiness to be liberated from ventilatory support as early as clinically appropriate</w:t>
      </w:r>
    </w:p>
    <w:p w14:paraId="47A9F63D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Minimize sedation</w:t>
      </w:r>
    </w:p>
    <w:p w14:paraId="47A9F63E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Keep patients under light sedation whenever possible</w:t>
      </w:r>
    </w:p>
    <w:p w14:paraId="47A9F63F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Avoid benzodiazepines when possible</w:t>
      </w:r>
    </w:p>
    <w:p w14:paraId="47A9F640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Provide early exercise and mobilization</w:t>
      </w:r>
    </w:p>
    <w:p w14:paraId="47A9F641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Provide early enteral rather than parenteral nutrition</w:t>
      </w:r>
    </w:p>
    <w:p w14:paraId="47A9F642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Ventilator circuit management</w:t>
      </w:r>
    </w:p>
    <w:p w14:paraId="47A9F643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Change the ventilator circuit only if visibly soiled or malfunctioning</w:t>
      </w:r>
    </w:p>
    <w:p w14:paraId="47A9F644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Drain circuit condensate away from the patient</w:t>
      </w:r>
    </w:p>
    <w:p w14:paraId="47A9F645" w14:textId="77777777" w:rsidR="000F7899" w:rsidRDefault="00000000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lastRenderedPageBreak/>
        <w:t>Preventing Aspiration</w:t>
      </w:r>
    </w:p>
    <w:p w14:paraId="47A9F646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Patient positioning</w:t>
      </w:r>
    </w:p>
    <w:p w14:paraId="47A9F647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Elevate the head of the bed to 30–45°</w:t>
      </w:r>
      <w:r>
        <w:rPr>
          <w:rFonts w:ascii="Outfit" w:eastAsia="Outfit" w:hAnsi="Outfit" w:cs="Outfit"/>
          <w:color w:val="000000"/>
          <w:sz w:val="22"/>
          <w:szCs w:val="22"/>
        </w:rPr>
        <w:t>, including during position changes</w:t>
      </w:r>
    </w:p>
    <w:p w14:paraId="47A9F648" w14:textId="77777777" w:rsidR="000F7899" w:rsidRDefault="00000000" w:rsidP="00751E87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Check for patient discomfort and risk of pressure injury</w:t>
      </w:r>
    </w:p>
    <w:p w14:paraId="47A9F649" w14:textId="77777777" w:rsidR="000F7899" w:rsidRDefault="00000000" w:rsidP="00751E87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>Use appropriate tilt adjustment and bedding facilities</w:t>
      </w:r>
    </w:p>
    <w:p w14:paraId="47A9F64A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Management of endotracheal tube</w:t>
      </w:r>
    </w:p>
    <w:p w14:paraId="47A9F64B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Maintain endotracheal tube cuff pressure at </w:t>
      </w: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minimal occlusive settings (20–30 cmH₂O)</w:t>
      </w:r>
    </w:p>
    <w:p w14:paraId="47A9F64C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For patients expected to require mechanical ventilation for &gt;48 hours, </w:t>
      </w: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use an endotracheal tube with a subglottic suction port</w:t>
      </w:r>
      <w:r>
        <w:rPr>
          <w:rFonts w:ascii="Outfit" w:eastAsia="Outfit" w:hAnsi="Outfit" w:cs="Outfit"/>
          <w:color w:val="000000"/>
          <w:sz w:val="22"/>
          <w:szCs w:val="22"/>
        </w:rPr>
        <w:t>, if available (In our center: TaperGuard Evac, Medtronic)</w:t>
      </w:r>
    </w:p>
    <w:p w14:paraId="47A9F64D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For patients intubated with a subglottic-suction-capable tube or appropriate tracheostomy tube, apply continuous subglottic secretion aspiration</w:t>
      </w:r>
    </w:p>
    <w:p w14:paraId="47A9F64E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Suction oral secretions before each position change</w:t>
      </w:r>
    </w:p>
    <w:p w14:paraId="47A9F64F" w14:textId="77777777" w:rsidR="000F7899" w:rsidRDefault="00000000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Management of Oral Hygiene and Suction</w:t>
      </w:r>
    </w:p>
    <w:p w14:paraId="47A9F650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Oral hygiene</w:t>
      </w:r>
    </w:p>
    <w:p w14:paraId="47A9F651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Provide regular oral care </w:t>
      </w: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at least 3 times per day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(once per nursing shift)</w:t>
      </w:r>
    </w:p>
    <w:p w14:paraId="47A9F652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Toothbrushing is recommended when feasible</w:t>
      </w:r>
    </w:p>
    <w:p w14:paraId="47A9F653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Use of chlorhexidine is no longer recommended</w:t>
      </w:r>
    </w:p>
    <w:p w14:paraId="47A9F654" w14:textId="77777777" w:rsidR="000F7899" w:rsidRDefault="00000000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Suctioning</w:t>
      </w:r>
    </w:p>
    <w:p w14:paraId="47A9F655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Always perform hand hygiene before and after suction procedures; wear clean disposable gloves during procedures</w:t>
      </w:r>
    </w:p>
    <w:p w14:paraId="47A9F656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Use sterile saline (or sterile distilled water) for tube irrigation; replace with a new container each time</w:t>
      </w:r>
    </w:p>
    <w:p w14:paraId="47A9F657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Use separate catheters for oral suction and endotracheal suction</w:t>
      </w:r>
    </w:p>
    <w:p w14:paraId="47A9F658" w14:textId="77777777" w:rsidR="000F7899" w:rsidRDefault="00000000" w:rsidP="00751E8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Use one suction collection bottle per patient. For continued use, empty at least once daily</w:t>
      </w:r>
    </w:p>
    <w:p w14:paraId="47A9F659" w14:textId="77777777" w:rsidR="000F7899" w:rsidRDefault="000F7899">
      <w:pPr>
        <w:spacing w:line="276" w:lineRule="auto"/>
      </w:pPr>
    </w:p>
    <w:p w14:paraId="47A9F65A" w14:textId="77777777" w:rsidR="000F7899" w:rsidRDefault="00000000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t>References</w:t>
      </w:r>
    </w:p>
    <w:p w14:paraId="47A9F65B" w14:textId="77777777" w:rsidR="000F7899" w:rsidRDefault="00000000" w:rsidP="00751E87">
      <w:pPr>
        <w:pStyle w:val="a4"/>
        <w:numPr>
          <w:ilvl w:val="4"/>
          <w:numId w:val="2"/>
        </w:numPr>
        <w:ind w:left="28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Kalil AC, Metersky ML, Klompas M, et al. Management of Adults With Hospital-acquired and Ventilator-associated Pneumonia: 2016 Clinical Practice Guidelines by the IDSA and ATS. Clin Infect Dis 2016; 63:e61.</w:t>
      </w:r>
    </w:p>
    <w:p w14:paraId="47A9F65C" w14:textId="77777777" w:rsidR="000F7899" w:rsidRDefault="00000000" w:rsidP="00751E87">
      <w:pPr>
        <w:pStyle w:val="a4"/>
        <w:numPr>
          <w:ilvl w:val="4"/>
          <w:numId w:val="2"/>
        </w:numPr>
        <w:ind w:left="28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Klompas M, Branson R, Eichenwald EC, et al. Strategies to prevent ventilator-associated pneumonia in acute care hospitals: 2014 update. Infect Control Hosp Epidemiol. 2014;35(8):915-36.</w:t>
      </w:r>
    </w:p>
    <w:p w14:paraId="47A9F65D" w14:textId="77777777" w:rsidR="000F7899" w:rsidRDefault="00000000" w:rsidP="00751E87">
      <w:pPr>
        <w:pStyle w:val="a4"/>
        <w:numPr>
          <w:ilvl w:val="4"/>
          <w:numId w:val="2"/>
        </w:numPr>
        <w:ind w:left="28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Klompas M, Branson R, Cawcutt K, et al. Strategies to prevent ventilator-associated pneumonia, ventilator-associated events, and nonventilator hospital-acquired pneumonia in acute-care hospitals: 2022 Update. Infect Control Hosp Epidemiol. 2022;43(6):687-713.</w:t>
      </w:r>
    </w:p>
    <w:p w14:paraId="47A9F65E" w14:textId="77777777" w:rsidR="000F7899" w:rsidRDefault="00000000" w:rsidP="00751E87">
      <w:pPr>
        <w:pStyle w:val="a4"/>
        <w:numPr>
          <w:ilvl w:val="4"/>
          <w:numId w:val="2"/>
        </w:numPr>
        <w:ind w:left="284" w:hanging="284"/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>Rosenthal VD, Memish ZA, Bearman G, et al. Preventing ventilator-associated pneumonia: A position paper of the International Society for Infectious Diseases, 2024 update. Int J Infect Dis. 2025;151:107305.</w:t>
      </w:r>
    </w:p>
    <w:sectPr w:rsidR="000F7899">
      <w:headerReference w:type="default" r:id="rId13"/>
      <w:footerReference w:type="default" r:id="rId14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B5603" w14:textId="77777777" w:rsidR="00AF0C40" w:rsidRDefault="00AF0C40">
      <w:r>
        <w:separator/>
      </w:r>
    </w:p>
  </w:endnote>
  <w:endnote w:type="continuationSeparator" w:id="0">
    <w:p w14:paraId="690EE9C5" w14:textId="77777777" w:rsidR="00AF0C40" w:rsidRDefault="00AF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8B925" w14:textId="77777777" w:rsidR="00186CFA" w:rsidRDefault="00186CF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5F" w14:textId="77777777" w:rsidR="000F7899" w:rsidRDefault="00000000">
    <w:pPr>
      <w:jc w:val="right"/>
    </w:pPr>
    <w:r>
      <w:rPr>
        <w:noProof/>
      </w:rPr>
      <w:drawing>
        <wp:inline distT="0" distB="0" distL="0" distR="0" wp14:anchorId="47A9F663" wp14:editId="47A9F664">
          <wp:extent cx="277177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0" w14:textId="77777777" w:rsidR="000F7899" w:rsidRDefault="00000000">
    <w:pPr>
      <w:jc w:val="right"/>
    </w:pPr>
    <w:r>
      <w:rPr>
        <w:noProof/>
      </w:rPr>
      <w:drawing>
        <wp:inline distT="0" distB="0" distL="0" distR="0" wp14:anchorId="47A9F665" wp14:editId="47A9F666">
          <wp:extent cx="2771775" cy="542925"/>
          <wp:effectExtent l="0" t="0" r="0" b="0"/>
          <wp:docPr id="422775495" name="그림 4227754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2" w14:textId="59D541CC" w:rsidR="000F7899" w:rsidRDefault="00000000">
    <w:pPr>
      <w:pBdr>
        <w:top w:val="single" w:sz="4" w:space="4" w:color="CCCCCC"/>
      </w:pBdr>
      <w:spacing w:before="60"/>
      <w:jc w:val="center"/>
    </w:pPr>
    <w:r>
      <w:rPr>
        <w:rFonts w:ascii="Outfit" w:eastAsia="Outfit" w:hAnsi="Outfit" w:cs="Outfit"/>
        <w:color w:val="666666"/>
        <w:sz w:val="18"/>
        <w:szCs w:val="18"/>
      </w:rPr>
      <w:t xml:space="preserve">- </w:t>
    </w:r>
    <w:r>
      <w:rPr>
        <w:rFonts w:ascii="Outfit" w:eastAsia="Outfit" w:hAnsi="Outfit" w:cs="Outfit"/>
        <w:color w:val="666666"/>
        <w:sz w:val="18"/>
        <w:szCs w:val="18"/>
      </w:rPr>
      <w:fldChar w:fldCharType="begin"/>
    </w:r>
    <w:r>
      <w:rPr>
        <w:rFonts w:ascii="Outfit" w:eastAsia="Outfit" w:hAnsi="Outfit" w:cs="Outfit"/>
        <w:color w:val="666666"/>
        <w:sz w:val="18"/>
        <w:szCs w:val="18"/>
      </w:rPr>
      <w:instrText>PAGE</w:instrText>
    </w:r>
    <w:r>
      <w:rPr>
        <w:rFonts w:ascii="Outfit" w:eastAsia="Outfit" w:hAnsi="Outfit" w:cs="Outfit"/>
        <w:color w:val="666666"/>
        <w:sz w:val="18"/>
        <w:szCs w:val="18"/>
      </w:rPr>
      <w:fldChar w:fldCharType="separate"/>
    </w:r>
    <w:r w:rsidR="00161B77">
      <w:rPr>
        <w:rFonts w:ascii="Outfit" w:eastAsia="Outfit" w:hAnsi="Outfit" w:cs="Outfit"/>
        <w:noProof/>
        <w:color w:val="666666"/>
        <w:sz w:val="18"/>
        <w:szCs w:val="18"/>
      </w:rPr>
      <w:t>1</w:t>
    </w:r>
    <w:r>
      <w:rPr>
        <w:rFonts w:ascii="Outfit" w:eastAsia="Outfit" w:hAnsi="Outfit" w:cs="Outfit"/>
        <w:color w:val="666666"/>
        <w:sz w:val="18"/>
        <w:szCs w:val="18"/>
      </w:rPr>
      <w:fldChar w:fldCharType="end"/>
    </w:r>
    <w:r>
      <w:rPr>
        <w:rFonts w:ascii="Outfit" w:eastAsia="Outfit" w:hAnsi="Outfit" w:cs="Outfit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1B8F4" w14:textId="77777777" w:rsidR="00AF0C40" w:rsidRDefault="00AF0C40">
      <w:r>
        <w:separator/>
      </w:r>
    </w:p>
  </w:footnote>
  <w:footnote w:type="continuationSeparator" w:id="0">
    <w:p w14:paraId="2B864091" w14:textId="77777777" w:rsidR="00AF0C40" w:rsidRDefault="00AF0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B6B8" w14:textId="77777777" w:rsidR="00186CFA" w:rsidRDefault="00186CF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B" w14:textId="77777777" w:rsidR="00A4050E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D" w14:textId="77777777" w:rsidR="00A4050E" w:rsidRDefault="00000000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1" w14:textId="6A10202F" w:rsidR="000F7899" w:rsidRDefault="00000000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Outfit" w:eastAsia="Outfit" w:hAnsi="Outfit" w:cs="Outfit"/>
        <w:color w:val="000000"/>
        <w:sz w:val="18"/>
        <w:szCs w:val="18"/>
      </w:rPr>
      <w:t>VAP</w:t>
    </w:r>
    <w:r w:rsidR="00186CFA">
      <w:rPr>
        <w:rFonts w:ascii="Outfit" w:hAnsi="Outfit" w:cs="Outfit" w:hint="eastAsia"/>
        <w:color w:val="000000"/>
        <w:sz w:val="18"/>
        <w:szCs w:val="18"/>
      </w:rPr>
      <w:t xml:space="preserve"> prevention protocol</w:t>
    </w:r>
    <w:r>
      <w:tab/>
    </w:r>
    <w:r>
      <w:rPr>
        <w:noProof/>
      </w:rPr>
      <w:drawing>
        <wp:inline distT="0" distB="0" distL="0" distR="0" wp14:anchorId="47A9F667" wp14:editId="47A9F668">
          <wp:extent cx="1123950" cy="219075"/>
          <wp:effectExtent l="0" t="0" r="0" b="0"/>
          <wp:docPr id="1467095909" name="그림 14670959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2C08"/>
    <w:multiLevelType w:val="hybridMultilevel"/>
    <w:tmpl w:val="E63895CE"/>
    <w:lvl w:ilvl="0" w:tplc="72B2B754">
      <w:start w:val="1"/>
      <w:numFmt w:val="upperRoman"/>
      <w:suff w:val="space"/>
      <w:lvlText w:val="%1."/>
      <w:lvlJc w:val="left"/>
      <w:pPr>
        <w:spacing w:before="400" w:after="0" w:line="276" w:lineRule="auto"/>
        <w:ind w:left="0" w:firstLine="0"/>
        <w:jc w:val="left"/>
      </w:pPr>
      <w:rPr>
        <w:rFonts w:ascii="Outfit" w:eastAsia="Outfit" w:hAnsi="Outfit" w:cs="Outfit"/>
        <w:b/>
        <w:bCs/>
        <w:caps/>
        <w:color w:val="1428A0"/>
        <w:sz w:val="32"/>
        <w:szCs w:val="32"/>
      </w:rPr>
    </w:lvl>
    <w:lvl w:ilvl="1" w:tplc="C6320716">
      <w:start w:val="1"/>
      <w:numFmt w:val="decimal"/>
      <w:lvlText w:val="%2."/>
      <w:lvlJc w:val="left"/>
      <w:pPr>
        <w:tabs>
          <w:tab w:val="num" w:pos="283"/>
        </w:tabs>
        <w:spacing w:before="200" w:after="0" w:line="276" w:lineRule="auto"/>
        <w:ind w:left="283" w:hanging="283"/>
      </w:pPr>
      <w:rPr>
        <w:rFonts w:ascii="Outfit" w:eastAsia="Outfit" w:hAnsi="Outfit" w:cs="Outfit"/>
        <w:b/>
        <w:bCs/>
        <w:color w:val="0A4BFF"/>
        <w:sz w:val="28"/>
        <w:szCs w:val="28"/>
      </w:rPr>
    </w:lvl>
    <w:lvl w:ilvl="2" w:tplc="5B3EC9F2">
      <w:start w:val="1"/>
      <w:numFmt w:val="decimal"/>
      <w:suff w:val="space"/>
      <w:lvlText w:val="(%3)"/>
      <w:lvlJc w:val="left"/>
      <w:pPr>
        <w:spacing w:before="0" w:after="0" w:line="276" w:lineRule="auto"/>
        <w:ind w:left="566" w:hanging="283"/>
      </w:pPr>
      <w:rPr>
        <w:rFonts w:ascii="Outfit" w:eastAsia="Outfit" w:hAnsi="Outfit" w:cs="Outfit"/>
        <w:b/>
        <w:bCs/>
        <w:color w:val="000000"/>
        <w:sz w:val="24"/>
        <w:szCs w:val="24"/>
      </w:rPr>
    </w:lvl>
    <w:lvl w:ilvl="3" w:tplc="D8BEA6CC">
      <w:start w:val="1"/>
      <w:numFmt w:val="decimalEnclosedCircle"/>
      <w:lvlText w:val="%4"/>
      <w:lvlJc w:val="left"/>
      <w:pPr>
        <w:tabs>
          <w:tab w:val="num" w:pos="963"/>
        </w:tabs>
        <w:spacing w:before="0" w:after="0" w:line="276" w:lineRule="auto"/>
        <w:ind w:left="963" w:hanging="340"/>
      </w:pPr>
      <w:rPr>
        <w:rFonts w:ascii="Outfit" w:eastAsia="Outfit" w:hAnsi="Outfit" w:cs="Outfit"/>
        <w:color w:val="000000"/>
        <w:sz w:val="22"/>
        <w:szCs w:val="22"/>
        <w:highlight w:val="none"/>
      </w:rPr>
    </w:lvl>
    <w:lvl w:ilvl="4" w:tplc="84427190">
      <w:start w:val="1"/>
      <w:numFmt w:val="bullet"/>
      <w:lvlText w:val="•"/>
      <w:lvlJc w:val="left"/>
      <w:pPr>
        <w:tabs>
          <w:tab w:val="num" w:pos="1189"/>
        </w:tabs>
        <w:spacing w:before="0" w:after="0" w:line="276" w:lineRule="auto"/>
        <w:ind w:left="1189" w:hanging="283"/>
      </w:pPr>
      <w:rPr>
        <w:rFonts w:ascii="Outfit" w:eastAsia="Outfit" w:hAnsi="Outfit" w:cs="Outfit"/>
        <w:color w:val="000000"/>
        <w:sz w:val="22"/>
        <w:szCs w:val="22"/>
      </w:rPr>
    </w:lvl>
    <w:lvl w:ilvl="5" w:tplc="FE243124">
      <w:start w:val="1"/>
      <w:numFmt w:val="bullet"/>
      <w:lvlText w:val="–"/>
      <w:lvlJc w:val="left"/>
      <w:pPr>
        <w:tabs>
          <w:tab w:val="num" w:pos="1472"/>
        </w:tabs>
        <w:spacing w:before="0" w:after="0" w:line="276" w:lineRule="auto"/>
        <w:ind w:left="1472" w:hanging="283"/>
      </w:pPr>
      <w:rPr>
        <w:rFonts w:ascii="Outfit" w:eastAsia="Outfit" w:hAnsi="Outfit" w:cs="Outfit"/>
        <w:color w:val="000000"/>
        <w:sz w:val="22"/>
        <w:szCs w:val="22"/>
      </w:rPr>
    </w:lvl>
    <w:lvl w:ilvl="6" w:tplc="7F988BA4">
      <w:numFmt w:val="decimal"/>
      <w:lvlText w:val=""/>
      <w:lvlJc w:val="left"/>
    </w:lvl>
    <w:lvl w:ilvl="7" w:tplc="B35C46FE">
      <w:numFmt w:val="decimal"/>
      <w:lvlText w:val=""/>
      <w:lvlJc w:val="left"/>
    </w:lvl>
    <w:lvl w:ilvl="8" w:tplc="D6A05242">
      <w:numFmt w:val="decimal"/>
      <w:lvlText w:val=""/>
      <w:lvlJc w:val="left"/>
    </w:lvl>
  </w:abstractNum>
  <w:abstractNum w:abstractNumId="1" w15:restartNumberingAfterBreak="0">
    <w:nsid w:val="5E5246E4"/>
    <w:multiLevelType w:val="hybridMultilevel"/>
    <w:tmpl w:val="AC0E0C6E"/>
    <w:lvl w:ilvl="0" w:tplc="3D8EF3FA">
      <w:start w:val="1"/>
      <w:numFmt w:val="bullet"/>
      <w:lvlText w:val="●"/>
      <w:lvlJc w:val="left"/>
      <w:pPr>
        <w:ind w:left="720" w:hanging="360"/>
      </w:pPr>
    </w:lvl>
    <w:lvl w:ilvl="1" w:tplc="6122CF4C">
      <w:start w:val="1"/>
      <w:numFmt w:val="bullet"/>
      <w:lvlText w:val="○"/>
      <w:lvlJc w:val="left"/>
      <w:pPr>
        <w:ind w:left="1440" w:hanging="360"/>
      </w:pPr>
    </w:lvl>
    <w:lvl w:ilvl="2" w:tplc="1B3E8D38">
      <w:start w:val="1"/>
      <w:numFmt w:val="bullet"/>
      <w:lvlText w:val="■"/>
      <w:lvlJc w:val="left"/>
      <w:pPr>
        <w:ind w:left="2160" w:hanging="360"/>
      </w:pPr>
    </w:lvl>
    <w:lvl w:ilvl="3" w:tplc="051A392A">
      <w:start w:val="1"/>
      <w:numFmt w:val="bullet"/>
      <w:lvlText w:val="●"/>
      <w:lvlJc w:val="left"/>
      <w:pPr>
        <w:ind w:left="2880" w:hanging="360"/>
      </w:pPr>
    </w:lvl>
    <w:lvl w:ilvl="4" w:tplc="504AB888">
      <w:start w:val="1"/>
      <w:numFmt w:val="bullet"/>
      <w:lvlText w:val="○"/>
      <w:lvlJc w:val="left"/>
      <w:pPr>
        <w:ind w:left="3600" w:hanging="360"/>
      </w:pPr>
    </w:lvl>
    <w:lvl w:ilvl="5" w:tplc="F1226A0A">
      <w:start w:val="1"/>
      <w:numFmt w:val="bullet"/>
      <w:lvlText w:val="■"/>
      <w:lvlJc w:val="left"/>
      <w:pPr>
        <w:ind w:left="4320" w:hanging="360"/>
      </w:pPr>
    </w:lvl>
    <w:lvl w:ilvl="6" w:tplc="9318AC2A">
      <w:start w:val="1"/>
      <w:numFmt w:val="bullet"/>
      <w:lvlText w:val="●"/>
      <w:lvlJc w:val="left"/>
      <w:pPr>
        <w:ind w:left="5040" w:hanging="360"/>
      </w:pPr>
    </w:lvl>
    <w:lvl w:ilvl="7" w:tplc="567417F4">
      <w:start w:val="1"/>
      <w:numFmt w:val="bullet"/>
      <w:lvlText w:val="●"/>
      <w:lvlJc w:val="left"/>
      <w:pPr>
        <w:ind w:left="5760" w:hanging="360"/>
      </w:pPr>
    </w:lvl>
    <w:lvl w:ilvl="8" w:tplc="5262D9AA">
      <w:start w:val="1"/>
      <w:numFmt w:val="bullet"/>
      <w:lvlText w:val="●"/>
      <w:lvlJc w:val="left"/>
      <w:pPr>
        <w:ind w:left="6480" w:hanging="360"/>
      </w:pPr>
    </w:lvl>
  </w:abstractNum>
  <w:num w:numId="1" w16cid:durableId="2009289357">
    <w:abstractNumId w:val="1"/>
    <w:lvlOverride w:ilvl="0">
      <w:startOverride w:val="1"/>
    </w:lvlOverride>
  </w:num>
  <w:num w:numId="2" w16cid:durableId="1247572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899"/>
    <w:rsid w:val="000A786A"/>
    <w:rsid w:val="000F7899"/>
    <w:rsid w:val="00157E76"/>
    <w:rsid w:val="00161B77"/>
    <w:rsid w:val="00186CFA"/>
    <w:rsid w:val="003322AD"/>
    <w:rsid w:val="006A50D1"/>
    <w:rsid w:val="00751E87"/>
    <w:rsid w:val="00835B73"/>
    <w:rsid w:val="009B5848"/>
    <w:rsid w:val="00A4050E"/>
    <w:rsid w:val="00AF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9F61D"/>
  <w15:docId w15:val="{6A6D6E4D-B6C6-419D-9695-7B6BF44D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86CF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86CFA"/>
  </w:style>
  <w:style w:type="paragraph" w:styleId="ab">
    <w:name w:val="footer"/>
    <w:basedOn w:val="a"/>
    <w:link w:val="Char2"/>
    <w:uiPriority w:val="99"/>
    <w:unhideWhenUsed/>
    <w:rsid w:val="00186CF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86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7</cp:revision>
  <dcterms:created xsi:type="dcterms:W3CDTF">2026-04-10T03:31:00Z</dcterms:created>
  <dcterms:modified xsi:type="dcterms:W3CDTF">2026-04-12T09:59:00Z</dcterms:modified>
</cp:coreProperties>
</file>