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E0128" w14:textId="77777777" w:rsidR="00EF430C" w:rsidRDefault="00000000" w:rsidP="00EF430C">
      <w:pPr>
        <w:spacing w:before="2880"/>
        <w:jc w:val="center"/>
        <w:rPr>
          <w:rFonts w:ascii="삼성명조 M" w:eastAsia="삼성명조 M" w:hAnsi="삼성명조 M" w:cs="삼성명조 M"/>
          <w:sz w:val="56"/>
          <w:szCs w:val="56"/>
        </w:rPr>
      </w:pPr>
      <w:r>
        <w:rPr>
          <w:rFonts w:ascii="삼성명조 M" w:eastAsia="삼성명조 M" w:hAnsi="삼성명조 M" w:cs="삼성명조 M"/>
          <w:b/>
          <w:bCs/>
          <w:color w:val="1428A0"/>
          <w:sz w:val="56"/>
          <w:szCs w:val="56"/>
        </w:rPr>
        <w:t>인공호흡기 관련 폐렴 예방</w:t>
      </w:r>
      <w:r>
        <w:rPr>
          <w:rFonts w:ascii="삼성명조 M" w:eastAsia="삼성명조 M" w:hAnsi="삼성명조 M" w:cs="삼성명조 M"/>
          <w:sz w:val="56"/>
          <w:szCs w:val="56"/>
        </w:rPr>
        <w:t xml:space="preserve"> </w:t>
      </w:r>
    </w:p>
    <w:p w14:paraId="0B077222" w14:textId="47379AE4" w:rsidR="005605CD" w:rsidRDefault="00000000" w:rsidP="00EF430C">
      <w:pPr>
        <w:spacing w:after="3120"/>
        <w:jc w:val="center"/>
      </w:pPr>
      <w:r>
        <w:rPr>
          <w:rFonts w:ascii="삼성명조 M" w:eastAsia="삼성명조 M" w:hAnsi="삼성명조 M" w:cs="삼성명조 M"/>
          <w:b/>
          <w:bCs/>
          <w:color w:val="1428A0"/>
          <w:sz w:val="56"/>
          <w:szCs w:val="56"/>
        </w:rPr>
        <w:t>프로토콜</w:t>
      </w:r>
    </w:p>
    <w:tbl>
      <w:tblPr>
        <w:tblW w:w="544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6"/>
        <w:gridCol w:w="3157"/>
      </w:tblGrid>
      <w:tr w:rsidR="005605CD" w14:paraId="0B077225" w14:textId="77777777" w:rsidTr="00E4198A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077223" w14:textId="77777777" w:rsidR="005605CD" w:rsidRDefault="00000000">
            <w:pPr>
              <w:spacing w:before="40" w:after="40"/>
              <w:jc w:val="center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버전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077224" w14:textId="77777777" w:rsidR="005605CD" w:rsidRDefault="00000000">
            <w:pPr>
              <w:spacing w:before="40" w:after="40"/>
              <w:jc w:val="center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날짜</w:t>
            </w:r>
          </w:p>
        </w:tc>
      </w:tr>
      <w:tr w:rsidR="005605CD" w14:paraId="0B077228" w14:textId="77777777" w:rsidTr="00E4198A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077226" w14:textId="77777777" w:rsidR="005605CD" w:rsidRDefault="00000000">
            <w:pPr>
              <w:spacing w:before="40" w:after="40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초판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077227" w14:textId="77777777" w:rsidR="005605CD" w:rsidRDefault="00000000">
            <w:pPr>
              <w:spacing w:before="40" w:after="40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2014.09.24</w:t>
            </w:r>
          </w:p>
        </w:tc>
      </w:tr>
      <w:tr w:rsidR="005605CD" w14:paraId="0B07722B" w14:textId="77777777" w:rsidTr="00E4198A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077229" w14:textId="77777777" w:rsidR="005605CD" w:rsidRDefault="00000000">
            <w:pPr>
              <w:spacing w:before="40" w:after="40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제1차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07722A" w14:textId="77777777" w:rsidR="005605CD" w:rsidRDefault="00000000">
            <w:pPr>
              <w:spacing w:before="40" w:after="40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2019.09.21</w:t>
            </w:r>
          </w:p>
        </w:tc>
      </w:tr>
      <w:tr w:rsidR="005605CD" w14:paraId="0B07722E" w14:textId="77777777" w:rsidTr="00E4198A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07722C" w14:textId="77777777" w:rsidR="005605CD" w:rsidRDefault="00000000">
            <w:pPr>
              <w:spacing w:before="40" w:after="40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제2차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07722D" w14:textId="77777777" w:rsidR="005605CD" w:rsidRDefault="00000000">
            <w:pPr>
              <w:spacing w:before="40" w:after="40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2026.03.02</w:t>
            </w:r>
          </w:p>
        </w:tc>
      </w:tr>
    </w:tbl>
    <w:p w14:paraId="0B07722F" w14:textId="77777777" w:rsidR="005605CD" w:rsidRDefault="005605CD">
      <w:pPr>
        <w:sectPr w:rsidR="005605CD">
          <w:footerReference w:type="default" r:id="rId7"/>
          <w:footerReference w:type="first" r:id="rId8"/>
          <w:pgSz w:w="11906" w:h="16838"/>
          <w:pgMar w:top="1417" w:right="1417" w:bottom="1417" w:left="1417" w:header="0" w:footer="1800" w:gutter="0"/>
          <w:pgNumType w:start="0"/>
          <w:cols w:space="720"/>
          <w:titlePg/>
          <w:docGrid w:linePitch="360"/>
        </w:sectPr>
      </w:pPr>
    </w:p>
    <w:p w14:paraId="0B077230" w14:textId="77777777" w:rsidR="005605CD" w:rsidRDefault="00000000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정의</w:t>
      </w:r>
    </w:p>
    <w:p w14:paraId="0B077231" w14:textId="77777777" w:rsidR="005605CD" w:rsidRPr="001E2265" w:rsidRDefault="00000000" w:rsidP="001E2265">
      <w:pPr>
        <w:pStyle w:val="a4"/>
        <w:numPr>
          <w:ilvl w:val="4"/>
          <w:numId w:val="2"/>
        </w:numPr>
        <w:ind w:left="284" w:hanging="284"/>
        <w:rPr>
          <w:sz w:val="22"/>
          <w:szCs w:val="22"/>
        </w:rPr>
      </w:pPr>
      <w:r w:rsidRPr="001E2265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병원획득 폐렴 (Hospital-acquired pneumonia, HAP)</w:t>
      </w:r>
    </w:p>
    <w:p w14:paraId="0B077232" w14:textId="77777777" w:rsidR="005605CD" w:rsidRDefault="00000000" w:rsidP="001E2265">
      <w:pPr>
        <w:pStyle w:val="a4"/>
        <w:numPr>
          <w:ilvl w:val="5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입원 48시간 이후 발생한 폐렴. 입원 당시 잠복 상태로 판단되는 감염은 제외</w:t>
      </w:r>
    </w:p>
    <w:p w14:paraId="0B077233" w14:textId="77777777" w:rsidR="005605CD" w:rsidRPr="001E2265" w:rsidRDefault="00000000" w:rsidP="001E2265">
      <w:pPr>
        <w:pStyle w:val="a4"/>
        <w:numPr>
          <w:ilvl w:val="4"/>
          <w:numId w:val="2"/>
        </w:numPr>
        <w:ind w:left="284" w:hanging="284"/>
        <w:rPr>
          <w:sz w:val="22"/>
          <w:szCs w:val="22"/>
        </w:rPr>
      </w:pPr>
      <w:r w:rsidRPr="001E2265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인공호흡기 관련 폐렴 (Ventilator-associated pneumonia, VAP)</w:t>
      </w:r>
    </w:p>
    <w:p w14:paraId="0B077234" w14:textId="77777777" w:rsidR="005605CD" w:rsidRDefault="00000000" w:rsidP="001E2265">
      <w:pPr>
        <w:pStyle w:val="a4"/>
        <w:numPr>
          <w:ilvl w:val="5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침습적 기계환기 시작 48시간 이후 발생하는 HAP의 한 유형</w:t>
      </w:r>
    </w:p>
    <w:p w14:paraId="0B077235" w14:textId="77777777" w:rsidR="005605CD" w:rsidRPr="001E2265" w:rsidRDefault="00000000" w:rsidP="001E2265">
      <w:pPr>
        <w:pStyle w:val="a4"/>
        <w:numPr>
          <w:ilvl w:val="4"/>
          <w:numId w:val="2"/>
        </w:numPr>
        <w:ind w:left="284" w:hanging="284"/>
        <w:rPr>
          <w:sz w:val="22"/>
          <w:szCs w:val="22"/>
        </w:rPr>
      </w:pPr>
      <w:r w:rsidRPr="001E2265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인공호흡기 관련 사건 (Ventilator-associated events, VAE)</w:t>
      </w:r>
    </w:p>
    <w:p w14:paraId="0B077236" w14:textId="77777777" w:rsidR="005605CD" w:rsidRDefault="00000000" w:rsidP="001E2265">
      <w:pPr>
        <w:pStyle w:val="a4"/>
        <w:numPr>
          <w:ilvl w:val="5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안정적이거나 감소하던 인공호흡기 설정(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 또는 PEEP)의 지속적 상승 상태</w:t>
      </w:r>
    </w:p>
    <w:p w14:paraId="0B077237" w14:textId="77777777" w:rsidR="005605CD" w:rsidRDefault="00000000" w:rsidP="001E2265">
      <w:pPr>
        <w:pStyle w:val="a4"/>
        <w:numPr>
          <w:ilvl w:val="5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원인의 약 25–33%만이 폐렴이며, 그 외 원인으로는 체액 과부하,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무기폐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급성 호흡곤란 증후군 등이 있음</w:t>
      </w:r>
    </w:p>
    <w:p w14:paraId="0B077238" w14:textId="77777777" w:rsidR="005605CD" w:rsidRDefault="005605CD">
      <w:pPr>
        <w:spacing w:line="300" w:lineRule="auto"/>
      </w:pPr>
    </w:p>
    <w:p w14:paraId="0B077239" w14:textId="77777777" w:rsidR="005605CD" w:rsidRDefault="00000000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적용 대상</w:t>
      </w:r>
    </w:p>
    <w:p w14:paraId="0B07723A" w14:textId="77777777" w:rsidR="005605CD" w:rsidRPr="001E2265" w:rsidRDefault="00000000" w:rsidP="001E2265">
      <w:pPr>
        <w:pStyle w:val="a4"/>
        <w:numPr>
          <w:ilvl w:val="4"/>
          <w:numId w:val="2"/>
        </w:numPr>
        <w:ind w:left="284" w:hanging="284"/>
        <w:rPr>
          <w:sz w:val="22"/>
          <w:szCs w:val="22"/>
        </w:rPr>
      </w:pPr>
      <w:r w:rsidRPr="001E2265">
        <w:rPr>
          <w:rFonts w:ascii="삼성명조 L" w:eastAsia="삼성명조 L" w:hAnsi="삼성명조 L" w:cs="삼성명조 L"/>
          <w:color w:val="000000"/>
          <w:sz w:val="24"/>
          <w:szCs w:val="24"/>
        </w:rPr>
        <w:t>기관내관 (구강 및 비강) 또는 기관절개관을 통해 기계 환기를 시작한 시점부터 인공호흡기 이탈까지의 중환자실 환자</w:t>
      </w:r>
    </w:p>
    <w:p w14:paraId="0B07723B" w14:textId="77777777" w:rsidR="005605CD" w:rsidRDefault="00000000" w:rsidP="001E2265">
      <w:pPr>
        <w:pStyle w:val="a4"/>
        <w:numPr>
          <w:ilvl w:val="5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단,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복와위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개구 불가, 혈역학적 불안정 환자의 경우엔 일부 처치가 제한될 수 있음</w:t>
      </w:r>
    </w:p>
    <w:p w14:paraId="0B07723C" w14:textId="77777777" w:rsidR="005605CD" w:rsidRDefault="005605CD">
      <w:pPr>
        <w:spacing w:line="300" w:lineRule="auto"/>
      </w:pPr>
    </w:p>
    <w:p w14:paraId="0B07723D" w14:textId="77777777" w:rsidR="005605CD" w:rsidRDefault="00000000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권고 사항</w:t>
      </w:r>
    </w:p>
    <w:p w14:paraId="0B07723E" w14:textId="77777777" w:rsidR="005605CD" w:rsidRDefault="00000000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일반 관리 원칙</w:t>
      </w:r>
    </w:p>
    <w:p w14:paraId="0B07723F" w14:textId="77777777" w:rsidR="005605CD" w:rsidRDefault="00000000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인공호흡기 사용 최소화 및 조기 이탈</w:t>
      </w:r>
    </w:p>
    <w:p w14:paraId="0B077240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가능한 경우 기관내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삽관을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피하고,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고유량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비강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캐뉴라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비침습적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양압환기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등 비침습적 호흡 보조의 사용을 우선 고려 (발관 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재삽관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예방을 위한 사용 포함)</w:t>
      </w:r>
    </w:p>
    <w:p w14:paraId="0B077241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임상적으로 적절할 경우 가능한 조기 이탈을 목표로 매일 인공호흡기 이탈 가능 여부를 평가</w:t>
      </w:r>
    </w:p>
    <w:p w14:paraId="0B077242" w14:textId="77777777" w:rsidR="005605CD" w:rsidRDefault="00000000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진정의 최소화</w:t>
      </w:r>
    </w:p>
    <w:p w14:paraId="0B077243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가능하다면 경도의 진정(light sedation) 상태 유지</w:t>
      </w:r>
    </w:p>
    <w:p w14:paraId="0B077244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벤조디아제핀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계열 약제 사용 지양</w:t>
      </w:r>
    </w:p>
    <w:p w14:paraId="0B077245" w14:textId="77777777" w:rsidR="005605CD" w:rsidRDefault="00000000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조기 재활 시행</w:t>
      </w:r>
    </w:p>
    <w:p w14:paraId="0B077246" w14:textId="77777777" w:rsidR="005605CD" w:rsidRDefault="00000000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정맥영양보다는 경관영양을 조기에 시작</w:t>
      </w:r>
    </w:p>
    <w:p w14:paraId="0B077247" w14:textId="77777777" w:rsidR="005605CD" w:rsidRDefault="00000000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인공호흡기 회로 관리</w:t>
      </w:r>
    </w:p>
    <w:p w14:paraId="0B077248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오염 또는 오작동 시에만 교체</w:t>
      </w:r>
    </w:p>
    <w:p w14:paraId="0B077249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회로 내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응결수는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확인 시 제거</w:t>
      </w:r>
    </w:p>
    <w:p w14:paraId="0B07724A" w14:textId="77777777" w:rsidR="005605CD" w:rsidRDefault="00000000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흡인 예방</w:t>
      </w:r>
    </w:p>
    <w:p w14:paraId="0B07724B" w14:textId="77777777" w:rsidR="005605CD" w:rsidRDefault="00000000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환자 체위</w:t>
      </w:r>
    </w:p>
    <w:p w14:paraId="0B07724C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금기 사항이 없다면 </w:t>
      </w: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상체 거상 (30–45°)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유지 (체위 변경 시 포함)</w:t>
      </w:r>
    </w:p>
    <w:p w14:paraId="0B07724D" w14:textId="77777777" w:rsidR="005605CD" w:rsidRDefault="00000000" w:rsidP="00D41A2E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환자의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불편감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욕창 위험성에 대해 주기적 평가</w:t>
      </w:r>
    </w:p>
    <w:p w14:paraId="0B07724E" w14:textId="77777777" w:rsidR="005605CD" w:rsidRDefault="00000000" w:rsidP="00D41A2E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적절한 침상 환경 제공</w:t>
      </w:r>
    </w:p>
    <w:p w14:paraId="0B07724F" w14:textId="77777777" w:rsidR="005605CD" w:rsidRDefault="00000000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기관내관 관리</w:t>
      </w:r>
    </w:p>
    <w:p w14:paraId="0B077250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커프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압력을 </w:t>
      </w: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최소 폐쇄 압력 (일반적으로 20–30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cmH₂O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)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으로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유지</w:t>
      </w:r>
    </w:p>
    <w:p w14:paraId="0B077251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48시간 이상 기계환기가 예상될 경우, </w:t>
      </w: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성문하 흡인 포트가 있는 기관내관 사용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권장 (본원: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TaperGuard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Evac, Medtronic)</w:t>
      </w:r>
    </w:p>
    <w:p w14:paraId="0B077252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성문하 흡인 가능 기관내관 또는 기관절개관 사용 시 지속적 성문하 분비물 흡인</w:t>
      </w:r>
    </w:p>
    <w:p w14:paraId="0B077253" w14:textId="77777777" w:rsidR="005605CD" w:rsidRDefault="00000000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체위 변경 전 구강 분비물 흡인</w:t>
      </w:r>
    </w:p>
    <w:p w14:paraId="0B077254" w14:textId="77777777" w:rsidR="005605CD" w:rsidRDefault="00000000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구강 위생 및 흡인 관리</w:t>
      </w:r>
    </w:p>
    <w:p w14:paraId="0B077255" w14:textId="77777777" w:rsidR="005605CD" w:rsidRDefault="00000000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구강 간호</w:t>
      </w:r>
    </w:p>
    <w:p w14:paraId="0B077256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하루 최소 3회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(간호 근무 당 1회) 시행</w:t>
      </w:r>
    </w:p>
    <w:p w14:paraId="0B077257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가능한 경우 칫솔을 이용한 치아 세정 권장</w:t>
      </w:r>
    </w:p>
    <w:p w14:paraId="0B077258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클로르헥시딘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(chlorhexidine) 사용은 더 이상 권장되지 않음</w:t>
      </w:r>
    </w:p>
    <w:p w14:paraId="0B077259" w14:textId="77777777" w:rsidR="005605CD" w:rsidRDefault="00000000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흡인 관리</w:t>
      </w:r>
    </w:p>
    <w:p w14:paraId="0B07725A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처치 전후 손 위생 수행 및 처치 중 청결 일회용 장갑 착용</w:t>
      </w:r>
    </w:p>
    <w:p w14:paraId="0B07725B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튜브 세척: 멸균 생리식염수 또는 멸균 증류수를 이용하며 매 처치 시마다 새 용기를 사용</w:t>
      </w:r>
    </w:p>
    <w:p w14:paraId="0B07725C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흡인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카테터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구강 흡인 시와 기관내 흡인 시 서로 다른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카테터를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사용</w:t>
      </w:r>
    </w:p>
    <w:p w14:paraId="0B07725D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흡인 수집 용기: 환자 1인당 1개를 사용하며, 지속 사용 시 최소 하루 1회 비움</w:t>
      </w:r>
    </w:p>
    <w:p w14:paraId="0B07725E" w14:textId="77777777" w:rsidR="005605CD" w:rsidRDefault="005605CD">
      <w:pPr>
        <w:spacing w:line="300" w:lineRule="auto"/>
      </w:pPr>
    </w:p>
    <w:p w14:paraId="0B07725F" w14:textId="77777777" w:rsidR="005605CD" w:rsidRDefault="00000000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참고 문헌</w:t>
      </w:r>
    </w:p>
    <w:p w14:paraId="0B077260" w14:textId="77777777" w:rsidR="005605CD" w:rsidRDefault="00000000" w:rsidP="006418D2">
      <w:pPr>
        <w:pStyle w:val="a4"/>
        <w:numPr>
          <w:ilvl w:val="4"/>
          <w:numId w:val="2"/>
        </w:numPr>
        <w:ind w:left="284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Kalil AC,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Metersky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ML,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Klompas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M, et al. Management of Adults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With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Hospital-acquired and Ventilator-associated Pneumonia: 2016 Clinical Practice Guidelines by the IDSA and ATS. Clin Infect Dis 2016;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63:e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61.</w:t>
      </w:r>
    </w:p>
    <w:p w14:paraId="0B077261" w14:textId="77777777" w:rsidR="005605CD" w:rsidRDefault="00000000" w:rsidP="006418D2">
      <w:pPr>
        <w:pStyle w:val="a4"/>
        <w:numPr>
          <w:ilvl w:val="4"/>
          <w:numId w:val="2"/>
        </w:numPr>
        <w:ind w:left="284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Klompas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M, Branson R, Eichenwald EC, et al. Strategies to prevent ventilator-associated pneumonia in acute care hospitals: 2014 update. Infect Control Hosp Epidemiol. 2014;35(8):915-36.</w:t>
      </w:r>
    </w:p>
    <w:p w14:paraId="0B077262" w14:textId="77777777" w:rsidR="005605CD" w:rsidRDefault="00000000" w:rsidP="006418D2">
      <w:pPr>
        <w:pStyle w:val="a4"/>
        <w:numPr>
          <w:ilvl w:val="4"/>
          <w:numId w:val="2"/>
        </w:numPr>
        <w:ind w:left="284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Klompas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M, Branson R,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Cawcutt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K, et al. Strategies to prevent ventilator-associated pneumonia, ventilator-associated events, and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nonventilator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hospital-acquired pneumonia in acute-care hospitals: 2022 Update. Infect Control Hosp Epidemiol. 2022;43(6):687-713.</w:t>
      </w:r>
    </w:p>
    <w:p w14:paraId="0B077263" w14:textId="77777777" w:rsidR="005605CD" w:rsidRDefault="00000000" w:rsidP="006418D2">
      <w:pPr>
        <w:pStyle w:val="a4"/>
        <w:numPr>
          <w:ilvl w:val="4"/>
          <w:numId w:val="2"/>
        </w:numPr>
        <w:ind w:left="284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Rosenthal VD, Memish ZA, Bearman G, et al. Preventing ventilator-associated pneumonia: A position paper of the International Society for Infectious Diseases, 2024 update. Int J Infect Dis.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2025;151:107305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</w:t>
      </w:r>
    </w:p>
    <w:sectPr w:rsidR="005605CD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B7DA1" w14:textId="77777777" w:rsidR="007A7E73" w:rsidRDefault="007A7E73">
      <w:r>
        <w:separator/>
      </w:r>
    </w:p>
  </w:endnote>
  <w:endnote w:type="continuationSeparator" w:id="0">
    <w:p w14:paraId="3CDD9834" w14:textId="77777777" w:rsidR="007A7E73" w:rsidRDefault="007A7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삼성명조 L">
    <w:panose1 w:val="00000400000000000000"/>
    <w:charset w:val="81"/>
    <w:family w:val="auto"/>
    <w:pitch w:val="variable"/>
    <w:sig w:usb0="900002E7" w:usb1="39D7FCFF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삼성명조 M">
    <w:panose1 w:val="00000600000000000000"/>
    <w:charset w:val="81"/>
    <w:family w:val="auto"/>
    <w:pitch w:val="variable"/>
    <w:sig w:usb0="900002E7" w:usb1="39D7FCFF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77264" w14:textId="3C51E433" w:rsidR="005605CD" w:rsidRDefault="00000000">
    <w:pPr>
      <w:jc w:val="right"/>
    </w:pPr>
    <w:r>
      <w:rPr>
        <w:noProof/>
      </w:rPr>
      <w:drawing>
        <wp:inline distT="0" distB="0" distL="0" distR="0" wp14:anchorId="0B077268" wp14:editId="0B077269">
          <wp:extent cx="2486025" cy="54292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77265" w14:textId="7A3C02CD" w:rsidR="005605CD" w:rsidRDefault="00000000">
    <w:pPr>
      <w:jc w:val="right"/>
    </w:pPr>
    <w:r>
      <w:rPr>
        <w:noProof/>
      </w:rPr>
      <w:drawing>
        <wp:inline distT="0" distB="0" distL="0" distR="0" wp14:anchorId="0B07726A" wp14:editId="0B07726B">
          <wp:extent cx="2486025" cy="542925"/>
          <wp:effectExtent l="0" t="0" r="0" b="0"/>
          <wp:docPr id="1746288712" name="그림 17462887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77267" w14:textId="7D8EF808" w:rsidR="005605CD" w:rsidRDefault="00000000">
    <w:pPr>
      <w:pBdr>
        <w:top w:val="single" w:sz="4" w:space="4" w:color="CCCCCC"/>
      </w:pBdr>
      <w:spacing w:before="60"/>
      <w:jc w:val="center"/>
    </w:pP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- 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begin"/>
    </w:r>
    <w:r>
      <w:rPr>
        <w:rFonts w:ascii="삼성명조 L" w:eastAsia="삼성명조 L" w:hAnsi="삼성명조 L" w:cs="삼성명조 L"/>
        <w:color w:val="666666"/>
        <w:sz w:val="18"/>
        <w:szCs w:val="18"/>
      </w:rPr>
      <w:instrText>PAGE</w:instrTex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separate"/>
    </w:r>
    <w:r w:rsidR="00E4198A">
      <w:rPr>
        <w:rFonts w:ascii="삼성명조 L" w:eastAsia="삼성명조 L" w:hAnsi="삼성명조 L" w:cs="삼성명조 L"/>
        <w:noProof/>
        <w:color w:val="666666"/>
        <w:sz w:val="18"/>
        <w:szCs w:val="18"/>
      </w:rPr>
      <w:t>1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end"/>
    </w: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C55F4" w14:textId="77777777" w:rsidR="007A7E73" w:rsidRDefault="007A7E73">
      <w:r>
        <w:separator/>
      </w:r>
    </w:p>
  </w:footnote>
  <w:footnote w:type="continuationSeparator" w:id="0">
    <w:p w14:paraId="5D1A34C0" w14:textId="77777777" w:rsidR="007A7E73" w:rsidRDefault="007A7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77266" w14:textId="090404E2" w:rsidR="005605CD" w:rsidRDefault="00000000">
    <w:pPr>
      <w:pBdr>
        <w:bottom w:val="single" w:sz="6" w:space="4" w:color="1428A0"/>
      </w:pBdr>
      <w:tabs>
        <w:tab w:val="right" w:pos="9072"/>
      </w:tabs>
      <w:spacing w:after="60"/>
    </w:pPr>
    <w:r>
      <w:rPr>
        <w:rFonts w:ascii="삼성명조 L" w:eastAsia="삼성명조 L" w:hAnsi="삼성명조 L" w:cs="삼성명조 L"/>
        <w:color w:val="000000"/>
        <w:sz w:val="18"/>
        <w:szCs w:val="18"/>
      </w:rPr>
      <w:t>인공호흡기 관련 폐렴 예방</w:t>
    </w:r>
    <w:r w:rsidR="0096350C">
      <w:rPr>
        <w:rFonts w:ascii="삼성명조 L" w:eastAsia="삼성명조 L" w:hAnsi="삼성명조 L" w:cs="삼성명조 L" w:hint="eastAsia"/>
        <w:color w:val="000000"/>
        <w:sz w:val="18"/>
        <w:szCs w:val="18"/>
      </w:rPr>
      <w:t xml:space="preserve"> 프로토콜</w:t>
    </w:r>
    <w:r>
      <w:tab/>
    </w:r>
    <w:r>
      <w:rPr>
        <w:noProof/>
      </w:rPr>
      <w:drawing>
        <wp:inline distT="0" distB="0" distL="0" distR="0" wp14:anchorId="0B07726C" wp14:editId="0B07726D">
          <wp:extent cx="1000125" cy="219075"/>
          <wp:effectExtent l="0" t="0" r="0" b="0"/>
          <wp:docPr id="757381987" name="그림 7573819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14DC9"/>
    <w:multiLevelType w:val="hybridMultilevel"/>
    <w:tmpl w:val="C2C0D0AA"/>
    <w:lvl w:ilvl="0" w:tplc="82B6040A">
      <w:start w:val="1"/>
      <w:numFmt w:val="bullet"/>
      <w:lvlText w:val="●"/>
      <w:lvlJc w:val="left"/>
      <w:pPr>
        <w:ind w:left="720" w:hanging="360"/>
      </w:pPr>
    </w:lvl>
    <w:lvl w:ilvl="1" w:tplc="51A6B926">
      <w:start w:val="1"/>
      <w:numFmt w:val="bullet"/>
      <w:lvlText w:val="○"/>
      <w:lvlJc w:val="left"/>
      <w:pPr>
        <w:ind w:left="1440" w:hanging="360"/>
      </w:pPr>
    </w:lvl>
    <w:lvl w:ilvl="2" w:tplc="6CFA4180">
      <w:start w:val="1"/>
      <w:numFmt w:val="bullet"/>
      <w:lvlText w:val="■"/>
      <w:lvlJc w:val="left"/>
      <w:pPr>
        <w:ind w:left="2160" w:hanging="360"/>
      </w:pPr>
    </w:lvl>
    <w:lvl w:ilvl="3" w:tplc="4FCA697A">
      <w:start w:val="1"/>
      <w:numFmt w:val="bullet"/>
      <w:lvlText w:val="●"/>
      <w:lvlJc w:val="left"/>
      <w:pPr>
        <w:ind w:left="2880" w:hanging="360"/>
      </w:pPr>
    </w:lvl>
    <w:lvl w:ilvl="4" w:tplc="0ECCEE10">
      <w:start w:val="1"/>
      <w:numFmt w:val="bullet"/>
      <w:lvlText w:val="○"/>
      <w:lvlJc w:val="left"/>
      <w:pPr>
        <w:ind w:left="3600" w:hanging="360"/>
      </w:pPr>
    </w:lvl>
    <w:lvl w:ilvl="5" w:tplc="9C1EBDC6">
      <w:start w:val="1"/>
      <w:numFmt w:val="bullet"/>
      <w:lvlText w:val="■"/>
      <w:lvlJc w:val="left"/>
      <w:pPr>
        <w:ind w:left="4320" w:hanging="360"/>
      </w:pPr>
    </w:lvl>
    <w:lvl w:ilvl="6" w:tplc="DB18B38A">
      <w:start w:val="1"/>
      <w:numFmt w:val="bullet"/>
      <w:lvlText w:val="●"/>
      <w:lvlJc w:val="left"/>
      <w:pPr>
        <w:ind w:left="5040" w:hanging="360"/>
      </w:pPr>
    </w:lvl>
    <w:lvl w:ilvl="7" w:tplc="29563F34">
      <w:start w:val="1"/>
      <w:numFmt w:val="bullet"/>
      <w:lvlText w:val="●"/>
      <w:lvlJc w:val="left"/>
      <w:pPr>
        <w:ind w:left="5760" w:hanging="360"/>
      </w:pPr>
    </w:lvl>
    <w:lvl w:ilvl="8" w:tplc="2E2CD8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A60B15"/>
    <w:multiLevelType w:val="hybridMultilevel"/>
    <w:tmpl w:val="8E18A820"/>
    <w:lvl w:ilvl="0" w:tplc="562E8E00">
      <w:start w:val="1"/>
      <w:numFmt w:val="upperRoman"/>
      <w:suff w:val="space"/>
      <w:lvlText w:val="%1."/>
      <w:lvlJc w:val="left"/>
      <w:pPr>
        <w:spacing w:before="400" w:after="0" w:line="300" w:lineRule="auto"/>
        <w:ind w:left="0" w:firstLine="0"/>
        <w:jc w:val="left"/>
      </w:pPr>
      <w:rPr>
        <w:rFonts w:ascii="삼성명조 L" w:eastAsia="삼성명조 L" w:hAnsi="삼성명조 L" w:cs="삼성명조 L"/>
        <w:b/>
        <w:bCs/>
        <w:color w:val="1428A0"/>
        <w:sz w:val="32"/>
        <w:szCs w:val="32"/>
      </w:rPr>
    </w:lvl>
    <w:lvl w:ilvl="1" w:tplc="01E4FD58">
      <w:start w:val="1"/>
      <w:numFmt w:val="decimal"/>
      <w:lvlText w:val="%2."/>
      <w:lvlJc w:val="left"/>
      <w:pPr>
        <w:tabs>
          <w:tab w:val="num" w:pos="283"/>
        </w:tabs>
        <w:spacing w:before="200" w:after="0" w:line="300" w:lineRule="auto"/>
        <w:ind w:left="283" w:hanging="283"/>
      </w:pPr>
      <w:rPr>
        <w:rFonts w:ascii="삼성명조 L" w:eastAsia="삼성명조 L" w:hAnsi="삼성명조 L" w:cs="삼성명조 L"/>
        <w:b/>
        <w:bCs/>
        <w:color w:val="0A4BFF"/>
        <w:sz w:val="28"/>
        <w:szCs w:val="28"/>
      </w:rPr>
    </w:lvl>
    <w:lvl w:ilvl="2" w:tplc="B55E660E">
      <w:start w:val="1"/>
      <w:numFmt w:val="decimal"/>
      <w:suff w:val="space"/>
      <w:lvlText w:val="(%3)"/>
      <w:lvlJc w:val="left"/>
      <w:pPr>
        <w:spacing w:before="0" w:after="0" w:line="300" w:lineRule="auto"/>
        <w:ind w:left="651" w:hanging="368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3" w:tplc="9E966388">
      <w:start w:val="1"/>
      <w:numFmt w:val="decimalEnclosedCircle"/>
      <w:lvlText w:val="%4"/>
      <w:lvlJc w:val="left"/>
      <w:pPr>
        <w:tabs>
          <w:tab w:val="num" w:pos="963"/>
        </w:tabs>
        <w:spacing w:before="0" w:after="0" w:line="300" w:lineRule="auto"/>
        <w:ind w:left="963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4" w:tplc="B10CAE1E">
      <w:start w:val="1"/>
      <w:numFmt w:val="bullet"/>
      <w:lvlText w:val="•"/>
      <w:lvlJc w:val="left"/>
      <w:pPr>
        <w:tabs>
          <w:tab w:val="num" w:pos="1189"/>
        </w:tabs>
        <w:spacing w:before="0" w:after="0" w:line="300" w:lineRule="auto"/>
        <w:ind w:left="1189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5" w:tplc="5CC8CC28">
      <w:start w:val="1"/>
      <w:numFmt w:val="bullet"/>
      <w:lvlText w:val="–"/>
      <w:lvlJc w:val="left"/>
      <w:pPr>
        <w:tabs>
          <w:tab w:val="num" w:pos="1472"/>
        </w:tabs>
        <w:spacing w:before="0" w:after="0" w:line="300" w:lineRule="auto"/>
        <w:ind w:left="1472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6" w:tplc="C23AB4B8">
      <w:numFmt w:val="decimal"/>
      <w:lvlText w:val=""/>
      <w:lvlJc w:val="left"/>
    </w:lvl>
    <w:lvl w:ilvl="7" w:tplc="70F4A018">
      <w:numFmt w:val="decimal"/>
      <w:lvlText w:val=""/>
      <w:lvlJc w:val="left"/>
    </w:lvl>
    <w:lvl w:ilvl="8" w:tplc="29C4A7D6">
      <w:numFmt w:val="decimal"/>
      <w:lvlText w:val=""/>
      <w:lvlJc w:val="left"/>
    </w:lvl>
  </w:abstractNum>
  <w:num w:numId="1" w16cid:durableId="527718592">
    <w:abstractNumId w:val="0"/>
    <w:lvlOverride w:ilvl="0">
      <w:startOverride w:val="1"/>
    </w:lvlOverride>
  </w:num>
  <w:num w:numId="2" w16cid:durableId="19554002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5CD"/>
    <w:rsid w:val="001E2265"/>
    <w:rsid w:val="003322AD"/>
    <w:rsid w:val="005605CD"/>
    <w:rsid w:val="006418D2"/>
    <w:rsid w:val="007A7E73"/>
    <w:rsid w:val="0096350C"/>
    <w:rsid w:val="00BD683D"/>
    <w:rsid w:val="00D41A2E"/>
    <w:rsid w:val="00E4198A"/>
    <w:rsid w:val="00EF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77222"/>
  <w15:docId w15:val="{B24C1B47-5EB9-474A-95BC-9018019DD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6350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6350C"/>
  </w:style>
  <w:style w:type="paragraph" w:styleId="ab">
    <w:name w:val="footer"/>
    <w:basedOn w:val="a"/>
    <w:link w:val="Char2"/>
    <w:uiPriority w:val="99"/>
    <w:unhideWhenUsed/>
    <w:rsid w:val="0096350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635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 Jin Na</cp:lastModifiedBy>
  <cp:revision>8</cp:revision>
  <dcterms:created xsi:type="dcterms:W3CDTF">2026-04-10T03:31:00Z</dcterms:created>
  <dcterms:modified xsi:type="dcterms:W3CDTF">2026-04-12T09:58:00Z</dcterms:modified>
</cp:coreProperties>
</file>