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AMH CTO presentation: 15-minute rehearsal notes</w:t>
      </w:r>
    </w:p>
    <w:p>
      <w:pPr/>
      <w:r>
        <w:t xml:space="preserve">Digital modernisation, first 90 days. Where the slide text and the speaker notes differed, the slide text wins. The script is written to be spoken at about 130 words a minute.</w:t>
      </w:r>
    </w:p>
    <w:p>
      <w:pPr>
        <w:pStyle w:val="Heading2"/>
      </w:pPr>
      <w:r>
        <w:t xml:space="preserve">1. Timing plan</w:t>
      </w:r>
    </w:p>
    <w:tbl>
      <w:tblPr>
        <w:tblStyle w:val="TableGrid"/>
        <w:tblW w:w="0" w:type="auto"/>
        <w:tblLayout w:type="fixed"/>
        <w:tblLook w:val="04A0" w:firstRow="1" w:lastRow="0" w:firstColumn="0" w:lastColumn="0" w:noHBand="0" w:noVBand="1"/>
      </w:tblPr>
      <w:tblGrid>
        <w:gridCol w:w="1398"/>
        <w:gridCol w:w="5219"/>
        <w:gridCol w:w="1343"/>
        <w:gridCol w:w="1398"/>
      </w:tblGrid>
      <w:tr>
        <w:trPr>
          <w:tblHeader/>
        </w:trPr>
        <w:tc>
          <w:tcPr>
            <w:tcW w:w="1398" w:type="dxa"/>
            <w:shd w:val="clear" w:color="auto" w:fill="F2F2F2"/>
          </w:tcPr>
          <w:p>
            <w:pPr/>
            <w:r>
              <w:t xml:space="preserve">Slide</w:t>
            </w:r>
          </w:p>
        </w:tc>
        <w:tc>
          <w:tcPr>
            <w:tcW w:w="5219" w:type="dxa"/>
            <w:shd w:val="clear" w:color="auto" w:fill="F2F2F2"/>
          </w:tcPr>
          <w:p>
            <w:pPr/>
            <w:r>
              <w:t xml:space="preserve">Topic</w:t>
            </w:r>
          </w:p>
        </w:tc>
        <w:tc>
          <w:tcPr>
            <w:tcW w:w="1343" w:type="dxa"/>
            <w:shd w:val="clear" w:color="auto" w:fill="F2F2F2"/>
          </w:tcPr>
          <w:p>
            <w:pPr/>
            <w:r>
              <w:t xml:space="preserve">Time</w:t>
            </w:r>
          </w:p>
        </w:tc>
        <w:tc>
          <w:tcPr>
            <w:tcW w:w="1398" w:type="dxa"/>
            <w:shd w:val="clear" w:color="auto" w:fill="F2F2F2"/>
          </w:tcPr>
          <w:p>
            <w:pPr/>
            <w:r>
              <w:t xml:space="preserve">Clock</w:t>
            </w:r>
          </w:p>
        </w:tc>
      </w:tr>
      <w:tr>
        <w:tc>
          <w:tcPr>
            <w:tcW w:w="1398" w:type="dxa"/>
          </w:tcPr>
          <w:p>
            <w:pPr/>
            <w:r>
              <w:t xml:space="preserve">1</w:t>
            </w:r>
          </w:p>
        </w:tc>
        <w:tc>
          <w:tcPr>
            <w:tcW w:w="5219" w:type="dxa"/>
          </w:tcPr>
          <w:p>
            <w:pPr/>
            <w:r>
              <w:t xml:space="preserve">Own the agreed pathway</w:t>
            </w:r>
          </w:p>
        </w:tc>
        <w:tc>
          <w:tcPr>
            <w:tcW w:w="1343" w:type="dxa"/>
          </w:tcPr>
          <w:p>
            <w:pPr/>
            <w:r>
              <w:t xml:space="preserve">1:30</w:t>
            </w:r>
          </w:p>
        </w:tc>
        <w:tc>
          <w:tcPr>
            <w:tcW w:w="1398" w:type="dxa"/>
          </w:tcPr>
          <w:p>
            <w:pPr/>
            <w:r>
              <w:t xml:space="preserve">1:30</w:t>
            </w:r>
          </w:p>
        </w:tc>
      </w:tr>
      <w:tr>
        <w:tc>
          <w:tcPr>
            <w:tcW w:w="1398" w:type="dxa"/>
          </w:tcPr>
          <w:p>
            <w:pPr/>
            <w:r>
              <w:t xml:space="preserve">2</w:t>
            </w:r>
          </w:p>
        </w:tc>
        <w:tc>
          <w:tcPr>
            <w:tcW w:w="5219" w:type="dxa"/>
          </w:tcPr>
          <w:p>
            <w:pPr/>
            <w:r>
              <w:t xml:space="preserve">90 days against 27 April</w:t>
            </w:r>
          </w:p>
        </w:tc>
        <w:tc>
          <w:tcPr>
            <w:tcW w:w="1343" w:type="dxa"/>
          </w:tcPr>
          <w:p>
            <w:pPr/>
            <w:r>
              <w:t xml:space="preserve">2:15</w:t>
            </w:r>
          </w:p>
        </w:tc>
        <w:tc>
          <w:tcPr>
            <w:tcW w:w="1398" w:type="dxa"/>
          </w:tcPr>
          <w:p>
            <w:pPr/>
            <w:r>
              <w:t xml:space="preserve">3:45</w:t>
            </w:r>
          </w:p>
        </w:tc>
      </w:tr>
      <w:tr>
        <w:tc>
          <w:tcPr>
            <w:tcW w:w="1398" w:type="dxa"/>
          </w:tcPr>
          <w:p>
            <w:pPr/>
            <w:r>
              <w:t xml:space="preserve">3</w:t>
            </w:r>
          </w:p>
        </w:tc>
        <w:tc>
          <w:tcPr>
            <w:tcW w:w="5219" w:type="dxa"/>
          </w:tcPr>
          <w:p>
            <w:pPr/>
            <w:r>
              <w:t xml:space="preserve">Four tiers, four questions</w:t>
            </w:r>
          </w:p>
        </w:tc>
        <w:tc>
          <w:tcPr>
            <w:tcW w:w="1343" w:type="dxa"/>
          </w:tcPr>
          <w:p>
            <w:pPr/>
            <w:r>
              <w:t xml:space="preserve">2:00</w:t>
            </w:r>
          </w:p>
        </w:tc>
        <w:tc>
          <w:tcPr>
            <w:tcW w:w="1398" w:type="dxa"/>
          </w:tcPr>
          <w:p>
            <w:pPr/>
            <w:r>
              <w:t xml:space="preserve">5:45</w:t>
            </w:r>
          </w:p>
        </w:tc>
      </w:tr>
      <w:tr>
        <w:tc>
          <w:tcPr>
            <w:tcW w:w="1398" w:type="dxa"/>
          </w:tcPr>
          <w:p>
            <w:pPr/>
            <w:r>
              <w:t xml:space="preserve">4</w:t>
            </w:r>
          </w:p>
        </w:tc>
        <w:tc>
          <w:tcPr>
            <w:tcW w:w="5219" w:type="dxa"/>
          </w:tcPr>
          <w:p>
            <w:pPr/>
            <w:r>
              <w:t xml:space="preserve">Resilience toolkit</w:t>
            </w:r>
          </w:p>
        </w:tc>
        <w:tc>
          <w:tcPr>
            <w:tcW w:w="1343" w:type="dxa"/>
          </w:tcPr>
          <w:p>
            <w:pPr/>
            <w:r>
              <w:t xml:space="preserve">2:00</w:t>
            </w:r>
          </w:p>
        </w:tc>
        <w:tc>
          <w:tcPr>
            <w:tcW w:w="1398" w:type="dxa"/>
          </w:tcPr>
          <w:p>
            <w:pPr/>
            <w:r>
              <w:t xml:space="preserve">7:45</w:t>
            </w:r>
          </w:p>
        </w:tc>
      </w:tr>
      <w:tr>
        <w:tc>
          <w:tcPr>
            <w:tcW w:w="1398" w:type="dxa"/>
          </w:tcPr>
          <w:p>
            <w:pPr/>
            <w:r>
              <w:t xml:space="preserve">5</w:t>
            </w:r>
          </w:p>
        </w:tc>
        <w:tc>
          <w:tcPr>
            <w:tcW w:w="5219" w:type="dxa"/>
          </w:tcPr>
          <w:p>
            <w:pPr/>
            <w:r>
              <w:t xml:space="preserve">Publishing and rollback</w:t>
            </w:r>
          </w:p>
        </w:tc>
        <w:tc>
          <w:tcPr>
            <w:tcW w:w="1343" w:type="dxa"/>
          </w:tcPr>
          <w:p>
            <w:pPr/>
            <w:r>
              <w:t xml:space="preserve">1:15</w:t>
            </w:r>
          </w:p>
        </w:tc>
        <w:tc>
          <w:tcPr>
            <w:tcW w:w="1398" w:type="dxa"/>
          </w:tcPr>
          <w:p>
            <w:pPr/>
            <w:r>
              <w:t xml:space="preserve">9:00</w:t>
            </w:r>
          </w:p>
        </w:tc>
      </w:tr>
      <w:tr>
        <w:tc>
          <w:tcPr>
            <w:tcW w:w="1398" w:type="dxa"/>
          </w:tcPr>
          <w:p>
            <w:pPr/>
            <w:r>
              <w:t xml:space="preserve">6</w:t>
            </w:r>
          </w:p>
        </w:tc>
        <w:tc>
          <w:tcPr>
            <w:tcW w:w="5219" w:type="dxa"/>
          </w:tcPr>
          <w:p>
            <w:pPr/>
            <w:r>
              <w:t xml:space="preserve">The team</w:t>
            </w:r>
          </w:p>
        </w:tc>
        <w:tc>
          <w:tcPr>
            <w:tcW w:w="1343" w:type="dxa"/>
          </w:tcPr>
          <w:p>
            <w:pPr/>
            <w:r>
              <w:t xml:space="preserve">2:00</w:t>
            </w:r>
          </w:p>
        </w:tc>
        <w:tc>
          <w:tcPr>
            <w:tcW w:w="1398" w:type="dxa"/>
          </w:tcPr>
          <w:p>
            <w:pPr/>
            <w:r>
              <w:t xml:space="preserve">11:00</w:t>
            </w:r>
          </w:p>
        </w:tc>
      </w:tr>
      <w:tr>
        <w:tc>
          <w:tcPr>
            <w:tcW w:w="1398" w:type="dxa"/>
          </w:tcPr>
          <w:p>
            <w:pPr/>
            <w:r>
              <w:t xml:space="preserve">7</w:t>
            </w:r>
          </w:p>
        </w:tc>
        <w:tc>
          <w:tcPr>
            <w:tcW w:w="5219" w:type="dxa"/>
          </w:tcPr>
          <w:p>
            <w:pPr/>
            <w:r>
              <w:t xml:space="preserve">Governance and six months</w:t>
            </w:r>
          </w:p>
        </w:tc>
        <w:tc>
          <w:tcPr>
            <w:tcW w:w="1343" w:type="dxa"/>
          </w:tcPr>
          <w:p>
            <w:pPr/>
            <w:r>
              <w:t xml:space="preserve">2:00</w:t>
            </w:r>
          </w:p>
        </w:tc>
        <w:tc>
          <w:tcPr>
            <w:tcW w:w="1398" w:type="dxa"/>
          </w:tcPr>
          <w:p>
            <w:pPr/>
            <w:r>
              <w:t xml:space="preserve">13:00</w:t>
            </w:r>
          </w:p>
        </w:tc>
      </w:tr>
      <w:tr>
        <w:tc>
          <w:tcPr>
            <w:tcW w:w="1398" w:type="dxa"/>
          </w:tcPr>
          <w:p>
            <w:pPr/>
            <w:r>
              <w:t xml:space="preserve">8</w:t>
            </w:r>
          </w:p>
        </w:tc>
        <w:tc>
          <w:tcPr>
            <w:tcW w:w="5219" w:type="dxa"/>
          </w:tcPr>
          <w:p>
            <w:pPr/>
            <w:r>
              <w:t xml:space="preserve">Beyond Day 1</w:t>
            </w:r>
          </w:p>
        </w:tc>
        <w:tc>
          <w:tcPr>
            <w:tcW w:w="1343" w:type="dxa"/>
          </w:tcPr>
          <w:p>
            <w:pPr/>
            <w:r>
              <w:t xml:space="preserve">0:45</w:t>
            </w:r>
          </w:p>
        </w:tc>
        <w:tc>
          <w:tcPr>
            <w:tcW w:w="1398" w:type="dxa"/>
          </w:tcPr>
          <w:p>
            <w:pPr/>
            <w:r>
              <w:t xml:space="preserve">13:45</w:t>
            </w:r>
          </w:p>
        </w:tc>
      </w:tr>
      <w:tr>
        <w:tc>
          <w:tcPr>
            <w:tcW w:w="1398" w:type="dxa"/>
          </w:tcPr>
          <w:p>
            <w:pPr/>
            <w:r>
              <w:t xml:space="preserve">Close</w:t>
            </w:r>
          </w:p>
        </w:tc>
        <w:tc>
          <w:tcPr>
            <w:tcW w:w="5219" w:type="dxa"/>
          </w:tcPr>
          <w:p>
            <w:pPr/>
            <w:r>
              <w:t xml:space="preserve">Success at the date</w:t>
            </w:r>
          </w:p>
        </w:tc>
        <w:tc>
          <w:tcPr>
            <w:tcW w:w="1343" w:type="dxa"/>
          </w:tcPr>
          <w:p>
            <w:pPr/>
            <w:r>
              <w:t xml:space="preserve">0:30</w:t>
            </w:r>
          </w:p>
        </w:tc>
        <w:tc>
          <w:tcPr>
            <w:tcW w:w="1398" w:type="dxa"/>
          </w:tcPr>
          <w:p>
            <w:pPr/>
            <w:r>
              <w:t xml:space="preserve">14:15</w:t>
            </w:r>
          </w:p>
        </w:tc>
      </w:tr>
    </w:tbl>
    <w:p>
      <w:pPr/>
      <w:r>
        <w:t xml:space="preserve">That leaves about 45 seconds of slack. If you are running long, cut in this order: slide 5 down to three sentences, the measures on slide 7, then groups 2 and 3 on slide 4.</w:t>
      </w:r>
    </w:p>
    <w:p>
      <w:pPr>
        <w:pStyle w:val="Heading2"/>
      </w:pPr>
      <w:r>
        <w:t xml:space="preserve">2. Long-form script</w:t>
      </w:r>
    </w:p>
    <w:p>
      <w:pPr>
        <w:pStyle w:val="Heading3"/>
      </w:pPr>
      <w:r>
        <w:t xml:space="preserve">Slide 1: Own the agreed pathway without stalling it (1:30)</w:t>
      </w:r>
    </w:p>
    <w:p>
      <w:pPr/>
      <w:r>
        <w:t xml:space="preserve">The pathway to a digital product platform is agreed and the date is fixed. So I’m not going to use fifteen minutes reopening the direction. I’m going to show you how I’d own it without stalling it.</w:t>
      </w:r>
    </w:p>
    <w:p>
      <w:pPr/>
      <w:r>
        <w:t xml:space="preserve">The curve is the move from a publishing model to a digital product platform. The pivot is decided. What isn’t settled is the shape of what we build and how we work, and I’d rather learn that in the first sixty days than in April.</w:t>
      </w:r>
    </w:p>
    <w:p>
      <w:pPr/>
      <w:r>
        <w:t xml:space="preserve">Three phases. Understand, days one to thirty: two baselines, one for the technology and product, one for the ways of working. Stabilise, thirty-one to sixty: keep today running, assess the vendor’s proposal with its author, and confirm, re-scope or stop what’s in flight. Accelerate, sixty-one onwards: first assured delivery, and a plan worked back from the date.</w:t>
      </w:r>
    </w:p>
    <w:p>
      <w:pPr/>
      <w:r>
        <w:t xml:space="preserve">Two rules run through all of it. Nothing that works today stops until its replacement is proven. And nothing new starts without an owner and a gate.</w:t>
      </w:r>
    </w:p>
    <w:p>
      <w:pPr/>
      <w:r>
        <w:t xml:space="preserve">One thing to say now, because it governs everything after it: every design and staffing statement in the next slides is a hypothesis. Gates one and two test it before anything is built.</w:t>
      </w:r>
    </w:p>
    <w:p>
      <w:pPr/>
      <w:r>
        <w:rPr>
          <w:b/>
        </w:rPr>
        <w:t xml:space="preserve">Story slot (one sentence):</w:t>
      </w:r>
      <w:r>
        <w:t xml:space="preserve"> a time you inherited an agreed direction mid-flight and kept momentum while reshaping it. Candidates from your CV: EMIS, where you delivered the two largest UK Government NHS contracts to hard statutory deadlines; or Cashflow Manager after Reckon’s acquisition, where you retained CTO accountability and consolidated teams. Pick the one that genuinely has the inherited-mid-flight shape.</w:t>
      </w:r>
    </w:p>
    <w:p>
      <w:pPr>
        <w:pStyle w:val="Heading3"/>
      </w:pPr>
      <w:r>
        <w:t xml:space="preserve">Slide 2: The first 90 days against the 27 April date (2:15)</w:t>
      </w:r>
    </w:p>
    <w:p>
      <w:pPr/>
      <w:r>
        <w:t xml:space="preserve">Here are the same ninety days against the twenty-seventh of April. The reality is a December start. The break takes three of the first four weeks, so Gate 1 lands in mid-January and the baselines are a fortnight of work, not a month. Day ninety is early March, which leaves about eight working weeks for build waves, a cutover rehearsal and go-live.</w:t>
      </w:r>
    </w:p>
    <w:p>
      <w:pPr/>
      <w:r>
        <w:t xml:space="preserve">Gate 1, day thirty, is the two baselines. Technology and product: systems, integrations, contracts, partners, run cost, the licence model, what’s in flight. Ways of working: processes, SOPs, SLAs, mandated requirements, and where time actually goes. The output is a one-page baseline and a confirmed list of what’s in flight.</w:t>
      </w:r>
    </w:p>
    <w:p>
      <w:pPr/>
      <w:r>
        <w:t xml:space="preserve">Why two? The vendor’s proposal captures technologies and products. It doesn’t capture how the organisation works, and that is where the AI and commodity-tool savings sit. You can’t judge whether a target architecture is right without knowing what it has to support.</w:t>
      </w:r>
    </w:p>
    <w:p>
      <w:pPr/>
      <w:r>
        <w:t xml:space="preserve">Gate 2, day sixty, is the fit test and the decisions. Two questions of the proposal: does it support the way we want to work, with AI woven in, and is each component in the right tier under the right rule. That builds on the Phase 1 assurance review rather than repeating it. The review asks whether the architecture can proceed; Gate 2 asks whether it fits how we’ll work. The output is the plan the organisation will be held to, with its risks.</w:t>
      </w:r>
    </w:p>
    <w:p>
      <w:pPr/>
      <w:r>
        <w:t xml:space="preserve">Gate 3, day ninety, is first assured delivery on something real. Likely the identity and entitlement foundation or the content pipeline, whichever the baseline shows is the constraint.</w:t>
      </w:r>
    </w:p>
    <w:p>
      <w:pPr/>
      <w:r>
        <w:t xml:space="preserve">What I would deliberately not do in ninety days: commit to the vendor architecture before the fit test, migrate customer data, hire beyond the minimum team, promise a refined date or cost before Gate 2, or start an AI platform before its governance exists.</w:t>
      </w:r>
    </w:p>
    <w:p>
      <w:pPr/>
      <w:r>
        <w:t xml:space="preserve">Scope is the only lever. No growth on hoped-for AI gains, no slippage on quality or risk, and what doesn’t fit moves to Day 1.5. If scope and date collide, that goes to the board at Gate 2, in late January, in writing. Not in April.</w:t>
      </w:r>
    </w:p>
    <w:p>
      <w:pPr/>
      <w:r>
        <w:rPr>
          <w:b/>
        </w:rPr>
        <w:t xml:space="preserve">Story slot:</w:t>
      </w:r>
      <w:r>
        <w:t xml:space="preserve"> delivering to an external date by flexing scope through gates, not the date. EMIS’s statutory NHS deadlines are the natural candidate. Only use the “flexed scope, not date” framing if that is what actually happened. The AIB move to 100% cloud in under six months for COVID is a second option.</w:t>
      </w:r>
    </w:p>
    <w:p>
      <w:pPr>
        <w:pStyle w:val="Heading3"/>
      </w:pPr>
      <w:r>
        <w:t xml:space="preserve">Slide 3: How Gate 2 assesses each component (2:00)</w:t>
      </w:r>
    </w:p>
    <w:p>
      <w:pPr/>
      <w:r>
        <w:t xml:space="preserve">The proposal draws one system. I’d treat it as four kinds of thing, because what a thing is decides where the time, money and concern go. Everything here is illustrative and tested at Gate 2.</w:t>
      </w:r>
    </w:p>
    <w:p>
      <w:pPr/>
      <w:r>
        <w:t xml:space="preserve">A is the product: AMH Online across web, desktop and mobile, and the APIs into third-party systems. It’s the moat. We judge investment on commercials, opportunity and strategy. Resilience is bullet-proof, because this is life-critical content. Build: we have a strong appetite to wrap our own technical solutions.</w:t>
      </w:r>
    </w:p>
    <w:p>
      <w:pPr/>
      <w:r>
        <w:t xml:space="preserve">B is authoring and publishing: Quark and PriXM. The content is the asset, not the tool. We judge fit for authors, portability and cost. Business-hours resilience, but never the only copy. Buy and configure.</w:t>
      </w:r>
    </w:p>
    <w:p>
      <w:pPr/>
      <w:r>
        <w:t xml:space="preserve">C is the operational commodity: D365 and Dataverse, the web shop, the internal shop, Wiise, Power BI. Many products would do, and building our own would be possible but senseless. We weigh cost and effort against the efficiency gained. Standard resilience, no shared fate with A. Buy, standard set-up, deviate by exception only.</w:t>
      </w:r>
    </w:p>
    <w:p>
      <w:pPr/>
      <w:r>
        <w:t xml:space="preserve">X is cross-cutting: the Azure identity and access plane, the gateway and service bus, monitoring, the ISMS. It inherits its investment case from what it serves, adds risk and reputation, and inherits A’s posture wherever it sits in A’s path. Buy, but bend it to accommodate A and third parties.</w:t>
      </w:r>
    </w:p>
    <w:p>
      <w:pPr/>
      <w:r>
        <w:t xml:space="preserve">AI helps differently in each. In A it accelerates and de-risks product work: more from the same people. In B it’s authoring assistance with human sign-off. In C it’s woven into the process. The enterprise-deal pricing step the proposal describes as calculated in Excel and manually entered is an obvious candidate. In X it’s review, triage and runbooks. One guardrail: AI output never reaches published content or production without a human gate.</w:t>
      </w:r>
    </w:p>
    <w:p>
      <w:pPr/>
      <w:r>
        <w:rPr>
          <w:b/>
        </w:rPr>
        <w:t xml:space="preserve">Story slot:</w:t>
      </w:r>
      <w:r>
        <w:t xml:space="preserve"> a CRM, billing or shop decision made on price plus extensibility, and what it freed the team to do. Your CV supports the Cashflow Manager CRM migration from Salesforce to Zoho with 3CX for unified communications, bookings and chat. Add the part only you know: what the team did with the time.</w:t>
      </w:r>
    </w:p>
    <w:p>
      <w:pPr>
        <w:pStyle w:val="Heading3"/>
      </w:pPr>
      <w:r>
        <w:t xml:space="preserve">Slide 4: The resilience toolkit, by tier (2:00)</w:t>
      </w:r>
    </w:p>
    <w:p>
      <w:pPr/>
      <w:r>
        <w:t xml:space="preserve">Five nines, roughly five minutes of unavailability a year, is my position, argued from the content: clinicians rely on it at the point of care. It’s a risk-appetite decision for the board and I’d put it to them as one. The source states no SLA.</w:t>
      </w:r>
    </w:p>
    <w:p>
      <w:pPr/>
      <w:r>
        <w:t xml:space="preserve">The point of this slide is that no single mechanism gets you there. It takes five kinds of protection.</w:t>
      </w:r>
    </w:p>
    <w:p>
      <w:pPr/>
      <w:r>
        <w:t xml:space="preserve">One, isolate: no shared fate. The product is the hub. Authoring, identity and third-party APIs are synchronous spokes built to the product’s standard. CRM, shop, finance and reporting sit behind the service bus on asynchronous events, so an outage there never stops the product. Add published content at the edge, cached entitlements with grace, a read-only degraded mode, and circuit breakers.</w:t>
      </w:r>
    </w:p>
    <w:p>
      <w:pPr/>
      <w:r>
        <w:t xml:space="preserve">Two, replicate: no single point of failure. Active-active across regions, stateless services, an identity-provider outage plan, vendor failover plans, load-tested headroom.</w:t>
      </w:r>
    </w:p>
    <w:p>
      <w:pPr/>
      <w:r>
        <w:t xml:space="preserve">Three, release safely: no big-bang change. Feature switches, blue-green, canary by cohort with automated rollback, versioned content releases.</w:t>
      </w:r>
    </w:p>
    <w:p>
      <w:pPr/>
      <w:r>
        <w:t xml:space="preserve">Four, detect and respond: minutes, not hours. SLOs and error budgets, synthetic checks from customer locations, runbooks, 24×7 on-call through a partner, a status page, and game days and DR drills with stated recovery objectives.</w:t>
      </w:r>
    </w:p>
    <w:p>
      <w:pPr/>
      <w:r>
        <w:t xml:space="preserve">Five, protect the content: integrity above all. Checksums, copies held outside the authoring tool, replay from the bus, an audit trail of what changed, when and by whom.</w:t>
      </w:r>
    </w:p>
    <w:p>
      <w:pPr/>
      <w:r>
        <w:t xml:space="preserve">The badges show proportion. The product gets everything. B and C get the set that avoids a slow week, not a lost minute. That is also the argument for not over-engineering Tier C: cost sits where the risk is.</w:t>
      </w:r>
    </w:p>
    <w:p>
      <w:pPr/>
      <w:r>
        <w:rPr>
          <w:b/>
        </w:rPr>
        <w:t xml:space="preserve">Story slot:</w:t>
      </w:r>
      <w:r>
        <w:t xml:space="preserve"> a clinical or health-information system you ran where downtime had patient consequences, what the operating discipline looked like and what it cost. EMIS (NHS national patient-record environment, clinical decision support in EMIS Web) is the obvious source. Your CV doesn’t hold the discipline or cost details, so add them yourself.</w:t>
      </w:r>
    </w:p>
    <w:p>
      <w:pPr>
        <w:pStyle w:val="Heading3"/>
      </w:pPr>
      <w:r>
        <w:t xml:space="preserve">Slide 5: Publishing and rollback inside the product (1:15)</w:t>
      </w:r>
    </w:p>
    <w:p>
      <w:pPr/>
      <w:r>
        <w:t xml:space="preserve">This is the second hub and spoke. Slide 4 was the product versus everything else. This one is inside the product: one publishing hub, many regional nodes.</w:t>
      </w:r>
    </w:p>
    <w:p>
      <w:pPr/>
      <w:r>
        <w:t xml:space="preserve">Content goes through authoring, review and approval. Code goes through build, test evidence and sign-off. The output is a release manifest that binds content and code versions together. It’s published once to the event log, which is the proposed bus, and fanned out to every node. The product path needs that log to be immutable, ordered, retained and replayable. Those are requirements, not a product choice.</w:t>
      </w:r>
    </w:p>
    <w:p>
      <w:pPr/>
      <w:r>
        <w:t xml:space="preserve">Each regional node holds the content, the app and an entitlement cache, and serves alone if the hub is down. A multi-CDN edge with health-based routing sends clinicians, institutions and third-party systems to the nearest healthy node.</w:t>
      </w:r>
    </w:p>
    <w:p>
      <w:pPr/>
      <w:r>
        <w:t xml:space="preserve">Rollback is re-pointing to the previous manifest: seconds, no redeploy, content and code together. A lost node is rebuilt by replaying the log. The number of regions is illustrative.</w:t>
      </w:r>
    </w:p>
    <w:p>
      <w:pPr/>
      <w:r>
        <w:t xml:space="preserve">One consideration, not a change: if Gate 2 shows the product path needs replay and ordering, a managed Kafka-class log is one option to evaluate.</w:t>
      </w:r>
    </w:p>
    <w:p>
      <w:pPr>
        <w:pStyle w:val="Heading3"/>
      </w:pPr>
      <w:r>
        <w:t xml:space="preserve">Slide 6: The team the next stage needs (2:00)</w:t>
      </w:r>
    </w:p>
    <w:p>
      <w:pPr/>
      <w:r>
        <w:t xml:space="preserve">I worked the team backwards from the tiers and from what the CTO role should own. A needs engineering depth and platform resilience in-house. B needs an owner and a partner relationship. C needs configuration and partner management, not builders. X needs DevSecOps and standards knowledge. Whatever the CTO role doesn’t cover has to sit with another role or a partner.</w:t>
      </w:r>
    </w:p>
    <w:p>
      <w:pPr/>
      <w:r>
        <w:t xml:space="preserve">The proposal has a CTO, a digital product owner, a part-time BA, a 0.6 project manager, a technical lead and a DevOps engineer. My minimum viable team is six, and these are responsibilities, not an approved hiring plan.</w:t>
      </w:r>
    </w:p>
    <w:p>
      <w:pPr/>
      <w:r>
        <w:t xml:space="preserve">What I’d change. The 0.6 project manager becomes a developer. Tier A needs two pairs of hands for five nines, and it removes single-engineer key-person risk. Project management sits with me. DevOps becomes a DevSecOps platform engineer, adding security and the ISMS. The product owner gains research and design. The BA role becomes QA and BA with QA the focus, because the evidence at the gates has to come from somewhere.</w:t>
      </w:r>
    </w:p>
    <w:p>
      <w:pPr/>
      <w:r>
        <w:t xml:space="preserve">Now, build over time, and source. Now: those six. Over time: Gate 2 chooses between a second developer or the vendor’s 0.6 PM, and putting AI budget and AI-DLC adoption in place of more headcount. The amount is set against the headcount it replaces, not invented here. Source: the MSP, specialist partners for independent security testing and certification, and expert help on the vendors’ systems such as CRM, shop and finance. Content operations sit outside this remit.</w:t>
      </w:r>
    </w:p>
    <w:p>
      <w:pPr/>
      <w:r>
        <w:t xml:space="preserve">The principle is own the judgement, not the headcount. In-house decides what, why and whether. Partners decide how. And key-person risk is the real risk, so decisions are written down, runbooks stay current and we pair with partners so nothing lives in one head.</w:t>
      </w:r>
    </w:p>
    <w:p>
      <w:pPr/>
      <w:r>
        <w:rPr>
          <w:b/>
        </w:rPr>
        <w:t xml:space="preserve">Story slot:</w:t>
      </w:r>
      <w:r>
        <w:t xml:space="preserve"> running 24×7 through a partner while keeping design authority in-house: what the contract and the weekly review looked like. Your CV doesn’t give this one, so use the real example. If asked what a thin team means in practice: you built engineering capability from scratch at EMIS (India) and CallCredit (Lithuania).</w:t>
      </w:r>
    </w:p>
    <w:p>
      <w:pPr>
        <w:pStyle w:val="Heading3"/>
      </w:pPr>
      <w:r>
        <w:t xml:space="preserve">Slide 7: Governance, assurance gates and the next six months (2:00)</w:t>
      </w:r>
    </w:p>
    <w:p>
      <w:pPr/>
      <w:r>
        <w:t xml:space="preserve">One operating rhythm, short and evidence-led. The Board and Risk Committee meet quarterly with a monthly review pack: date confidence, gate sign-off, risks and spend. They own the date, the funding, the risk appetite including the availability stance, and policy exceptions. A weekly Delivery and Partner Review, with the CEO invited, covers cycle time, change failure, blockers and decisions pending. Priorities and trade-offs are settled there. There is no separate steering layer. Architecture decisions are written down, with what, why, options rejected and consequences, and visible to all.</w:t>
      </w:r>
    </w:p>
    <w:p>
      <w:pPr/>
      <w:r>
        <w:t xml:space="preserve">Assurance is five gates on every increment: security, payments and the ISMS; data and privacy; content integrity and clinical governance; integration and operability; release readiness. The product passes all five, and the other tiers pass the ones that fit. Gates are evidence reviews owned by the technical lead, not meetings.</w:t>
      </w:r>
    </w:p>
    <w:p>
      <w:pPr/>
      <w:r>
        <w:t xml:space="preserve">Measures. Inward, the team sees cycle time from decision to assured release, change failure, rework and time to recover. Upward, the board sees date confidence with its evidence, availability against the agreed appetite, top risks, spend and decisions pending. AI is judged on cycle time and quality, never on tokens or licences.</w:t>
      </w:r>
    </w:p>
    <w:p>
      <w:pPr/>
      <w:r>
        <w:t xml:space="preserve">The next six months. Months one and two: the baselines, the fit test, and scope decisions to the board. Months three and four: first assured delivery on the core, with partners delivering. Months five and six: build waves, cutover rehearsal and go-live against the date.</w:t>
      </w:r>
    </w:p>
    <w:p>
      <w:pPr/>
      <w:r>
        <w:t xml:space="preserve">What I’d want the CEO and Board to understand: the date is fixed, so scope is what flexes. It’s a team of six. The budget envelope is still to confirm. There is vendor dependency: one proposal author, one MSP, several SaaS products. Content operations have limited capacity during migration. And availability and payments scope runs across every channel.</w:t>
      </w:r>
    </w:p>
    <w:p>
      <w:pPr/>
      <w:r>
        <w:rPr>
          <w:b/>
        </w:rPr>
        <w:t xml:space="preserve">Story slot (optional):</w:t>
      </w:r>
      <w:r>
        <w:t xml:space="preserve"> the monitors-on-wheels story from CallCredit in Lithuania as the origin of “one dashboard”: stand-up on the board, then PR queues and build failures shown through the day.</w:t>
      </w:r>
    </w:p>
    <w:p>
      <w:pPr>
        <w:pStyle w:val="Heading3"/>
      </w:pPr>
      <w:r>
        <w:t xml:space="preserve">Slide 8: Ideas beyond Day 1 (0:45)</w:t>
      </w:r>
    </w:p>
    <w:p>
      <w:pPr/>
      <w:r>
        <w:t xml:space="preserve">This last slide I won’t walk. It holds what the proposal doesn’t show yet, parked until its time comes. Day 1.5 is after the agreed path is live: product analytics so we learn from use, consent and preferences, a status page, integration standards for institutions, content versioning customers can see. None is a major build. The proposal captures systems, not the product experience or how we learn from use. Day 2 is a private AI platform: first an assistant over authoritative content only, with citations and no generated clinical text, with governance set before any build, then the same platform for internal operations. Each item is judged by its tier when its time comes. None is a commitment today.</w:t>
      </w:r>
    </w:p>
    <w:p>
      <w:pPr/>
      <w:r>
        <w:rPr>
          <w:b/>
        </w:rPr>
        <w:t xml:space="preserve">Story slot (for questions):</w:t>
      </w:r>
      <w:r>
        <w:t xml:space="preserve"> an integration-standards decision that opened a market segment. EduCo’s Accelerate, integrated with CRM, ERP, finance and university systems, is the closest fit on your CV. Add what it unlocked.</w:t>
      </w:r>
    </w:p>
    <w:p>
      <w:pPr>
        <w:pStyle w:val="Heading3"/>
      </w:pPr>
      <w:r>
        <w:t xml:space="preserve">Close (0:30)</w:t>
      </w:r>
    </w:p>
    <w:p>
      <w:pPr/>
      <w:r>
        <w:t xml:space="preserve">Success at the date looks like this: customers, revenue and content integrity intact. The core live and bullet-proof. Commodity cheap and quiet. Decisions written down. And Day 2 ready to start with its guardrails already set. The tiers, the gates sized to risk, written decisions and AI judged on outcomes are the operating model that lets AMH keep evolving at pace while the integrity, quality and ethics of its work stay at the centre. Understand, stabilise, accelerate, and nothing that works today stops until its replacement is proven. Thank you. I’m glad to take questions on any slide.</w:t>
      </w:r>
    </w:p>
    <w:p>
      <w:pPr>
        <w:pStyle w:val="Heading2"/>
      </w:pPr>
      <w:r>
        <w:t xml:space="preserve">3. Short-form prompts (cue cards)</w:t>
      </w:r>
    </w:p>
    <w:p>
      <w:pPr>
        <w:pStyle w:val="Heading3"/>
      </w:pPr>
      <w:r>
        <w:t xml:space="preserve">Slide 1: Own it without stalling it</w:t>
      </w:r>
    </w:p>
    <w:p>
      <w:pPr>
        <w:pStyle w:val="ListParagraph"/>
        <w:numPr>
          <w:ilvl w:val="0"/>
          <w:numId w:val="2"/>
        </w:numPr>
      </w:pPr>
      <w:r>
        <w:t xml:space="preserve">Pathway agreed, date fixed: own it, don’t stall it</w:t>
      </w:r>
    </w:p>
    <w:p>
      <w:pPr>
        <w:pStyle w:val="ListParagraph"/>
        <w:numPr>
          <w:ilvl w:val="0"/>
          <w:numId w:val="2"/>
        </w:numPr>
      </w:pPr>
      <w:r>
        <w:t xml:space="preserve">Publishing model → digital product platform; pivot agreed, shape and ways of working not</w:t>
      </w:r>
    </w:p>
    <w:p>
      <w:pPr>
        <w:pStyle w:val="ListParagraph"/>
        <w:numPr>
          <w:ilvl w:val="0"/>
          <w:numId w:val="2"/>
        </w:numPr>
      </w:pPr>
      <w:r>
        <w:t xml:space="preserve">Understand 1–30 (two baselines) · Stabilise 31–60 (keep running, assess proposal, confirm/re-scope/stop) · Accelerate 61–90→ (first assured delivery, plan to date)</w:t>
      </w:r>
    </w:p>
    <w:p>
      <w:pPr>
        <w:pStyle w:val="ListParagraph"/>
        <w:numPr>
          <w:ilvl w:val="0"/>
          <w:numId w:val="2"/>
        </w:numPr>
      </w:pPr>
      <w:r>
        <w:t xml:space="preserve">Rule 1: nothing that works stops until replacement proven. Rule 2: nothing starts without owner and gate</w:t>
      </w:r>
    </w:p>
    <w:p>
      <w:pPr>
        <w:pStyle w:val="ListParagraph"/>
        <w:numPr>
          <w:ilvl w:val="0"/>
          <w:numId w:val="2"/>
        </w:numPr>
      </w:pPr>
      <w:r>
        <w:t xml:space="preserve">Say it: everything after this is a hypothesis; Gates 1 and 2 test it</w:t>
      </w:r>
    </w:p>
    <w:p>
      <w:pPr>
        <w:pStyle w:val="ListParagraph"/>
        <w:numPr>
          <w:ilvl w:val="0"/>
          <w:numId w:val="2"/>
        </w:numPr>
      </w:pPr>
      <w:r>
        <w:t xml:space="preserve">Story: inherited mid-flight</w:t>
      </w:r>
    </w:p>
    <w:p>
      <w:pPr>
        <w:pStyle w:val="ListParagraph"/>
        <w:numPr>
          <w:ilvl w:val="0"/>
          <w:numId w:val="2"/>
        </w:numPr>
      </w:pPr>
      <w:r>
        <w:t xml:space="preserve">Bridge: “Here’s that on the calendar.”</w:t>
      </w:r>
    </w:p>
    <w:p>
      <w:pPr>
        <w:pStyle w:val="Heading3"/>
      </w:pPr>
      <w:r>
        <w:t xml:space="preserve">Slide 2: 90 days vs 27 April</w:t>
      </w:r>
    </w:p>
    <w:p>
      <w:pPr>
        <w:pStyle w:val="ListParagraph"/>
        <w:numPr>
          <w:ilvl w:val="0"/>
          <w:numId w:val="3"/>
        </w:numPr>
      </w:pPr>
      <w:r>
        <w:t xml:space="preserve">December start; break eats 3 of first 4 weeks; Gate 1 mid-Jan; baselines = a fortnight</w:t>
      </w:r>
    </w:p>
    <w:p>
      <w:pPr>
        <w:pStyle w:val="ListParagraph"/>
        <w:numPr>
          <w:ilvl w:val="0"/>
          <w:numId w:val="3"/>
        </w:numPr>
      </w:pPr>
      <w:r>
        <w:t xml:space="preserve">Day 90 early March; about 8 working weeks to go-live</w:t>
      </w:r>
    </w:p>
    <w:p>
      <w:pPr>
        <w:pStyle w:val="ListParagraph"/>
        <w:numPr>
          <w:ilvl w:val="0"/>
          <w:numId w:val="3"/>
        </w:numPr>
      </w:pPr>
      <w:r>
        <w:t xml:space="preserve">G1 day 30: two baselines → one-page baseline, in-flight list</w:t>
      </w:r>
    </w:p>
    <w:p>
      <w:pPr>
        <w:pStyle w:val="ListParagraph"/>
        <w:numPr>
          <w:ilvl w:val="0"/>
          <w:numId w:val="3"/>
        </w:numPr>
      </w:pPr>
      <w:r>
        <w:t xml:space="preserve">Why two: proposal = technology and products, not how we work; savings live there</w:t>
      </w:r>
    </w:p>
    <w:p>
      <w:pPr>
        <w:pStyle w:val="ListParagraph"/>
        <w:numPr>
          <w:ilvl w:val="0"/>
          <w:numId w:val="3"/>
        </w:numPr>
      </w:pPr>
      <w:r>
        <w:t xml:space="preserve">G2 day 60: fit test (supports how we work? right tier, right rule?) → the plan we’re held to. Builds on Phase 1 assurance review</w:t>
      </w:r>
    </w:p>
    <w:p>
      <w:pPr>
        <w:pStyle w:val="ListParagraph"/>
        <w:numPr>
          <w:ilvl w:val="0"/>
          <w:numId w:val="3"/>
        </w:numPr>
      </w:pPr>
      <w:r>
        <w:t xml:space="preserve">G3 day 90: first assured delivery (identity and entitlement, or content pipeline)</w:t>
      </w:r>
    </w:p>
    <w:p>
      <w:pPr>
        <w:pStyle w:val="ListParagraph"/>
        <w:numPr>
          <w:ilvl w:val="0"/>
          <w:numId w:val="3"/>
        </w:numPr>
      </w:pPr>
      <w:r>
        <w:t xml:space="preserve">Not in 90 days: commit to architecture, migrate data, extra hires, refined date or cost, AI platform before governance</w:t>
      </w:r>
    </w:p>
    <w:p>
      <w:pPr>
        <w:pStyle w:val="ListParagraph"/>
        <w:numPr>
          <w:ilvl w:val="0"/>
          <w:numId w:val="3"/>
        </w:numPr>
      </w:pPr>
      <w:r>
        <w:t xml:space="preserve">Scope is the only lever; trade-off to board at G2, late Jan, in writing</w:t>
      </w:r>
    </w:p>
    <w:p>
      <w:pPr>
        <w:pStyle w:val="ListParagraph"/>
        <w:numPr>
          <w:ilvl w:val="0"/>
          <w:numId w:val="3"/>
        </w:numPr>
      </w:pPr>
      <w:r>
        <w:t xml:space="preserve">Story: fixed date</w:t>
      </w:r>
    </w:p>
    <w:p>
      <w:pPr>
        <w:pStyle w:val="ListParagraph"/>
        <w:numPr>
          <w:ilvl w:val="0"/>
          <w:numId w:val="3"/>
        </w:numPr>
      </w:pPr>
      <w:r>
        <w:t xml:space="preserve">Bridge: “Next three slides: one credible shape the assessment would weigh, not the answer.”</w:t>
      </w:r>
    </w:p>
    <w:p>
      <w:pPr>
        <w:pStyle w:val="Heading3"/>
      </w:pPr>
      <w:r>
        <w:t xml:space="preserve">Slide 3: Four tiers, four questions</w:t>
      </w:r>
    </w:p>
    <w:p>
      <w:pPr>
        <w:pStyle w:val="ListParagraph"/>
        <w:numPr>
          <w:ilvl w:val="0"/>
          <w:numId w:val="4"/>
        </w:numPr>
      </w:pPr>
      <w:r>
        <w:t xml:space="preserve">Four questions: what kind of thing / spending judged on / how resilient / build or buy</w:t>
      </w:r>
    </w:p>
    <w:p>
      <w:pPr>
        <w:pStyle w:val="ListParagraph"/>
        <w:numPr>
          <w:ilvl w:val="0"/>
          <w:numId w:val="4"/>
        </w:numPr>
      </w:pPr>
      <w:r>
        <w:t xml:space="preserve">A product (AMH Online): moat · commercials · bullet-proof · build</w:t>
      </w:r>
    </w:p>
    <w:p>
      <w:pPr>
        <w:pStyle w:val="ListParagraph"/>
        <w:numPr>
          <w:ilvl w:val="0"/>
          <w:numId w:val="4"/>
        </w:numPr>
      </w:pPr>
      <w:r>
        <w:t xml:space="preserve">B content tooling (Quark, PriXM): content is the asset · fit, portability, cost · business hours, never only copy · buy and configure</w:t>
      </w:r>
    </w:p>
    <w:p>
      <w:pPr>
        <w:pStyle w:val="ListParagraph"/>
        <w:numPr>
          <w:ilvl w:val="0"/>
          <w:numId w:val="4"/>
        </w:numPr>
      </w:pPr>
      <w:r>
        <w:t xml:space="preserve">C commodity (D365, shop, Wiise, Power BI): cost vs efficiency · standard, no shared fate · buy, exceptions only</w:t>
      </w:r>
    </w:p>
    <w:p>
      <w:pPr>
        <w:pStyle w:val="ListParagraph"/>
        <w:numPr>
          <w:ilvl w:val="0"/>
          <w:numId w:val="4"/>
        </w:numPr>
      </w:pPr>
      <w:r>
        <w:t xml:space="preserve">X cross-cutting (identity, bus, monitoring, ISMS): inherits A’s posture · buy, bend to A</w:t>
      </w:r>
    </w:p>
    <w:p>
      <w:pPr>
        <w:pStyle w:val="ListParagraph"/>
        <w:numPr>
          <w:ilvl w:val="0"/>
          <w:numId w:val="4"/>
        </w:numPr>
      </w:pPr>
      <w:r>
        <w:t xml:space="preserve">AI: A accelerates · B assists, human sign-off · C woven in (Excel pricing step) · X triage and runbooks</w:t>
      </w:r>
    </w:p>
    <w:p>
      <w:pPr>
        <w:pStyle w:val="ListParagraph"/>
        <w:numPr>
          <w:ilvl w:val="0"/>
          <w:numId w:val="4"/>
        </w:numPr>
      </w:pPr>
      <w:r>
        <w:t xml:space="preserve">Guardrail: no AI output to content or production without a human gate</w:t>
      </w:r>
    </w:p>
    <w:p>
      <w:pPr>
        <w:pStyle w:val="ListParagraph"/>
        <w:numPr>
          <w:ilvl w:val="0"/>
          <w:numId w:val="4"/>
        </w:numPr>
      </w:pPr>
      <w:r>
        <w:t xml:space="preserve">Story: commodity over build (CRM)</w:t>
      </w:r>
    </w:p>
    <w:p>
      <w:pPr>
        <w:pStyle w:val="Heading3"/>
      </w:pPr>
      <w:r>
        <w:t xml:space="preserve">Slide 4: Resilience toolkit</w:t>
      </w:r>
    </w:p>
    <w:p>
      <w:pPr>
        <w:pStyle w:val="ListParagraph"/>
        <w:numPr>
          <w:ilvl w:val="0"/>
          <w:numId w:val="5"/>
        </w:numPr>
      </w:pPr>
      <w:r>
        <w:t xml:space="preserve">Five nines ≈ 5 minutes a year; argued from content; board’s risk appetite; no SLA in source</w:t>
      </w:r>
    </w:p>
    <w:p>
      <w:pPr>
        <w:pStyle w:val="ListParagraph"/>
        <w:numPr>
          <w:ilvl w:val="0"/>
          <w:numId w:val="5"/>
        </w:numPr>
      </w:pPr>
      <w:r>
        <w:t xml:space="preserve">No single mechanism gets you there</w:t>
      </w:r>
    </w:p>
    <w:p>
      <w:pPr>
        <w:pStyle w:val="ListParagraph"/>
        <w:numPr>
          <w:ilvl w:val="0"/>
          <w:numId w:val="5"/>
        </w:numPr>
      </w:pPr>
      <w:r>
        <w:t xml:space="preserve">1 Isolate · 2 Replicate · 3 Release safely · 4 Detect and respond · 5 Protect content</w:t>
      </w:r>
    </w:p>
    <w:p>
      <w:pPr>
        <w:pStyle w:val="ListParagraph"/>
        <w:numPr>
          <w:ilvl w:val="0"/>
          <w:numId w:val="5"/>
        </w:numPr>
      </w:pPr>
      <w:r>
        <w:t xml:space="preserve">Hub and spoke: sync spokes (authoring, identity, third-party APIs); async behind the bus (CRM, shop, finance, reporting)</w:t>
      </w:r>
    </w:p>
    <w:p>
      <w:pPr>
        <w:pStyle w:val="ListParagraph"/>
        <w:numPr>
          <w:ilvl w:val="0"/>
          <w:numId w:val="5"/>
        </w:numPr>
      </w:pPr>
      <w:r>
        <w:t xml:space="preserve">Proportion: B and C get the set that stops a slow week, not a lost minute</w:t>
      </w:r>
    </w:p>
    <w:p>
      <w:pPr>
        <w:pStyle w:val="ListParagraph"/>
        <w:numPr>
          <w:ilvl w:val="0"/>
          <w:numId w:val="5"/>
        </w:numPr>
      </w:pPr>
      <w:r>
        <w:t xml:space="preserve">Cost sits where the risk is</w:t>
      </w:r>
    </w:p>
    <w:p>
      <w:pPr>
        <w:pStyle w:val="ListParagraph"/>
        <w:numPr>
          <w:ilvl w:val="0"/>
          <w:numId w:val="5"/>
        </w:numPr>
      </w:pPr>
      <w:r>
        <w:t xml:space="preserve">Story: life-critical availability (EMIS)</w:t>
      </w:r>
    </w:p>
    <w:p>
      <w:pPr>
        <w:pStyle w:val="Heading3"/>
      </w:pPr>
      <w:r>
        <w:t xml:space="preserve">Slide 5: Publishing and rollback</w:t>
      </w:r>
    </w:p>
    <w:p>
      <w:pPr>
        <w:pStyle w:val="ListParagraph"/>
        <w:numPr>
          <w:ilvl w:val="0"/>
          <w:numId w:val="6"/>
        </w:numPr>
      </w:pPr>
      <w:r>
        <w:t xml:space="preserve">Second hub and spoke: inside the product</w:t>
      </w:r>
    </w:p>
    <w:p>
      <w:pPr>
        <w:pStyle w:val="ListParagraph"/>
        <w:numPr>
          <w:ilvl w:val="0"/>
          <w:numId w:val="6"/>
        </w:numPr>
      </w:pPr>
      <w:r>
        <w:t xml:space="preserve">Hub → manifest (content vN + code vN) → event log → nodes</w:t>
      </w:r>
    </w:p>
    <w:p>
      <w:pPr>
        <w:pStyle w:val="ListParagraph"/>
        <w:numPr>
          <w:ilvl w:val="0"/>
          <w:numId w:val="6"/>
        </w:numPr>
      </w:pPr>
      <w:r>
        <w:t xml:space="preserve">Log: immutable, ordered, retained, replayable; requirements not a product choice</w:t>
      </w:r>
    </w:p>
    <w:p>
      <w:pPr>
        <w:pStyle w:val="ListParagraph"/>
        <w:numPr>
          <w:ilvl w:val="0"/>
          <w:numId w:val="6"/>
        </w:numPr>
      </w:pPr>
      <w:r>
        <w:t xml:space="preserve">Nodes serve alone; Region 3 rebuilt from log; multi-CDN edge, health-based routing</w:t>
      </w:r>
    </w:p>
    <w:p>
      <w:pPr>
        <w:pStyle w:val="ListParagraph"/>
        <w:numPr>
          <w:ilvl w:val="0"/>
          <w:numId w:val="6"/>
        </w:numPr>
      </w:pPr>
      <w:r>
        <w:t xml:space="preserve">Rollback = re-point to vN-1, seconds, no redeploy</w:t>
      </w:r>
    </w:p>
    <w:p>
      <w:pPr>
        <w:pStyle w:val="ListParagraph"/>
        <w:numPr>
          <w:ilvl w:val="0"/>
          <w:numId w:val="6"/>
        </w:numPr>
      </w:pPr>
      <w:r>
        <w:t xml:space="preserve">Consideration, not a decision: managed Kafka-class log</w:t>
      </w:r>
    </w:p>
    <w:p>
      <w:pPr>
        <w:pStyle w:val="Heading3"/>
      </w:pPr>
      <w:r>
        <w:t xml:space="preserve">Slide 6: The team</w:t>
      </w:r>
    </w:p>
    <w:p>
      <w:pPr>
        <w:pStyle w:val="ListParagraph"/>
        <w:numPr>
          <w:ilvl w:val="0"/>
          <w:numId w:val="7"/>
        </w:numPr>
      </w:pPr>
      <w:r>
        <w:t xml:space="preserve">Worked backwards from tiers and CTO remit</w:t>
      </w:r>
    </w:p>
    <w:p>
      <w:pPr>
        <w:pStyle w:val="ListParagraph"/>
        <w:numPr>
          <w:ilvl w:val="0"/>
          <w:numId w:val="7"/>
        </w:numPr>
      </w:pPr>
      <w:r>
        <w:t xml:space="preserve">Six: CTO · Technical Lead · Developer (replaces 0.6 PM) · Platform Engineer (DevSecOps) · Digital Product Owner · QA/BA</w:t>
      </w:r>
    </w:p>
    <w:p>
      <w:pPr>
        <w:pStyle w:val="ListParagraph"/>
        <w:numPr>
          <w:ilvl w:val="0"/>
          <w:numId w:val="7"/>
        </w:numPr>
      </w:pPr>
      <w:r>
        <w:t xml:space="preserve">Why: Tier A needs two pairs of hands; key-person risk; PM sits with CTO; QA evidence for gates</w:t>
      </w:r>
    </w:p>
    <w:p>
      <w:pPr>
        <w:pStyle w:val="ListParagraph"/>
        <w:numPr>
          <w:ilvl w:val="0"/>
          <w:numId w:val="7"/>
        </w:numPr>
      </w:pPr>
      <w:r>
        <w:t xml:space="preserve">Now = the six · Over time = second developer or vendor 0.6 PM; AI budget and AI-DLC instead of headcount · Source = MSP, specialist partners, vendor experts</w:t>
      </w:r>
    </w:p>
    <w:p>
      <w:pPr>
        <w:pStyle w:val="ListParagraph"/>
        <w:numPr>
          <w:ilvl w:val="0"/>
          <w:numId w:val="7"/>
        </w:numPr>
      </w:pPr>
      <w:r>
        <w:t xml:space="preserve">Content operations outside remit</w:t>
      </w:r>
    </w:p>
    <w:p>
      <w:pPr>
        <w:pStyle w:val="ListParagraph"/>
        <w:numPr>
          <w:ilvl w:val="0"/>
          <w:numId w:val="7"/>
        </w:numPr>
      </w:pPr>
      <w:r>
        <w:t xml:space="preserve">Own judgement, not headcount; partners decide how</w:t>
      </w:r>
    </w:p>
    <w:p>
      <w:pPr>
        <w:pStyle w:val="ListParagraph"/>
        <w:numPr>
          <w:ilvl w:val="0"/>
          <w:numId w:val="7"/>
        </w:numPr>
      </w:pPr>
      <w:r>
        <w:t xml:space="preserve">Story: partner or MSP; thin team (EMIS India, CallCredit Lithuania)</w:t>
      </w:r>
    </w:p>
    <w:p>
      <w:pPr>
        <w:pStyle w:val="Heading3"/>
      </w:pPr>
      <w:r>
        <w:t xml:space="preserve">Slide 7: Governance and six months</w:t>
      </w:r>
    </w:p>
    <w:p>
      <w:pPr>
        <w:pStyle w:val="ListParagraph"/>
        <w:numPr>
          <w:ilvl w:val="0"/>
          <w:numId w:val="8"/>
        </w:numPr>
      </w:pPr>
      <w:r>
        <w:t xml:space="preserve">Board/Risk quarterly + monthly pack · weekly Delivery and Partner Review, CEO invited · architecture decisions written down · no separate steering layer</w:t>
      </w:r>
    </w:p>
    <w:p>
      <w:pPr>
        <w:pStyle w:val="ListParagraph"/>
        <w:numPr>
          <w:ilvl w:val="0"/>
          <w:numId w:val="8"/>
        </w:numPr>
      </w:pPr>
      <w:r>
        <w:t xml:space="preserve">Five gates: security/payments/ISMS · data/privacy · content integrity/clinical governance · integration/operability · release readiness</w:t>
      </w:r>
    </w:p>
    <w:p>
      <w:pPr>
        <w:pStyle w:val="ListParagraph"/>
        <w:numPr>
          <w:ilvl w:val="0"/>
          <w:numId w:val="8"/>
        </w:numPr>
      </w:pPr>
      <w:r>
        <w:t xml:space="preserve">Inward: cycle time, change failure, rework, recovery. Upward: date confidence, availability vs appetite, risks, spend, decisions pending. AI on cycle time and quality, not tokens</w:t>
      </w:r>
    </w:p>
    <w:p>
      <w:pPr>
        <w:pStyle w:val="ListParagraph"/>
        <w:numPr>
          <w:ilvl w:val="0"/>
          <w:numId w:val="8"/>
        </w:numPr>
      </w:pPr>
      <w:r>
        <w:t xml:space="preserve">Months 1–2 baselines, fit test, scope to board · 3–4 first assured delivery · 5–6 build waves, rehearsal, go-live</w:t>
      </w:r>
    </w:p>
    <w:p>
      <w:pPr>
        <w:pStyle w:val="ListParagraph"/>
        <w:numPr>
          <w:ilvl w:val="0"/>
          <w:numId w:val="8"/>
        </w:numPr>
      </w:pPr>
      <w:r>
        <w:t xml:space="preserve">Tell the Board: fixed date so scope flexes · team of six · budget to confirm · vendor dependency · content ops capacity · availability and payments across every channel</w:t>
      </w:r>
    </w:p>
    <w:p>
      <w:pPr>
        <w:pStyle w:val="Heading3"/>
      </w:pPr>
      <w:r>
        <w:t xml:space="preserve">Slide 8 and close</w:t>
      </w:r>
    </w:p>
    <w:p>
      <w:pPr>
        <w:pStyle w:val="ListParagraph"/>
        <w:numPr>
          <w:ilvl w:val="0"/>
          <w:numId w:val="9"/>
        </w:numPr>
      </w:pPr>
      <w:r>
        <w:t xml:space="preserve">Don’t walk the wall: “what the proposal doesn’t show yet; judged by tier; no commitments”</w:t>
      </w:r>
    </w:p>
    <w:p>
      <w:pPr>
        <w:pStyle w:val="ListParagraph"/>
        <w:numPr>
          <w:ilvl w:val="0"/>
          <w:numId w:val="9"/>
        </w:numPr>
      </w:pPr>
      <w:r>
        <w:t xml:space="preserve">Day 1.5: analytics, consent, status page, integration standards, content versioning</w:t>
      </w:r>
    </w:p>
    <w:p>
      <w:pPr>
        <w:pStyle w:val="ListParagraph"/>
        <w:numPr>
          <w:ilvl w:val="0"/>
          <w:numId w:val="9"/>
        </w:numPr>
      </w:pPr>
      <w:r>
        <w:t xml:space="preserve">Day 2: assistant over authoritative content, citations, no generated clinical text; governance first</w:t>
      </w:r>
    </w:p>
    <w:p>
      <w:pPr>
        <w:pStyle w:val="ListParagraph"/>
        <w:numPr>
          <w:ilvl w:val="0"/>
          <w:numId w:val="9"/>
        </w:numPr>
      </w:pPr>
      <w:r>
        <w:t xml:space="preserve">Close: customers, revenue, content integrity intact · core live and bullet-proof · commodity cheap and quiet · decisions written down · Day 2 ready with guardrails set</w:t>
      </w:r>
    </w:p>
    <w:p>
      <w:pPr>
        <w:pStyle w:val="Heading3"/>
      </w:pPr>
      <w:r>
        <w:t xml:space="preserve">Numbers to have cold</w:t>
      </w:r>
    </w:p>
    <w:p>
      <w:pPr>
        <w:pStyle w:val="ListParagraph"/>
        <w:numPr>
          <w:ilvl w:val="0"/>
          <w:numId w:val="10"/>
        </w:numPr>
      </w:pPr>
      <w:r>
        <w:t xml:space="preserve">30 / 60 / 90 days · 27 April · about 8 working weeks after day 90</w:t>
      </w:r>
    </w:p>
    <w:p>
      <w:pPr>
        <w:pStyle w:val="ListParagraph"/>
        <w:numPr>
          <w:ilvl w:val="0"/>
          <w:numId w:val="10"/>
        </w:numPr>
      </w:pPr>
      <w:r>
        <w:t xml:space="preserve">4 tiers (A, B, C, X) · 4 questions · 5 protections · 5 gates · six roles</w:t>
      </w:r>
    </w:p>
    <w:p>
      <w:pPr>
        <w:pStyle w:val="ListParagraph"/>
        <w:numPr>
          <w:ilvl w:val="0"/>
          <w:numId w:val="10"/>
        </w:numPr>
      </w:pPr>
      <w:r>
        <w:t xml:space="preserve">99.999% ≈ 5 minutes a year</w:t>
      </w:r>
    </w:p>
    <w:p>
      <w:pPr>
        <w:pStyle w:val="ListParagraph"/>
        <w:numPr>
          <w:ilvl w:val="0"/>
          <w:numId w:val="10"/>
        </w:numPr>
      </w:pPr>
      <w:r>
        <w:t xml:space="preserve">Quarterly / monthly / weekly rhythm</w:t>
      </w:r>
    </w:p>
    <w:p>
      <w:pPr>
        <w:pStyle w:val="ListParagraph"/>
        <w:numPr>
          <w:ilvl w:val="0"/>
          <w:numId w:val="10"/>
        </w:numPr>
      </w:pPr>
      <w:r>
        <w:t xml:space="preserve">Months 1–2, 3–4, 5–6</w:t>
      </w:r>
    </w:p>
    <w:p>
      <w:pPr>
        <w:pStyle w:val="Heading2"/>
      </w:pPr>
      <w:r>
        <w:t xml:space="preserve">4. Coverage against the six asks in the question</w:t>
      </w:r>
    </w:p>
    <w:tbl>
      <w:tblPr>
        <w:tblStyle w:val="TableGrid"/>
        <w:tblW w:w="0" w:type="auto"/>
        <w:tblLayout w:type="fixed"/>
        <w:tblLook w:val="04A0" w:firstRow="1" w:lastRow="0" w:firstColumn="0" w:lastColumn="0" w:noHBand="0" w:noVBand="1"/>
      </w:tblPr>
      <w:tblGrid>
        <w:gridCol w:w="3636"/>
        <w:gridCol w:w="5723"/>
      </w:tblGrid>
      <w:tr>
        <w:trPr>
          <w:tblHeader/>
        </w:trPr>
        <w:tc>
          <w:tcPr>
            <w:tcW w:w="3636" w:type="dxa"/>
            <w:shd w:val="clear" w:color="auto" w:fill="F2F2F2"/>
          </w:tcPr>
          <w:p>
            <w:pPr/>
            <w:r>
              <w:t xml:space="preserve">Ask</w:t>
            </w:r>
          </w:p>
        </w:tc>
        <w:tc>
          <w:tcPr>
            <w:tcW w:w="5723" w:type="dxa"/>
            <w:shd w:val="clear" w:color="auto" w:fill="F2F2F2"/>
          </w:tcPr>
          <w:p>
            <w:pPr/>
            <w:r>
              <w:t xml:space="preserve">Where it is covered</w:t>
            </w:r>
          </w:p>
        </w:tc>
      </w:tr>
      <w:tr>
        <w:tc>
          <w:tcPr>
            <w:tcW w:w="3636" w:type="dxa"/>
          </w:tcPr>
          <w:p>
            <w:pPr/>
            <w:r>
              <w:t xml:space="preserve">Modernise first</w:t>
            </w:r>
          </w:p>
        </w:tc>
        <w:tc>
          <w:tcPr>
            <w:tcW w:w="5723" w:type="dxa"/>
          </w:tcPr>
          <w:p>
            <w:pPr/>
            <w:r>
              <w:t xml:space="preserve">Slides 1, 2</w:t>
            </w:r>
          </w:p>
        </w:tc>
      </w:tr>
      <w:tr>
        <w:tc>
          <w:tcPr>
            <w:tcW w:w="3636" w:type="dxa"/>
          </w:tcPr>
          <w:p>
            <w:pPr/>
            <w:r>
              <w:t xml:space="preserve">Create confidence</w:t>
            </w:r>
          </w:p>
        </w:tc>
        <w:tc>
          <w:tcPr>
            <w:tcW w:w="5723" w:type="dxa"/>
          </w:tcPr>
          <w:p>
            <w:pPr/>
            <w:r>
              <w:t xml:space="preserve">Slides 2, 4, 7 (gates, rhythm, assurance, written decisions)</w:t>
            </w:r>
          </w:p>
        </w:tc>
      </w:tr>
      <w:tr>
        <w:tc>
          <w:tcPr>
            <w:tcW w:w="3636" w:type="dxa"/>
          </w:tcPr>
          <w:p>
            <w:pPr/>
            <w:r>
              <w:t xml:space="preserve">Build for what comes next</w:t>
            </w:r>
          </w:p>
        </w:tc>
        <w:tc>
          <w:tcPr>
            <w:tcW w:w="5723" w:type="dxa"/>
          </w:tcPr>
          <w:p>
            <w:pPr/>
            <w:r>
              <w:t xml:space="preserve">Slide 8, and the close</w:t>
            </w:r>
          </w:p>
        </w:tc>
      </w:tr>
      <w:tr>
        <w:tc>
          <w:tcPr>
            <w:tcW w:w="3636" w:type="dxa"/>
          </w:tcPr>
          <w:p>
            <w:pPr/>
            <w:r>
              <w:t xml:space="preserve">Future capability</w:t>
            </w:r>
          </w:p>
        </w:tc>
        <w:tc>
          <w:tcPr>
            <w:tcW w:w="5723" w:type="dxa"/>
          </w:tcPr>
          <w:p>
            <w:pPr/>
            <w:r>
              <w:t xml:space="preserve">Slides 2, 3, 6, and the close sentence on the operating model</w:t>
            </w:r>
          </w:p>
        </w:tc>
      </w:tr>
      <w:tr>
        <w:tc>
          <w:tcPr>
            <w:tcW w:w="3636" w:type="dxa"/>
          </w:tcPr>
          <w:p>
            <w:pPr/>
            <w:r>
              <w:t xml:space="preserve">Organisation and resourcing</w:t>
            </w:r>
          </w:p>
        </w:tc>
        <w:tc>
          <w:tcPr>
            <w:tcW w:w="5723" w:type="dxa"/>
          </w:tcPr>
          <w:p>
            <w:pPr/>
            <w:r>
              <w:t xml:space="preserve">Slide 6 (now, over time, source)</w:t>
            </w:r>
          </w:p>
        </w:tc>
      </w:tr>
      <w:tr>
        <w:tc>
          <w:tcPr>
            <w:tcW w:w="3636" w:type="dxa"/>
          </w:tcPr>
          <w:p>
            <w:pPr/>
            <w:r>
              <w:t xml:space="preserve">The next six months</w:t>
            </w:r>
          </w:p>
        </w:tc>
        <w:tc>
          <w:tcPr>
            <w:tcW w:w="5723" w:type="dxa"/>
          </w:tcPr>
          <w:p>
            <w:pPr/>
            <w:r>
              <w:t xml:space="preserve">Slide 7</w:t>
            </w:r>
          </w:p>
        </w:tc>
      </w:tr>
    </w:tbl>
    <w:p>
      <w:pPr>
        <w:pStyle w:val="Heading2"/>
      </w:pPr>
      <w:r>
        <w:t xml:space="preserve">5. Where I resolved conflicts and what to check</w:t>
      </w:r>
    </w:p>
    <w:p>
      <w:pPr>
        <w:pStyle w:val="ListParagraph"/>
        <w:numPr>
          <w:ilvl w:val="0"/>
          <w:numId w:val="11"/>
        </w:numPr>
      </w:pPr>
      <w:r>
        <w:rPr>
          <w:b/>
        </w:rPr>
        <w:t xml:space="preserve">Steering layer.</w:t>
      </w:r>
      <w:r>
        <w:t xml:space="preserve"> The slide 7 notes list a monthly Programme Steering meeting, but the slide and the notes’ own weekly-review line say there is no separate steering layer. I used the slide.</w:t>
      </w:r>
    </w:p>
    <w:p>
      <w:pPr>
        <w:pStyle w:val="ListParagraph"/>
        <w:numPr>
          <w:ilvl w:val="0"/>
          <w:numId w:val="11"/>
        </w:numPr>
      </w:pPr>
      <w:r>
        <w:rPr>
          <w:b/>
        </w:rPr>
        <w:t xml:space="preserve">MSP scope.</w:t>
      </w:r>
      <w:r>
        <w:t xml:space="preserve"> Slide 6 describes the MSP as office IT (laptops, printers, phones, internet). Slide 4 and the notes have 24×7 product on-call through the MSP. I wrote “a partner” for on-call. Suggested line if asked: which partners beyond the MSP are contracted, and for what, is a Gate 1 item.</w:t>
      </w:r>
    </w:p>
    <w:p>
      <w:pPr>
        <w:pStyle w:val="ListParagraph"/>
        <w:numPr>
          <w:ilvl w:val="0"/>
          <w:numId w:val="11"/>
        </w:numPr>
      </w:pPr>
      <w:r>
        <w:rPr>
          <w:b/>
        </w:rPr>
        <w:t xml:space="preserve">Role names.</w:t>
      </w:r>
      <w:r>
        <w:t xml:space="preserve"> The notes say Lead Engineer, Product and BA/QA. The slide says Technical Lead, Digital Product Owner and QA/BA. I used the slide.</w:t>
      </w:r>
    </w:p>
    <w:p>
      <w:pPr>
        <w:pStyle w:val="ListParagraph"/>
        <w:numPr>
          <w:ilvl w:val="0"/>
          <w:numId w:val="11"/>
        </w:numPr>
      </w:pPr>
      <w:r>
        <w:rPr>
          <w:b/>
        </w:rPr>
        <w:t xml:space="preserve">Slide numbers in the notes</w:t>
      </w:r>
      <w:r>
        <w:t xml:space="preserve"> are out of date (they point to “slide 2” for tiering, “slide 3” for hub and spoke, “slide 4b” for multi-CDN). I used the actual deck: tiers on 3, hub and spoke on 4, distribution and multi-CDN on 5.</w:t>
      </w:r>
    </w:p>
    <w:p>
      <w:pPr>
        <w:pStyle w:val="ListParagraph"/>
        <w:numPr>
          <w:ilvl w:val="0"/>
          <w:numId w:val="11"/>
        </w:numPr>
      </w:pPr>
      <w:r>
        <w:rPr>
          <w:b/>
        </w:rPr>
        <w:t xml:space="preserve">Items in the notes but not on slide 4</w:t>
      </w:r>
      <w:r>
        <w:t xml:space="preserve"> (expand/contract schema changes, AI-generated test evidence behind a human gate) are left out of the script. Use them only if asked.</w:t>
      </w:r>
    </w:p>
    <w:p>
      <w:pPr>
        <w:pStyle w:val="ListParagraph"/>
        <w:numPr>
          <w:ilvl w:val="0"/>
          <w:numId w:val="11"/>
        </w:numPr>
      </w:pPr>
      <w:r>
        <w:rPr>
          <w:b/>
        </w:rPr>
        <w:t xml:space="preserve">Team size.</w:t>
      </w:r>
      <w:r>
        <w:t xml:space="preserve"> The proposal in your candidate pack adds to 4.6 FTE including the CTO (1.0 + 1.0 + 0.6 + 1.0 + 1.0), plus a part-time BA. The slide 1 notes say “a CTO plus roughly 4.6 FTE”, which would double-count. I used 4.6 including the CTO in the script on slide 6 by listing the roles rather than quoting the figure; check the arithmetic against your own read.</w:t>
      </w:r>
    </w:p>
    <w:p>
      <w:pPr>
        <w:pStyle w:val="ListParagraph"/>
        <w:numPr>
          <w:ilvl w:val="0"/>
          <w:numId w:val="11"/>
        </w:numPr>
      </w:pPr>
      <w:r>
        <w:rPr>
          <w:b/>
        </w:rPr>
        <w:t xml:space="preserve">Phase 1 assurance review.</w:t>
      </w:r>
      <w:r>
        <w:t xml:space="preserve"> The candidate pack carries a Phase 1 assurance template saying the architecture is fit for purpose to proceed, with Alexei leading, and Alexei is on your panel. The Gate 2 fit test is framed as complementary to that review so it doesn’t sound like second-guessing.</w:t>
      </w:r>
    </w:p>
    <w:p>
      <w:pPr>
        <w:pStyle w:val="ListParagraph"/>
        <w:numPr>
          <w:ilvl w:val="0"/>
          <w:numId w:val="11"/>
        </w:numPr>
      </w:pPr>
      <w:r>
        <w:rPr>
          <w:b/>
        </w:rPr>
        <w:t xml:space="preserve">Slide 8 is not walked, but the question asks for “build for what comes next”.</w:t>
      </w:r>
      <w:r>
        <w:t xml:space="preserve"> I gave it 45 seconds and the close. If you stay with “not walked”, put that time into questions and be ready to talk to it.</w:t>
      </w:r>
    </w:p>
    <w:p>
      <w:pPr>
        <w:pStyle w:val="ListParagraph"/>
        <w:numPr>
          <w:ilvl w:val="0"/>
          <w:numId w:val="11"/>
        </w:numPr>
      </w:pPr>
      <w:r>
        <w:rPr>
          <w:b/>
        </w:rPr>
        <w:t xml:space="preserve">Stories.</w:t>
      </w:r>
      <w:r>
        <w:t xml:space="preserve"> I have not invented details for any story slot. The anchors are drawn from your CV and your earlier notes; the specifics (what it cost, what it unlocked, what the contract looked like) are only yours to add.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AMH CTO presentation 15-minute rehearsal notes</dc:title>
  <dc:description>Claude Docs node/d7d81dd1-3854@1 docx-w7</dc:description>
  <cp:revision>1</cp:revision>
</cp:coreProperties>
</file>