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7088"/>
        <w:gridCol w:w="3378"/>
      </w:tblGrid>
      <w:tr w:rsidR="006F017C" w14:paraId="6D70E016" w14:textId="77777777" w:rsidTr="00BC00AC">
        <w:tc>
          <w:tcPr>
            <w:tcW w:w="7088" w:type="dxa"/>
          </w:tcPr>
          <w:p w14:paraId="7E30BB1C" w14:textId="77777777" w:rsidR="006F017C" w:rsidRDefault="00000000">
            <w:pPr>
              <w:spacing w:after="60"/>
            </w:pPr>
            <w:r>
              <w:rPr>
                <w:b/>
                <w:bCs/>
                <w:color w:val="3B3838"/>
                <w:sz w:val="64"/>
                <w:szCs w:val="64"/>
              </w:rPr>
              <w:t>David Weir</w:t>
            </w:r>
          </w:p>
          <w:p w14:paraId="2E8709EC" w14:textId="6023B483" w:rsidR="006F017C" w:rsidRDefault="00BC00AC">
            <w:pPr>
              <w:spacing w:after="40"/>
            </w:pPr>
            <w:r>
              <w:rPr>
                <w:i/>
                <w:color w:val="333333"/>
                <w:sz w:val="21"/>
              </w:rPr>
              <w:t>Technology, product and AI executive leading digital transformation, platform delivery and commercial growth — CTO · CIO · CPO remit.</w:t>
            </w:r>
          </w:p>
        </w:tc>
        <w:tc>
          <w:tcPr>
            <w:tcW w:w="3378"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20" w:line="240" w:lineRule="auto"/>
        <w:rPr>
          <w:color w:val="222222"/>
        </w:rPr>
      </w:pPr>
      <w:r>
        <w:rPr>
          <w:color w:val="222222"/>
        </w:rPr>
        <w:t>Over 15 years in CXO and Director roles across healthcare, education, fintech and regulated SaaS. Retained CTO accountability for Cashflow Manager™ following its acquisition by Reckon (ASX: RKN), where I now serve as Head of Product with CPO remit. Responsible for product strategy and end-to-end roadmap delivery across the full portfolio. I directly manage the Product, Enterprise Data and Reporting teams, with broader leadership extending into Architecture, Research, Content and Design.</w:t>
      </w:r>
    </w:p>
    <w:p w14:paraId="520A4B36" w14:textId="48F7BD0B" w:rsidR="00A27A75" w:rsidRDefault="00000000">
      <w:pPr>
        <w:spacing w:after="20" w:line="240" w:lineRule="auto"/>
        <w:rPr>
          <w:color w:val="222222"/>
        </w:rPr>
      </w:pPr>
      <w:r>
        <w:rPr>
          <w:color w:val="222222"/>
        </w:rPr>
        <w:t>I am leading Reckon’s AI transformation in partnership with AWS, introducing AI-PDLC—an AI-native delivery methodology that has accelerated end-to-end product delivery from months to weeks. I established a Responsible and Secure AI Policy and champion AI adoption across business functions. I translate strategy into practical delivery plans, launching products into new markets within agreed time, scope and budget.</w:t>
      </w:r>
    </w:p>
    <w:p w14:paraId="6FF44B21" w14:textId="3CA02FBC" w:rsidR="00A27A75" w:rsidRDefault="001D5E08">
      <w:pPr>
        <w:spacing w:after="20" w:line="240" w:lineRule="auto"/>
        <w:rPr>
          <w:color w:val="222222"/>
        </w:rPr>
      </w:pPr>
      <w:r>
        <w:rPr>
          <w:color w:val="222222"/>
        </w:rPr>
        <w:t>I remain hands-on and highly technical, having delivered mission-critical platforms across credit bureaus, national patient records, headless banking, financial reporting and international education. At EMIS, this included integrating trusted clinical content and decision support into digital workflows. Adelaide-based, with Board experience and subsidiary CEO responsibilities. Trusted by Boards and executives to align investment, governance and risk with commercial outcomes.</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pPr>
              <w:spacing w:after="60"/>
            </w:pPr>
            <w:r>
              <w:rPr>
                <w:b/>
                <w:sz w:val="19"/>
              </w:rPr>
              <w:t xml:space="preserve">❖ Product leadership: </w:t>
            </w:r>
            <w:r>
              <w:rPr>
                <w:sz w:val="19"/>
              </w:rPr>
              <w:t>strategy through delivery; roadmaps, investment priorities; products used by millions</w:t>
            </w:r>
          </w:p>
          <w:p>
            <w:pPr>
              <w:spacing w:after="60"/>
            </w:pPr>
            <w:r>
              <w:rPr>
                <w:b/>
                <w:sz w:val="19"/>
              </w:rPr>
              <w:t xml:space="preserve">❖ AI strategy &amp; adoption: </w:t>
            </w:r>
            <w:r>
              <w:rPr>
                <w:sz w:val="19"/>
              </w:rPr>
              <w:t>AI-PDLC; AI-native delivery; enterprise-wide adoption; responsible AI; early applied AI</w:t>
            </w:r>
          </w:p>
          <w:p>
            <w:pPr>
              <w:spacing w:after="60"/>
            </w:pPr>
            <w:r>
              <w:rPr>
                <w:b/>
                <w:sz w:val="19"/>
              </w:rPr>
              <w:t xml:space="preserve">❖ Portfolio management: </w:t>
            </w:r>
            <w:r>
              <w:rPr>
                <w:sz w:val="19"/>
              </w:rPr>
              <w:t>governance, delivery and change management; SAFe, Scrum, ITIL; OKR, OGSM, TOGAF</w:t>
            </w:r>
          </w:p>
        </w:tc>
        <w:tc>
          <w:tcPr>
            <w:tcW w:w="3544" w:type="dxa"/>
          </w:tcPr>
          <w:p>
            <w:pPr>
              <w:spacing w:after="60"/>
            </w:pPr>
            <w:r>
              <w:rPr>
                <w:b/>
                <w:sz w:val="19"/>
              </w:rPr>
              <w:t xml:space="preserve">❖ Architecture &amp; integration: </w:t>
            </w:r>
            <w:r>
              <w:rPr>
                <w:sz w:val="19"/>
              </w:rPr>
              <w:t>enterprise architecture, platform design, interoperability &amp; shared-data platforms</w:t>
            </w:r>
          </w:p>
          <w:p>
            <w:pPr>
              <w:spacing w:after="60"/>
            </w:pPr>
            <w:r>
              <w:rPr>
                <w:b/>
                <w:sz w:val="19"/>
              </w:rPr>
              <w:t xml:space="preserve">❖ Business transformation: </w:t>
            </w:r>
            <w:r>
              <w:rPr>
                <w:sz w:val="19"/>
              </w:rPr>
              <w:t>operating-model restructure; M&amp;A due diligence; platform modernisation</w:t>
            </w:r>
          </w:p>
          <w:p>
            <w:pPr>
              <w:spacing w:after="60"/>
            </w:pPr>
            <w:r>
              <w:rPr>
                <w:b/>
                <w:sz w:val="19"/>
              </w:rPr>
              <w:t xml:space="preserve">❖ Cybersecurity &amp; compliance: </w:t>
            </w:r>
            <w:r>
              <w:rPr>
                <w:sz w:val="19"/>
              </w:rPr>
              <w:t>ISO 27001:2022, PCI-DSS, ISMF; privacy, resilience and technology risk</w:t>
            </w:r>
          </w:p>
        </w:tc>
        <w:tc>
          <w:tcPr>
            <w:tcW w:w="3236" w:type="dxa"/>
          </w:tcPr>
          <w:p>
            <w:pPr>
              <w:spacing w:after="60"/>
            </w:pPr>
            <w:r>
              <w:rPr>
                <w:b/>
                <w:sz w:val="19"/>
              </w:rPr>
              <w:t xml:space="preserve">❖ Commercial outcomes: </w:t>
            </w:r>
            <w:r>
              <w:rPr>
                <w:sz w:val="19"/>
              </w:rPr>
              <w:t>EBITDA-positive launches; ~25% lower customer acquisition costs; $1.3m recovered.</w:t>
            </w:r>
          </w:p>
          <w:p>
            <w:pPr>
              <w:spacing w:after="60"/>
            </w:pPr>
            <w:r>
              <w:rPr>
                <w:b/>
                <w:sz w:val="19"/>
              </w:rPr>
              <w:t xml:space="preserve">❖ People leadership: </w:t>
            </w:r>
            <w:r>
              <w:rPr>
                <w:sz w:val="19"/>
              </w:rPr>
              <w:t>multidisciplinary teams, capability development and accountability; extensive distributed and offshore/nearshore leadership</w:t>
            </w:r>
          </w:p>
          <w:p>
            <w:pPr>
              <w:spacing w:after="60"/>
            </w:pPr>
            <w:r>
              <w:rPr>
                <w:b/>
                <w:sz w:val="19"/>
              </w:rPr>
              <w:t xml:space="preserve">❖ Regulated delivery: </w:t>
            </w:r>
            <w:r>
              <w:rPr>
                <w:sz w:val="19"/>
              </w:rP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0" w:line="240" w:lineRule="auto" w:before="0"/>
        <w:rPr>
          <w:color w:val="222222"/>
        </w:rPr>
      </w:pPr>
      <w:r>
        <w:rPr>
          <w:color w:val="222222"/>
        </w:rPr>
        <w:t>Delivered EMIS’s two largest UK Government NHS contracts. Broader EMIS experience included embedding British National Formulary and clinical decision support in EMIS Web, and integrating peer-reviewed Patient.co.uk information into clinical workflows.</w:t>
      </w:r>
    </w:p>
    <w:p w14:paraId="3FD5A143" w14:textId="2C9D44A6" w:rsidR="008928BE" w:rsidRPr="008928BE" w:rsidRDefault="008928BE" w:rsidP="008928BE">
      <w:pPr>
        <w:pStyle w:val="ListParagraph"/>
        <w:numPr>
          <w:ilvl w:val="0"/>
          <w:numId w:val="2"/>
        </w:numPr>
        <w:spacing w:after="0" w:line="240" w:lineRule="auto" w:before="0"/>
        <w:rPr>
          <w:color w:val="222222"/>
        </w:rPr>
      </w:pPr>
      <w:r>
        <w:rPr>
          <w:color w:val="222222"/>
        </w:rPr>
        <w:t>Conceived Totemic’s Embark™ headless banking platform, adopted by PayPal, NatWest, Santander and other major institutions; EBITDA-positive in year one.</w:t>
      </w:r>
    </w:p>
    <w:p w14:paraId="4AC436B0" w14:textId="70CBDF1B" w:rsidR="008928BE" w:rsidRPr="008928BE" w:rsidRDefault="008928BE" w:rsidP="008928BE">
      <w:pPr>
        <w:pStyle w:val="ListParagraph"/>
        <w:numPr>
          <w:ilvl w:val="0"/>
          <w:numId w:val="2"/>
        </w:numPr>
        <w:spacing w:after="0" w:line="240" w:lineRule="auto" w:before="0"/>
        <w:rPr>
          <w:color w:val="222222"/>
        </w:rPr>
      </w:pPr>
      <w:r>
        <w:rPr>
          <w:color w:val="222222"/>
        </w:rPr>
        <w:t>Pioneered applied AI through EduCo’s Accelerate™ platform, automating student eligibility, academic authenticity and visa-likelihood assessment; launched in under six months.</w:t>
      </w:r>
    </w:p>
    <w:p w14:paraId="01984CBA" w14:textId="09D95FFA" w:rsidR="008928BE" w:rsidRPr="008928BE" w:rsidRDefault="008928BE" w:rsidP="008928BE">
      <w:pPr>
        <w:pStyle w:val="ListParagraph"/>
        <w:numPr>
          <w:ilvl w:val="0"/>
          <w:numId w:val="2"/>
        </w:numPr>
        <w:spacing w:after="0" w:line="240" w:lineRule="auto" w:before="0"/>
        <w:rPr>
          <w:color w:val="222222"/>
        </w:rPr>
      </w:pPr>
      <w:r>
        <w:rPr>
          <w:color w:val="222222"/>
        </w:rPr>
        <w:t>Led AIB’s technology-enabled transition from distance learning to digital learning, combining major platform changes with a shift towards a more interactive digital student experience.</w:t>
      </w:r>
    </w:p>
    <w:p w14:paraId="6472E3D7" w14:textId="214C0E6A" w:rsidR="006F017C" w:rsidRDefault="008928BE" w:rsidP="008928BE">
      <w:pPr>
        <w:pStyle w:val="ListParagraph"/>
        <w:numPr>
          <w:ilvl w:val="0"/>
          <w:numId w:val="2"/>
        </w:numPr>
        <w:spacing w:after="0" w:line="240" w:lineRule="auto" w:before="0"/>
      </w:pPr>
      <w:r>
        <w:rPr>
          <w:color w:val="222222"/>
        </w:rPr>
        <w:t>Leading Reckon’s AWS AI-PDLC transformation, reducing discovery and design from months to days and end-to-end delivery from months to weeks through smaller AI-assisted teams.</w:t>
      </w:r>
    </w:p>
    <w:p w14:paraId="269B959C" w14:textId="77777777" w:rsidR="006F017C" w:rsidRDefault="008928BE" w:rsidP="008928BE">
      <w:pPr>
        <w:pStyle w:val="ListParagraph"/>
        <w:numPr>
          <w:ilvl w:val="0"/>
          <w:numId w:val="2"/>
        </w:numPr>
        <w:spacing w:after="0" w:line="240" w:lineRule="auto" w:before="0"/>
      </w:pPr>
      <w:r>
        <w:rPr>
          <w:color w:val="222222"/>
        </w:rPr>
        <w:t>Two decades of compliance leadership across regulated environments, including bureau-scale data at CallCredit/TransUnion: FCA and PCI-DSS at PayPlan, PayLink and CallCredit/TransUnion; ISO 27001 at Cashflow Manager™, EduCo, Reckon and CallCredit/TransUnion;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CD40F84" w:rsidR="006F017C" w:rsidRDefault="00C363C6">
      <w:pPr>
        <w:spacing w:after="20" w:line="240" w:lineRule="auto"/>
      </w:pPr>
      <w:r>
        <w:rPr>
          <w:color w:val="222222"/>
        </w:rPr>
        <w:t>Head of Product with CPO remit across Reckon’s accounting, payroll, POS, web and mobile portfolio, retaining Cashflow Manager™ CTO accountability for engineering and DevOps. Directly manages Product, Enterprise Data and Reporting; broader leadership across Architecture, Research, Content and Design.</w:t>
      </w:r>
    </w:p>
    <w:p w14:paraId="15300B70" w14:textId="06A689B9" w:rsidR="00C363C6" w:rsidRPr="00C363C6" w:rsidRDefault="00C363C6" w:rsidP="00CD4FC4">
      <w:pPr>
        <w:pStyle w:val="ListParagraph"/>
        <w:numPr>
          <w:ilvl w:val="0"/>
          <w:numId w:val="5"/>
        </w:numPr>
        <w:spacing w:after="0" w:line="240" w:lineRule="auto" w:before="0"/>
      </w:pPr>
      <w:r>
        <w:rPr>
          <w:b/>
        </w:rPr>
        <w:t xml:space="preserve">Digital products: </w:t>
      </w:r>
      <w:r>
        <w:t>lead delivery across invoicing, payroll, banking, payments, OCR expenses, onboarding, in-app AI assistance and workforce management.</w:t>
      </w:r>
    </w:p>
    <w:p w14:paraId="25E9A03C" w14:textId="6E64341C" w:rsidR="006F017C" w:rsidRDefault="00000000" w:rsidP="00CD4FC4">
      <w:pPr>
        <w:pStyle w:val="ListParagraph"/>
        <w:numPr>
          <w:ilvl w:val="0"/>
          <w:numId w:val="5"/>
        </w:numPr>
        <w:spacing w:after="0" w:line="240" w:lineRule="auto" w:before="0"/>
      </w:pPr>
      <w:r>
        <w:rPr>
          <w:b/>
        </w:rPr>
        <w:t xml:space="preserve">AI transformation: </w:t>
      </w:r>
      <w:r>
        <w:t>leading AWS AI-PDLC adoption with smaller AI-assisted teams; established a Responsible and Secure AI Policy and governed adoption across squads.</w:t>
      </w:r>
    </w:p>
    <w:p w14:paraId="0EB4E1FC" w14:textId="77777777" w:rsidR="006F017C" w:rsidRDefault="00000000" w:rsidP="00CD4FC4">
      <w:pPr>
        <w:pStyle w:val="ListParagraph"/>
        <w:numPr>
          <w:ilvl w:val="0"/>
          <w:numId w:val="5"/>
        </w:numPr>
        <w:spacing w:after="0" w:line="240" w:lineRule="auto" w:before="0"/>
      </w:pPr>
      <w:r>
        <w:rPr>
          <w:b/>
          <w:color w:val="222222"/>
        </w:rPr>
        <w:t>Product strategy:</w:t>
      </w:r>
      <w:r>
        <w:rPr>
          <w:color w:val="222222"/>
        </w:rPr>
        <w:t xml:space="preserve"> shaped ReckonX, the multi-year strategy consolidating ~70k customers onto Reckon One and mobile apps.</w:t>
      </w:r>
    </w:p>
    <w:p w14:paraId="70DDC873" w14:textId="77777777" w:rsidR="006F017C" w:rsidRDefault="00000000" w:rsidP="00CD4FC4">
      <w:pPr>
        <w:pStyle w:val="ListParagraph"/>
        <w:numPr>
          <w:ilvl w:val="0"/>
          <w:numId w:val="5"/>
        </w:numPr>
        <w:spacing w:after="0" w:line="240" w:lineRule="auto" w:before="0"/>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073C82" w:rsidR="006F017C" w:rsidRDefault="00000000" w:rsidP="00CD4FC4">
      <w:pPr>
        <w:pStyle w:val="ListParagraph"/>
        <w:numPr>
          <w:ilvl w:val="0"/>
          <w:numId w:val="5"/>
        </w:numPr>
        <w:spacing w:after="0" w:line="240" w:lineRule="auto" w:before="0"/>
      </w:pPr>
      <w:r>
        <w:rPr>
          <w:b/>
        </w:rPr>
        <w:t xml:space="preserve">Reporting and integration: </w:t>
      </w:r>
      <w:r>
        <w:t>connected reporting platforms and product analytics to support customer insight, cross-product reporting and governed AI access through MCP.</w:t>
      </w:r>
    </w:p>
    <w:p w14:paraId="0401EE36" w14:textId="77777777" w:rsidR="006F017C" w:rsidRDefault="00000000" w:rsidP="00CD4FC4">
      <w:pPr>
        <w:pStyle w:val="ListParagraph"/>
        <w:numPr>
          <w:ilvl w:val="0"/>
          <w:numId w:val="5"/>
        </w:numPr>
        <w:spacing w:after="0" w:line="240" w:lineRule="auto" w:before="0"/>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0" w:line="240" w:lineRule="auto" w:before="0"/>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380F3D66" w:rsidR="006F017C" w:rsidRDefault="00C363C6">
      <w:pPr>
        <w:spacing w:after="20" w:line="240" w:lineRule="auto"/>
      </w:pPr>
      <w:r>
        <w:rPr>
          <w:color w:val="222222"/>
        </w:rPr>
        <w:t>Led engineering, DevOps, product, service, marketing and operational teams across Cashflow Manager™, Wages Manager, Inner Circle and okke. Retained CTO accountability following Reckon’s acquisition, including engineering and DevOps for okke’s Blazor and PostgreSQL platform.</w:t>
      </w:r>
    </w:p>
    <w:p w14:paraId="460974C7" w14:textId="77777777" w:rsidR="006F017C" w:rsidRDefault="00000000" w:rsidP="00CD4FC4">
      <w:pPr>
        <w:pStyle w:val="ListParagraph"/>
        <w:numPr>
          <w:ilvl w:val="0"/>
          <w:numId w:val="6"/>
        </w:numPr>
        <w:spacing w:after="0" w:line="240" w:lineRule="auto" w:before="0"/>
      </w:pPr>
      <w:r>
        <w:rPr>
          <w:b/>
        </w:rPr>
        <w:t xml:space="preserve">Operational change: </w:t>
      </w:r>
      <w:r>
        <w:t>repositioned and consolidated teams, materially reducing overheads; renegotiated key contracts and strengthened delivery accountability.</w:t>
      </w:r>
    </w:p>
    <w:p w14:paraId="73D1DB12" w14:textId="275FB19C" w:rsidR="006F017C" w:rsidRDefault="00000000" w:rsidP="00CD4FC4">
      <w:pPr>
        <w:pStyle w:val="ListParagraph"/>
        <w:numPr>
          <w:ilvl w:val="0"/>
          <w:numId w:val="6"/>
        </w:numPr>
        <w:spacing w:after="0" w:line="240" w:lineRule="auto" w:before="0"/>
      </w:pPr>
      <w:r>
        <w:rPr>
          <w:b/>
          <w:color w:val="222222"/>
        </w:rPr>
        <w:t xml:space="preserve">Product: </w:t>
      </w:r>
      <w:r>
        <w:rPr>
          <w:color w:val="222222"/>
        </w:rPr>
        <w:t xml:space="preserve">launched the okke </w:t>
      </w:r>
      <w:r w:rsidR="00800131">
        <w:rPr>
          <w:color w:val="222222"/>
        </w:rPr>
        <w:t xml:space="preserve">web and </w:t>
      </w:r>
      <w:r>
        <w:rPr>
          <w:color w:val="222222"/>
        </w:rPr>
        <w:t>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0" w:line="240" w:lineRule="auto" w:before="0"/>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0" w:line="240" w:lineRule="auto" w:before="0"/>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0" w:line="240" w:lineRule="auto" w:before="0"/>
      </w:pPr>
      <w:r>
        <w:rPr>
          <w:b/>
        </w:rPr>
        <w:t xml:space="preserve">Business systems: </w:t>
      </w:r>
      <w: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20" w:line="240" w:lineRule="auto"/>
      </w:pPr>
      <w:r>
        <w:rPr>
          <w:color w:val="222222"/>
        </w:rPr>
        <w:t>Executive board member reporting to the CEO and BPEA EQT board, accountable for Technology, Data and Marketing across EduCo and its acquired universities. Worked with academic stakeholders alongside commercial and operational leaders to advance digital capability.</w:t>
      </w:r>
    </w:p>
    <w:p w14:paraId="6B515CF7" w14:textId="77777777" w:rsidR="006F017C" w:rsidRDefault="00000000" w:rsidP="00CD4FC4">
      <w:pPr>
        <w:pStyle w:val="ListParagraph"/>
        <w:numPr>
          <w:ilvl w:val="0"/>
          <w:numId w:val="7"/>
        </w:numPr>
        <w:spacing w:after="0" w:line="240" w:lineRule="auto" w:before="0"/>
      </w:pPr>
      <w:r>
        <w:rPr>
          <w:b/>
        </w:rPr>
        <w:t xml:space="preserve">Accelerate™ platform: </w:t>
      </w:r>
      <w:r>
        <w:t>launched an AI-enabled admissions platform automating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0" w:line="240" w:lineRule="auto" w:before="0"/>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0" w:line="240" w:lineRule="auto" w:before="0"/>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0" w:line="240" w:lineRule="auto" w:before="0"/>
      </w:pPr>
      <w:r>
        <w:rPr>
          <w:b/>
        </w:rPr>
        <w:t xml:space="preserve">Platform modernisation: </w:t>
      </w:r>
      <w:r>
        <w:t>modernised core business systems, migrated to Microsoft 365 and consolidated technology suppliers.</w:t>
      </w:r>
    </w:p>
    <w:p w14:paraId="5A85987A" w14:textId="2A9CF419" w:rsidR="006F017C" w:rsidRDefault="00000000" w:rsidP="00CD4FC4">
      <w:pPr>
        <w:pStyle w:val="ListParagraph"/>
        <w:numPr>
          <w:ilvl w:val="0"/>
          <w:numId w:val="7"/>
        </w:numPr>
        <w:spacing w:after="0" w:line="240" w:lineRule="auto" w:before="0"/>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0" w:line="240" w:lineRule="auto" w:before="0"/>
      </w:pPr>
      <w:r>
        <w:rPr>
          <w:b/>
        </w:rPr>
        <w:t xml:space="preserve">Commercial improvement: </w:t>
      </w:r>
      <w:r>
        <w:t>implemented AI, BI and analytics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0" w:line="240" w:lineRule="auto" w:before="0"/>
      </w:pPr>
      <w:r>
        <w:rPr>
          <w:b/>
        </w:rPr>
        <w:t xml:space="preserve">Team leadership: </w:t>
      </w:r>
      <w:r>
        <w:t>led a distributed multidisciplinary team spanning product development, analytics,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20" w:line="240" w:lineRule="auto"/>
      </w:pPr>
      <w:r>
        <w:rPr>
          <w:color w:val="222222"/>
        </w:rPr>
        <w:t>Executive team accountability for technology, data, cyber security and transformation. Worked with academics to align platform change with teaching needs and the digital student experience.</w:t>
      </w:r>
    </w:p>
    <w:p w14:paraId="2AE151D5" w14:textId="77777777" w:rsidR="006F017C" w:rsidRDefault="00000000" w:rsidP="00CD4FC4">
      <w:pPr>
        <w:pStyle w:val="ListParagraph"/>
        <w:numPr>
          <w:ilvl w:val="0"/>
          <w:numId w:val="8"/>
        </w:numPr>
        <w:spacing w:after="0" w:line="240" w:lineRule="auto" w:before="0"/>
      </w:pPr>
      <w:r>
        <w:rPr>
          <w:b/>
        </w:rPr>
        <w:t xml:space="preserve">Digital learning transformation: </w:t>
      </w:r>
      <w:r>
        <w:t>led the transition from distance learning towards interactive digital learning, re-platforming core systems and supporting the accompanying change in mindset and practice.</w:t>
      </w:r>
    </w:p>
    <w:p w14:paraId="210D2675" w14:textId="77777777" w:rsidR="00A27A75" w:rsidRDefault="00000000">
      <w:pPr>
        <w:pStyle w:val="ListParagraph"/>
        <w:numPr>
          <w:ilvl w:val="0"/>
          <w:numId w:val="8"/>
        </w:numPr>
        <w:spacing w:after="0" w:line="240" w:lineRule="auto" w:before="0"/>
      </w:pPr>
      <w:r>
        <w:rPr>
          <w:b/>
        </w:rPr>
        <w:t xml:space="preserve">Digital student insight: </w:t>
      </w:r>
      <w:r>
        <w:t>introduced reporting and analytics using Power BI, AWS and Salesforce Einstein to inform the digital student experience and operational decisions.</w:t>
      </w:r>
    </w:p>
    <w:p w14:paraId="10891453" w14:textId="77777777" w:rsidR="006F017C" w:rsidRDefault="00000000" w:rsidP="00CD4FC4">
      <w:pPr>
        <w:pStyle w:val="ListParagraph"/>
        <w:numPr>
          <w:ilvl w:val="0"/>
          <w:numId w:val="8"/>
        </w:numPr>
        <w:spacing w:after="0" w:line="240" w:lineRule="auto" w:before="0"/>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0" w:line="240" w:lineRule="auto" w:before="0"/>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0" w:line="240" w:lineRule="auto" w:before="0"/>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20" w:line="240" w:lineRule="auto"/>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20" w:line="240" w:lineRule="auto"/>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390B2419" w:rsidR="00A27A75" w:rsidRDefault="00000000">
      <w:pPr>
        <w:spacing w:after="20" w:line="240" w:lineRule="auto"/>
      </w:pPr>
      <w:r>
        <w:rPr>
          <w:color w:val="222222"/>
        </w:rPr>
        <w:t>Group CTO for technology, product and delivery across debt management, payments and B2B banking, with substantial commercial accountability including subsidiary CEO responsibilities.</w:t>
      </w:r>
    </w:p>
    <w:p w14:paraId="48D0E4BC" w14:textId="2AD2F370" w:rsidR="00CD4FC4" w:rsidRPr="00CD4FC4" w:rsidRDefault="00000000" w:rsidP="00CD4FC4">
      <w:pPr>
        <w:pStyle w:val="ListParagraph"/>
        <w:numPr>
          <w:ilvl w:val="0"/>
          <w:numId w:val="12"/>
        </w:numPr>
        <w:spacing w:after="0" w:line="240" w:lineRule="auto" w:before="0"/>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0" w:line="240" w:lineRule="auto" w:before="0"/>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0" w:line="240" w:lineRule="auto" w:before="0"/>
      </w:pPr>
      <w:r>
        <w:rPr>
          <w:b/>
          <w:color w:val="222222"/>
        </w:rPr>
        <w:t>Platform modernisation:</w:t>
      </w:r>
      <w:r>
        <w:rPr>
          <w:color w:val="222222"/>
        </w:rPr>
        <w:t xml:space="preserve"> replaced legacy Oracle Forms and Reports; delivered the PayPlanPlus companion app.</w:t>
      </w:r>
    </w:p>
    <w:p w14:paraId="59B54425" w14:textId="77777777" w:rsidR="006F017C" w:rsidRDefault="00000000" w:rsidP="00CD4FC4">
      <w:pPr>
        <w:pStyle w:val="ListParagraph"/>
        <w:numPr>
          <w:ilvl w:val="0"/>
          <w:numId w:val="12"/>
        </w:numPr>
        <w:pBdr>
          <w:bottom w:val="single" w:sz="6" w:space="1" w:color="auto"/>
        </w:pBdr>
        <w:spacing w:after="0" w:line="240" w:lineRule="auto" w:before="0"/>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20" w:line="240" w:lineRule="auto"/>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0" w:line="240" w:lineRule="auto" w:before="0"/>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0" w:line="240" w:lineRule="auto" w:before="0"/>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0" w:line="240" w:lineRule="auto" w:before="0"/>
      </w:pPr>
      <w:r>
        <w:rPr>
          <w:b/>
        </w:rPr>
        <w:t xml:space="preserve">Clinical content and decision support: </w:t>
      </w:r>
      <w:r>
        <w:t>embedded British National Formulary and clinical decision support into EMIS Web; integrated Patient.co.uk peer-reviewed information leaflets for clinicians to print or email to patients, alongside public access.</w:t>
      </w:r>
    </w:p>
    <w:p w14:paraId="1FC0983D" w14:textId="77777777" w:rsidR="006F017C" w:rsidRDefault="00000000" w:rsidP="00CD4FC4">
      <w:pPr>
        <w:pStyle w:val="ListParagraph"/>
        <w:numPr>
          <w:ilvl w:val="0"/>
          <w:numId w:val="12"/>
        </w:numPr>
        <w:pBdr>
          <w:bottom w:val="single" w:sz="6" w:space="1" w:color="auto"/>
        </w:pBdr>
        <w:spacing w:after="0" w:line="240" w:lineRule="auto" w:before="0"/>
      </w:pPr>
      <w:r>
        <w:rPr>
          <w:b/>
        </w:rPr>
        <w:t xml:space="preserve">Clinical governance: </w:t>
      </w:r>
      <w:r>
        <w:t>worked with clinical and academic stakeholders within a national patient-record environment requiring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0" w:line="240" w:lineRule="auto" w:before="0"/>
      </w:pPr>
      <w:r>
        <w:rPr>
          <w:b/>
        </w:rPr>
        <w:t xml:space="preserve">Platforms and partnerships: </w:t>
      </w:r>
      <w:r>
        <w:t>launched EMIS Mobile and PatientAccess as an Apple iOS 8 HealthKit launch partner; led ERP and finance system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20" w:line="240" w:lineRule="auto"/>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0" w:line="240" w:lineRule="auto" w:before="0"/>
      </w:pPr>
      <w:r>
        <w:rPr>
          <w:b/>
        </w:rPr>
        <w:t xml:space="preserve">Digital products: </w:t>
      </w:r>
      <w:r>
        <w:t>led delivery across credit, fraud, affordability and identity services; launched Noddle™, the UK’s first free consumer credit report, subsequently Credit Karma™ and now part of Intuit.</w:t>
      </w:r>
    </w:p>
    <w:p w14:paraId="2002343B" w14:textId="77777777" w:rsidR="00A27A75" w:rsidRDefault="00000000">
      <w:pPr>
        <w:pStyle w:val="ListParagraph"/>
        <w:numPr>
          <w:ilvl w:val="0"/>
          <w:numId w:val="11"/>
        </w:numPr>
        <w:spacing w:after="0" w:line="240" w:lineRule="auto" w:before="0"/>
      </w:pPr>
      <w:r>
        <w:rPr>
          <w:b/>
        </w:rPr>
        <w:t xml:space="preserve">Platform architecture: </w:t>
      </w:r>
      <w:r>
        <w:t>introduced high-availability and high-volume technologies supporting secure access to bureau-scale information.</w:t>
      </w:r>
    </w:p>
    <w:p w14:paraId="0F9A86E4" w14:textId="77777777" w:rsidR="006F017C" w:rsidRDefault="00000000" w:rsidP="00CD4FC4">
      <w:pPr>
        <w:pStyle w:val="ListParagraph"/>
        <w:numPr>
          <w:ilvl w:val="0"/>
          <w:numId w:val="11"/>
        </w:numPr>
        <w:spacing w:after="0" w:line="240" w:lineRule="auto" w:before="0"/>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0" w:line="240" w:lineRule="auto" w:before="0"/>
      </w:pPr>
      <w:r>
        <w:rPr>
          <w:b/>
        </w:rPr>
        <w:t xml:space="preserve">Delivery capability: </w:t>
      </w:r>
      <w:r>
        <w:t>led Agile, Lean and SAFe adoption; established Lithuanian engineering capacity, increasing delivery capacity by 35%.</w:t>
      </w:r>
    </w:p>
    <w:p w14:paraId="3ED303D4" w14:textId="77777777" w:rsidR="006F017C" w:rsidRDefault="00000000" w:rsidP="00CD4FC4">
      <w:pPr>
        <w:pStyle w:val="ListParagraph"/>
        <w:numPr>
          <w:ilvl w:val="0"/>
          <w:numId w:val="11"/>
        </w:numPr>
        <w:pBdr>
          <w:bottom w:val="single" w:sz="6" w:space="1" w:color="auto"/>
        </w:pBdr>
        <w:spacing w:after="0" w:line="240" w:lineRule="auto" w:before="0"/>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0" w:line="240" w:lineRule="auto" w:before="0"/>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0" w:line="240" w:lineRule="auto" w:before="0"/>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0" w:line="240" w:lineRule="auto" w:before="0"/>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0" w:line="240" w:lineRule="auto" w:before="0"/>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20" w:line="240" w:lineRule="auto"/>
      </w:pPr>
      <w:r>
        <w:rPr>
          <w:b/>
        </w:rPr>
        <w:t xml:space="preserve">Key systems: </w:t>
      </w:r>
      <w:r>
        <w:t>Microsoft Dynamics 365 · Microsoft 365 · Power Platform · Salesforce · Zoho · Pendo · Figma · Stripe · Kofax · SAP</w:t>
      </w:r>
    </w:p>
    <w:p w14:paraId="29DDC15E" w14:textId="77777777" w:rsidR="00590B21" w:rsidRDefault="00590B21" w:rsidP="00590B21">
      <w:pPr>
        <w:spacing w:after="20" w:line="240" w:lineRule="auto"/>
      </w:pPr>
      <w:r>
        <w:rPr>
          <w:b/>
          <w:color w:val="222222"/>
        </w:rPr>
        <w:t>Data, AI and analytics:</w:t>
      </w:r>
      <w:r>
        <w:rPr>
          <w:color w:val="222222"/>
        </w:rPr>
        <w:t xml:space="preserve"> Snowflake · MS Fabric · Data lakes · Power BI · SQL/SSIS/SSRS · PostgreSQL · Oracle · DynamoDB · Metabase · Tableau · Data Factory · Python/Pandas/XGBoost · OpenAI Codex · Claude Designer · FHIR · MCP · OCR/NLP</w:t>
      </w:r>
    </w:p>
    <w:p w14:paraId="3B4FF9A8" w14:textId="0487462B" w:rsidR="00590B21" w:rsidRDefault="00590B21" w:rsidP="00590B21">
      <w:pPr>
        <w:spacing w:after="20" w:line="240" w:lineRule="auto"/>
      </w:pPr>
      <w:r>
        <w:rPr>
          <w:b/>
          <w:color w:val="222222"/>
        </w:rPr>
        <w:t>Technologies:</w:t>
      </w:r>
      <w:r>
        <w:rPr>
          <w:color w:val="222222"/>
        </w:rPr>
        <w:t xml:space="preserve"> .NET · Java · C# · </w:t>
      </w:r>
      <w:r w:rsidR="00BC00AC">
        <w:rPr>
          <w:color w:val="222222"/>
        </w:rPr>
        <w:t xml:space="preserve">Blazor · SPA · </w:t>
      </w:r>
      <w:r>
        <w:rPr>
          <w:color w:val="222222"/>
        </w:rPr>
        <w:t>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0" w:before="0" w:line="240" w:lineRule="auto"/>
            </w:pPr>
            <w:r>
              <w:rPr>
                <w:sz w:val="17"/>
              </w:rPr>
              <w:t>❖ AI-DLC — Amazon Web Services (2026)</w:t>
            </w:r>
          </w:p>
          <w:p w14:paraId="29E86701" w14:textId="77777777" w:rsidR="006F017C" w:rsidRDefault="00000000">
            <w:pPr>
              <w:spacing w:after="0" w:before="0" w:line="240" w:lineRule="auto"/>
            </w:pPr>
            <w:r>
              <w:rPr>
                <w:sz w:val="17"/>
              </w:rPr>
              <w:t>❖ AWS AI-PDLC — Amazon Web Services (2026)</w:t>
            </w:r>
          </w:p>
          <w:p w14:paraId="53C45D91" w14:textId="77777777" w:rsidR="006F017C" w:rsidRDefault="00000000">
            <w:pPr>
              <w:spacing w:after="0" w:before="0" w:line="240" w:lineRule="auto"/>
            </w:pPr>
            <w:r>
              <w:rPr>
                <w:sz w:val="17"/>
              </w:rPr>
              <w:t>❖ SAFe Release Train Engineer (RTE) &amp; Leading SAFe</w:t>
            </w:r>
          </w:p>
          <w:p w14:paraId="2F46531A" w14:textId="77777777" w:rsidR="006F017C" w:rsidRDefault="00000000">
            <w:pPr>
              <w:spacing w:after="0" w:before="0" w:line="240" w:lineRule="auto"/>
            </w:pPr>
            <w:r>
              <w:rPr>
                <w:sz w:val="17"/>
              </w:rPr>
              <w:t>❖ Certified Scrum Master · Certified Scrum Product Owner</w:t>
            </w:r>
          </w:p>
          <w:p w14:paraId="37EED49A" w14:textId="77777777" w:rsidR="006F017C" w:rsidRDefault="00000000">
            <w:pPr>
              <w:spacing w:after="0" w:before="0" w:line="240" w:lineRule="auto"/>
            </w:pPr>
            <w:r>
              <w:rPr>
                <w:sz w:val="17"/>
              </w:rPr>
              <w:t>❖ PRINCE2 Foundation and Practitioner</w:t>
            </w:r>
          </w:p>
          <w:p w14:paraId="605EEEB6" w14:textId="77777777" w:rsidR="006F017C" w:rsidRDefault="00000000">
            <w:pPr>
              <w:spacing w:after="0" w:before="0" w:line="240" w:lineRule="auto"/>
            </w:pPr>
            <w:r>
              <w:rPr>
                <w:sz w:val="17"/>
              </w:rPr>
              <w:t>❖ Management 3.0 Certified</w:t>
            </w:r>
          </w:p>
        </w:tc>
        <w:tc>
          <w:tcPr>
            <w:tcW w:w="5233" w:type="dxa"/>
          </w:tcPr>
          <w:p w14:paraId="34F8A2FF" w14:textId="77777777" w:rsidR="006F017C" w:rsidRDefault="00000000">
            <w:pPr>
              <w:spacing w:after="0" w:before="0" w:line="240" w:lineRule="auto"/>
            </w:pPr>
            <w:r>
              <w:rPr>
                <w:sz w:val="17"/>
              </w:rPr>
              <w:t>❖ TOGAF 9 Foundation · ITIL v3 Foundation</w:t>
            </w:r>
          </w:p>
          <w:p w14:paraId="4191D32C" w14:textId="77777777" w:rsidR="006F017C" w:rsidRDefault="00000000">
            <w:pPr>
              <w:spacing w:after="0" w:before="0" w:line="240" w:lineRule="auto"/>
            </w:pPr>
            <w:r>
              <w:rPr>
                <w:sz w:val="17"/>
              </w:rPr>
              <w:t>❖ DSDM Foundation and Practitioner</w:t>
            </w:r>
          </w:p>
          <w:p w14:paraId="125F2437" w14:textId="77777777" w:rsidR="006F017C" w:rsidRDefault="00000000">
            <w:pPr>
              <w:spacing w:after="0" w:before="0" w:line="240" w:lineRule="auto"/>
            </w:pPr>
            <w:r>
              <w:rPr>
                <w:sz w:val="17"/>
              </w:rPr>
              <w:t>❖ Certified Six Sigma Black Belt</w:t>
            </w:r>
          </w:p>
          <w:p w14:paraId="66FD14AA" w14:textId="77777777" w:rsidR="006F017C" w:rsidRDefault="00000000">
            <w:pPr>
              <w:spacing w:after="0" w:before="0" w:line="240" w:lineRule="auto"/>
            </w:pPr>
            <w:r>
              <w:rPr>
                <w:sz w:val="17"/>
              </w:rPr>
              <w:t>❖ IOSH — Occupational Safety and Health</w:t>
            </w:r>
          </w:p>
          <w:p w14:paraId="160EB0ED" w14:textId="77777777" w:rsidR="006F017C" w:rsidRDefault="00000000">
            <w:pPr>
              <w:spacing w:after="0" w:before="0" w:line="240" w:lineRule="auto"/>
            </w:pPr>
            <w:r>
              <w:rPr>
                <w:sz w:val="17"/>
              </w:rPr>
              <w:t>❖ Professional Member, Chartered Institute for IT (MBCS)</w:t>
            </w:r>
          </w:p>
          <w:p w14:paraId="4CA62E8B" w14:textId="77777777" w:rsidR="006F017C" w:rsidRDefault="00000000">
            <w:pPr>
              <w:spacing w:after="0" w:before="0" w:line="240" w:lineRule="auto"/>
            </w:pPr>
            <w:r>
              <w:rPr>
                <w:sz w:val="17"/>
              </w:rPr>
              <w:t>❖ 10+ Microsoft Technical Certifications</w:t>
            </w:r>
          </w:p>
        </w:tc>
      </w:tr>
    </w:tbl>
    <w:p w14:paraId="24C29E20" w14:textId="77777777" w:rsidR="00221E60" w:rsidRDefault="00221E60">
      <w:pPr>
        <w:spacing w:after="0" w:line="20" w:lineRule="exact"/>
      </w:pPr>
      <w:r>
        <w:rPr>
          <w:sz w:val="2"/>
        </w:rPr>
        <w:t xml:space="preserve"> </w:t>
      </w:r>
    </w:p>
    <w:sectPr w:rsidR="00221E60">
      <w:pgSz w:w="11906" w:h="16838"/>
      <w:pgMar w:top="480" w:right="700" w:bottom="48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1D5E08"/>
    <w:rsid w:val="00221E60"/>
    <w:rsid w:val="002C1115"/>
    <w:rsid w:val="0035721A"/>
    <w:rsid w:val="00435B13"/>
    <w:rsid w:val="0050511E"/>
    <w:rsid w:val="00583AC5"/>
    <w:rsid w:val="00590B21"/>
    <w:rsid w:val="005B03EF"/>
    <w:rsid w:val="00613146"/>
    <w:rsid w:val="006F017C"/>
    <w:rsid w:val="0076141E"/>
    <w:rsid w:val="00800131"/>
    <w:rsid w:val="008928BE"/>
    <w:rsid w:val="00902160"/>
    <w:rsid w:val="00A27A75"/>
    <w:rsid w:val="00A72606"/>
    <w:rsid w:val="00B76533"/>
    <w:rsid w:val="00B865FE"/>
    <w:rsid w:val="00BC00AC"/>
    <w:rsid w:val="00C363C6"/>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2078</Words>
  <Characters>13302</Characters>
  <Application>Microsoft Office Word</Application>
  <DocSecurity>0</DocSecurity>
  <Lines>187</Lines>
  <Paragraphs>130</Paragraphs>
  <ScaleCrop>false</ScaleCrop>
  <HeadingPairs>
    <vt:vector size="2" baseType="variant">
      <vt:variant>
        <vt:lpstr>Title</vt:lpstr>
      </vt:variant>
      <vt:variant>
        <vt:i4>1</vt:i4>
      </vt:variant>
    </vt:vector>
  </HeadingPairs>
  <TitlesOfParts>
    <vt:vector size="1" baseType="lpstr">
      <vt:lpstr>David Weir - Master CV 2026 v2</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AMH Chief Technology Officer CV</dc:title>
  <dc:subject>Master executive CV - CTO, CIO and CPO remit</dc:subject>
  <dc:creator>David Weir</dc:creator>
  <cp:keywords>Technology, Product, Data, AI, CTO, CIO, CPO</cp:keywords>
  <cp:lastModifiedBy>David Weir</cp:lastModifiedBy>
  <cp:revision>13</cp:revision>
  <dcterms:created xsi:type="dcterms:W3CDTF">2026-08-28T03:58:00Z</dcterms:created>
  <dcterms:modified xsi:type="dcterms:W3CDTF">2026-09-08T23:31:00Z</dcterms:modified>
</cp:coreProperties>
</file>