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7088"/>
        <w:gridCol w:w="3378"/>
      </w:tblGrid>
      <w:tr w:rsidR="006F017C" w14:paraId="6D70E016" w14:textId="77777777" w:rsidTr="00BC00AC">
        <w:tc>
          <w:tcPr>
            <w:tcW w:w="7088" w:type="dxa"/>
          </w:tcPr>
          <w:p w14:paraId="7E30BB1C" w14:textId="77777777" w:rsidR="006F017C" w:rsidRDefault="00000000">
            <w:pPr>
              <w:spacing w:after="60"/>
            </w:pPr>
            <w:r>
              <w:rPr>
                <w:b/>
                <w:bCs/>
                <w:color w:val="3B3838"/>
                <w:sz w:val="64"/>
                <w:szCs w:val="64"/>
              </w:rPr>
              <w:t>David Weir</w:t>
            </w:r>
          </w:p>
          <w:p w14:paraId="2E8709EC" w14:textId="6023B483" w:rsidR="006F017C" w:rsidRDefault="00BC00AC">
            <w:pPr>
              <w:spacing w:after="40"/>
            </w:pPr>
            <w:r>
              <w:rPr>
                <w:i/>
                <w:color w:val="333333"/>
                <w:sz w:val="21"/>
              </w:rPr>
              <w:t>Technology and product executive advancing digital healthcare, trusted content and sustainable commercial growth.</w:t>
            </w:r>
          </w:p>
        </w:tc>
        <w:tc>
          <w:tcPr>
            <w:tcW w:w="3378" w:type="dxa"/>
          </w:tcPr>
          <w:p w14:paraId="0D947A2E" w14:textId="77777777" w:rsidR="006F017C" w:rsidRDefault="008928BE">
            <w:pPr>
              <w:spacing w:after="40"/>
              <w:jc w:val="right"/>
            </w:pPr>
            <w:hyperlink r:id="rId5" w:history="1">
              <w:r>
                <w:rPr>
                  <w:rStyle w:val="Hyperlink"/>
                  <w:sz w:val="19"/>
                  <w:szCs w:val="19"/>
                </w:rPr>
                <w:t>linkedin.com/in/david~weir/</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60"/>
        <w:rPr>
          <w:color w:val="222222"/>
        </w:rPr>
      </w:pPr>
      <w:r>
        <w:rPr>
          <w:color w:val="222222"/>
        </w:rPr>
        <w:t>Technology, product and AI executive with over 15 years in CXO and Director roles across healthcare, education, fintech and regulated SaaS. Combines enterprise architecture and software delivery with experience bringing trusted clinical content into digital workflows and working with academic and clinical stakeholders through organisational change.</w:t>
      </w:r>
    </w:p>
    <w:p w14:paraId="520A4B36" w14:textId="48F7BD0B" w:rsidR="00A27A75" w:rsidRDefault="00000000">
      <w:pPr>
        <w:spacing w:after="60"/>
        <w:rPr>
          <w:color w:val="222222"/>
        </w:rPr>
      </w:pPr>
      <w:r>
        <w:rPr>
          <w:color w:val="222222"/>
        </w:rPr>
        <w:t>Currently Head of Product at Reckon with CPO remit, retaining CTO accountability for Cashflow Manager™ including engineering and DevOps. Directly manages Product, Enterprise Data and Reporting, with broader leadership across Architecture, Research, Content and Design. Leads AI-PDLC transformation with AWS, enabling smaller AI-assisted teams to accelerate delivery.</w:t>
      </w:r>
    </w:p>
    <w:p w14:paraId="6FF44B21" w14:textId="3CA02FBC" w:rsidR="00A27A75" w:rsidRDefault="001D5E08">
      <w:pPr>
        <w:spacing w:after="60"/>
        <w:rPr>
          <w:color w:val="222222"/>
        </w:rPr>
      </w:pPr>
      <w:r>
        <w:rPr>
          <w:color w:val="222222"/>
        </w:rPr>
        <w:t>Adelaide-based executive with Board experience at EduCo and subsidiary CEO responsibilities at Totemic. Aligns technology investment and risk with sustainable growth; builds agreement on change through a collaborative approach that respects academic and clinical expertise.</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pPr>
              <w:spacing w:after="60"/>
            </w:pPr>
            <w:r>
              <w:rPr>
                <w:b/>
                <w:sz w:val="19"/>
              </w:rPr>
              <w:t xml:space="preserve">❖ Technology strategy: </w:t>
            </w:r>
            <w:r>
              <w:rPr>
                <w:sz w:val="19"/>
              </w:rPr>
              <w:t>enterprise architecture, platform modernisation and multi-year investment roadmaps</w:t>
            </w:r>
          </w:p>
          <w:p>
            <w:pPr>
              <w:spacing w:after="60"/>
            </w:pPr>
            <w:r>
              <w:rPr>
                <w:b/>
                <w:sz w:val="19"/>
              </w:rPr>
              <w:t xml:space="preserve">❖ Digital products: </w:t>
            </w:r>
            <w:r>
              <w:rPr>
                <w:sz w:val="19"/>
              </w:rPr>
              <w:t>turning expert knowledge and data into useful customer services</w:t>
            </w:r>
          </w:p>
          <w:p>
            <w:pPr>
              <w:spacing w:after="60"/>
            </w:pPr>
            <w:r>
              <w:rPr>
                <w:b/>
                <w:sz w:val="19"/>
              </w:rPr>
              <w:t xml:space="preserve">❖ Delivery leadership: </w:t>
            </w:r>
            <w:r>
              <w:rPr>
                <w:sz w:val="19"/>
              </w:rPr>
              <w:t>software engineering, DevOps, integration and cloud platforms</w:t>
            </w:r>
          </w:p>
        </w:tc>
        <w:tc>
          <w:tcPr>
            <w:tcW w:w="3544" w:type="dxa"/>
          </w:tcPr>
          <w:p>
            <w:pPr>
              <w:spacing w:after="60"/>
            </w:pPr>
            <w:r>
              <w:rPr>
                <w:b/>
                <w:sz w:val="19"/>
              </w:rPr>
              <w:t xml:space="preserve">❖ Academic engagement: </w:t>
            </w:r>
            <w:r>
              <w:rPr>
                <w:sz w:val="19"/>
              </w:rPr>
              <w:t>collaborative change with academic and clinical stakeholders</w:t>
            </w:r>
          </w:p>
          <w:p>
            <w:pPr>
              <w:spacing w:after="60"/>
            </w:pPr>
            <w:r>
              <w:rPr>
                <w:b/>
                <w:sz w:val="19"/>
              </w:rPr>
              <w:t xml:space="preserve">❖ AI transformation: </w:t>
            </w:r>
            <w:r>
              <w:rPr>
                <w:sz w:val="19"/>
              </w:rPr>
              <w:t>practical adoption, smaller assisted teams and responsible governance</w:t>
            </w:r>
          </w:p>
          <w:p>
            <w:pPr>
              <w:spacing w:after="60"/>
            </w:pPr>
            <w:r>
              <w:rPr>
                <w:b/>
                <w:sz w:val="19"/>
              </w:rPr>
              <w:t xml:space="preserve">❖ Security and resilience: </w:t>
            </w:r>
            <w:r>
              <w:rPr>
                <w:sz w:val="19"/>
              </w:rPr>
              <w:t>privacy, ISO 27001, regulated operations and technology risk</w:t>
            </w:r>
          </w:p>
        </w:tc>
        <w:tc>
          <w:tcPr>
            <w:tcW w:w="3236" w:type="dxa"/>
          </w:tcPr>
          <w:p>
            <w:pPr>
              <w:spacing w:after="60"/>
            </w:pPr>
            <w:r>
              <w:rPr>
                <w:b/>
                <w:sz w:val="19"/>
              </w:rPr>
              <w:t xml:space="preserve">❖ Commercial judgement: </w:t>
            </w:r>
            <w:r>
              <w:rPr>
                <w:sz w:val="19"/>
              </w:rPr>
              <w:t>Board advice, business cases, vendor negotiation and partnerships</w:t>
            </w:r>
          </w:p>
          <w:p>
            <w:pPr>
              <w:spacing w:after="60"/>
            </w:pPr>
            <w:r>
              <w:rPr>
                <w:b/>
                <w:sz w:val="19"/>
              </w:rPr>
              <w:t xml:space="preserve">❖ People leadership: </w:t>
            </w:r>
            <w:r>
              <w:rPr>
                <w:sz w:val="19"/>
              </w:rPr>
              <w:t>multidisciplinary teams, capability development and accountability</w:t>
            </w:r>
          </w:p>
          <w:p>
            <w:pPr>
              <w:spacing w:after="60"/>
            </w:pPr>
            <w:r>
              <w:rPr>
                <w:b/>
                <w:sz w:val="19"/>
              </w:rPr>
              <w:t xml:space="preserve">❖ Data and interoperability: </w:t>
            </w:r>
            <w:r>
              <w:rPr>
                <w:sz w:val="19"/>
              </w:rPr>
              <w:t>clinical information, shared platforms, analytics and reporting</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24"/>
        <w:rPr>
          <w:color w:val="222222"/>
        </w:rPr>
      </w:pPr>
      <w:r>
        <w:rPr>
          <w:color w:val="222222"/>
        </w:rPr>
        <w:t>Delivered EMIS’s two largest UK Government NHS contracts; experience included embedding British National Formulary and clinical decision support in EMIS Web and integrating peer-reviewed Patient.co.uk information into clinical workflows.</w:t>
      </w:r>
    </w:p>
    <w:p w14:paraId="3FD5A143" w14:textId="2C9D44A6" w:rsidR="008928BE" w:rsidRPr="008928BE" w:rsidRDefault="008928BE" w:rsidP="008928BE">
      <w:pPr>
        <w:pStyle w:val="ListParagraph"/>
        <w:numPr>
          <w:ilvl w:val="0"/>
          <w:numId w:val="2"/>
        </w:numPr>
        <w:spacing w:after="24"/>
        <w:rPr>
          <w:color w:val="222222"/>
        </w:rPr>
      </w:pPr>
      <w:r>
        <w:rPr>
          <w:color w:val="222222"/>
        </w:rPr>
        <w:t>Conceived Totemic’s Embark™ headless banking platform, adopted by PayPal, NatWest, Santander and other major institutions; EBITDA-positive in year one.</w:t>
      </w:r>
    </w:p>
    <w:p w14:paraId="4AC436B0" w14:textId="70CBDF1B" w:rsidR="008928BE" w:rsidRPr="008928BE" w:rsidRDefault="008928BE" w:rsidP="008928BE">
      <w:pPr>
        <w:pStyle w:val="ListParagraph"/>
        <w:numPr>
          <w:ilvl w:val="0"/>
          <w:numId w:val="2"/>
        </w:numPr>
        <w:spacing w:after="24"/>
        <w:rPr>
          <w:color w:val="222222"/>
        </w:rPr>
      </w:pPr>
      <w:r>
        <w:rPr>
          <w:color w:val="222222"/>
        </w:rPr>
        <w:t>Pioneered applied AI through EduCo’s Accelerate™ platform, automating student eligibility, academic authenticity and visa-likelihood assessment; launched in under six months.</w:t>
      </w:r>
    </w:p>
    <w:p w14:paraId="01984CBA" w14:textId="09D95FFA" w:rsidR="008928BE" w:rsidRPr="008928BE" w:rsidRDefault="008928BE" w:rsidP="008928BE">
      <w:pPr>
        <w:pStyle w:val="ListParagraph"/>
        <w:numPr>
          <w:ilvl w:val="0"/>
          <w:numId w:val="2"/>
        </w:numPr>
        <w:spacing w:after="24"/>
        <w:rPr>
          <w:color w:val="222222"/>
        </w:rPr>
      </w:pPr>
      <w:r>
        <w:rPr>
          <w:color w:val="222222"/>
        </w:rPr>
        <w:t>Led AIB’s technology-enabled transition from distance learning to digital learning, combining major platform changes with a shift towards a more interactive student experience.</w:t>
      </w:r>
    </w:p>
    <w:p w14:paraId="6472E3D7" w14:textId="214C0E6A" w:rsidR="006F017C" w:rsidRDefault="008928BE" w:rsidP="008928BE">
      <w:pPr>
        <w:pStyle w:val="ListParagraph"/>
        <w:numPr>
          <w:ilvl w:val="0"/>
          <w:numId w:val="2"/>
        </w:numPr>
        <w:spacing w:after="24"/>
      </w:pPr>
      <w:r>
        <w:rPr>
          <w:color w:val="222222"/>
        </w:rPr>
        <w:t>Leading Reckon’s AWS AI-PDLC transformation, reducing discovery and design from months to days and end-to-end delivery from months to weeks through smaller AI-assisted teams.</w:t>
      </w:r>
    </w:p>
    <w:p w14:paraId="269B959C" w14:textId="77777777" w:rsidR="006F017C" w:rsidRDefault="008928BE" w:rsidP="008928BE">
      <w:pPr>
        <w:pStyle w:val="ListParagraph"/>
        <w:numPr>
          <w:ilvl w:val="0"/>
          <w:numId w:val="2"/>
        </w:numPr>
        <w:spacing w:after="24"/>
      </w:pPr>
      <w:r>
        <w:rPr>
          <w:color w:val="222222"/>
        </w:rPr>
        <w:t>Shaped ReckonX, the multi-year platform strategy to consolidate approximately 70,000 customers onto Reckon One and its mobile products.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CD40F84" w:rsidR="006F017C" w:rsidRDefault="00C363C6">
      <w:pPr>
        <w:spacing w:after="60"/>
      </w:pPr>
      <w:r>
        <w:rPr>
          <w:color w:val="222222"/>
        </w:rPr>
        <w:t>Head of Product with CPO remit across Reckon’s accounting, payroll, POS, web and mobile portfolio, retaining Cashflow Manager™ CTO accountability for engineering and DevOps. Directly manages Product, Enterprise Data and Reporting; broader leadership across Architecture, Research, Content and Design.</w:t>
      </w:r>
    </w:p>
    <w:p w14:paraId="15300B70" w14:textId="06A689B9" w:rsidR="00C363C6" w:rsidRPr="00C363C6" w:rsidRDefault="00C363C6" w:rsidP="00CD4FC4">
      <w:pPr>
        <w:pStyle w:val="ListParagraph"/>
        <w:numPr>
          <w:ilvl w:val="0"/>
          <w:numId w:val="5"/>
        </w:numPr>
        <w:spacing w:after="24"/>
      </w:pPr>
      <w:r>
        <w:rPr>
          <w:b/>
        </w:rPr>
        <w:t xml:space="preserve">Digital products: </w:t>
      </w:r>
      <w:r>
        <w:t>lead delivery across invoicing, payroll, banking, payments, OCR expenses, onboarding, in-app AI assistance and workforce management.</w:t>
      </w:r>
    </w:p>
    <w:p w14:paraId="25E9A03C" w14:textId="6E64341C" w:rsidR="006F017C" w:rsidRDefault="00000000" w:rsidP="00CD4FC4">
      <w:pPr>
        <w:pStyle w:val="ListParagraph"/>
        <w:numPr>
          <w:ilvl w:val="0"/>
          <w:numId w:val="5"/>
        </w:numPr>
        <w:spacing w:after="24"/>
      </w:pPr>
      <w:r>
        <w:rPr>
          <w:b/>
        </w:rPr>
        <w:t xml:space="preserve">AI transformation: </w:t>
      </w:r>
      <w:r>
        <w:t>leading AWS AI-PDLC adoption with smaller AI-assisted teams; established a Responsible and Secure AI Policy and governed adoption across squads.</w:t>
      </w:r>
    </w:p>
    <w:p w14:paraId="0EB4E1FC" w14:textId="77777777" w:rsidR="006F017C" w:rsidRDefault="00000000" w:rsidP="00CD4FC4">
      <w:pPr>
        <w:pStyle w:val="ListParagraph"/>
        <w:numPr>
          <w:ilvl w:val="0"/>
          <w:numId w:val="5"/>
        </w:numPr>
        <w:spacing w:after="24"/>
      </w:pPr>
      <w:r>
        <w:rPr>
          <w:b/>
          <w:color w:val="222222"/>
        </w:rPr>
        <w:t>Product strategy:</w:t>
      </w:r>
      <w:r>
        <w:rPr>
          <w:color w:val="222222"/>
        </w:rPr>
        <w:t xml:space="preserve"> shaped ReckonX, the multi-year strategy consolidating ~70k customers onto Reckon One and mobile apps.</w:t>
      </w:r>
    </w:p>
    <w:p w14:paraId="70DDC873" w14:textId="77777777" w:rsidR="006F017C" w:rsidRDefault="00000000" w:rsidP="00CD4FC4">
      <w:pPr>
        <w:pStyle w:val="ListParagraph"/>
        <w:numPr>
          <w:ilvl w:val="0"/>
          <w:numId w:val="5"/>
        </w:numPr>
        <w:spacing w:after="24"/>
      </w:pPr>
      <w:r>
        <w:rPr>
          <w:b/>
          <w:color w:val="222222"/>
        </w:rPr>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77073C82" w:rsidR="006F017C" w:rsidRDefault="00000000" w:rsidP="00CD4FC4">
      <w:pPr>
        <w:pStyle w:val="ListParagraph"/>
        <w:numPr>
          <w:ilvl w:val="0"/>
          <w:numId w:val="5"/>
        </w:numPr>
        <w:spacing w:after="24"/>
      </w:pPr>
      <w:r>
        <w:rPr>
          <w:b/>
        </w:rPr>
        <w:t xml:space="preserve">Enterprise data platforms: </w:t>
      </w:r>
      <w:r>
        <w:t>implemented shared-data architecture using Power BI, Fabric and Snowflake, supporting reporting, Pendo product analytics and governed AI access through MCP.</w:t>
      </w:r>
    </w:p>
    <w:p w14:paraId="0401EE36" w14:textId="77777777" w:rsidR="006F017C" w:rsidRDefault="00000000" w:rsidP="00CD4FC4">
      <w:pPr>
        <w:pStyle w:val="ListParagraph"/>
        <w:numPr>
          <w:ilvl w:val="0"/>
          <w:numId w:val="5"/>
        </w:numPr>
        <w:spacing w:after="24"/>
      </w:pPr>
      <w:r>
        <w:rPr>
          <w:b/>
          <w:color w:val="222222"/>
        </w:rPr>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PayTo, Peppol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380F3D66" w:rsidR="006F017C" w:rsidRDefault="00C363C6">
      <w:pPr>
        <w:spacing w:after="60"/>
      </w:pPr>
      <w:r w:rsidRPr="00C363C6">
        <w:rPr>
          <w:color w:val="222222"/>
        </w:rPr>
        <w:t>Led engineering, DevOps, product, service, marketing and operational teams (~</w:t>
      </w:r>
      <w:r>
        <w:rPr>
          <w:color w:val="222222"/>
        </w:rPr>
        <w:t>45</w:t>
      </w:r>
      <w:r w:rsidRPr="00C363C6">
        <w:rPr>
          <w:color w:val="222222"/>
        </w:rPr>
        <w:t xml:space="preserve"> FTE) across Cashflow Manager™, Wages Manager, Inner Circle and okke. Retained CTO accountability following Reckon’s acquisition, including engineering and DevOps for okke’s Blazor and PostgreSQL platform</w:t>
      </w:r>
      <w:r>
        <w:rPr>
          <w:color w:val="222222"/>
        </w:rPr>
        <w:t>.</w:t>
      </w:r>
    </w:p>
    <w:p w14:paraId="460974C7"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3D1DB12" w14:textId="275FB19C" w:rsidR="006F017C" w:rsidRDefault="00000000" w:rsidP="00CD4FC4">
      <w:pPr>
        <w:pStyle w:val="ListParagraph"/>
        <w:numPr>
          <w:ilvl w:val="0"/>
          <w:numId w:val="6"/>
        </w:numPr>
        <w:spacing w:after="24"/>
      </w:pPr>
      <w:r>
        <w:rPr>
          <w:b/>
          <w:color w:val="222222"/>
        </w:rPr>
        <w:t xml:space="preserve">Product: </w:t>
      </w:r>
      <w:r>
        <w:rPr>
          <w:color w:val="222222"/>
        </w:rPr>
        <w:t xml:space="preserve">launched the okke </w:t>
      </w:r>
      <w:r w:rsidR="00800131">
        <w:rPr>
          <w:color w:val="222222"/>
        </w:rPr>
        <w:t xml:space="preserve">web and </w:t>
      </w:r>
      <w:r>
        <w:rPr>
          <w:color w:val="222222"/>
        </w:rPr>
        <w:t>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60"/>
      </w:pPr>
      <w:r>
        <w:rPr>
          <w:color w:val="222222"/>
        </w:rPr>
        <w:t>Executive board member reporting to the CEO and BPEA EQT board, accountable for Technology, Data and Marketing across EduCo and its acquired universities. Worked with academic stakeholders alongside commercial and operational leaders to advance digital capability.</w:t>
      </w:r>
    </w:p>
    <w:p w14:paraId="6B515CF7"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24"/>
      </w:pPr>
      <w:r>
        <w:rPr>
          <w:b/>
          <w:color w:val="222222"/>
        </w:rPr>
        <w:t>Enterprise change:</w:t>
      </w:r>
      <w:r>
        <w:rPr>
          <w:color w:val="222222"/>
        </w:rPr>
        <w:t xml:space="preserve"> modernised core and LOB platforms; migrated to MS365; consolidated technology suppliers.</w:t>
      </w:r>
    </w:p>
    <w:p w14:paraId="5A85987A" w14:textId="2A9CF419" w:rsidR="006F017C" w:rsidRDefault="00000000" w:rsidP="00CD4FC4">
      <w:pPr>
        <w:pStyle w:val="ListParagraph"/>
        <w:numPr>
          <w:ilvl w:val="0"/>
          <w:numId w:val="7"/>
        </w:numPr>
        <w:spacing w:after="24"/>
      </w:pPr>
      <w:r>
        <w:rPr>
          <w:b/>
          <w:color w:val="222222"/>
        </w:rPr>
        <w:t>M&amp;A and strategy:</w:t>
      </w:r>
      <w:r>
        <w:rPr>
          <w:color w:val="222222"/>
        </w:rPr>
        <w:t xml:space="preserve"> </w:t>
      </w:r>
      <w:r w:rsidR="00435B13">
        <w:rPr>
          <w:color w:val="222222"/>
        </w:rPr>
        <w:t>used</w:t>
      </w:r>
      <w:r>
        <w:rPr>
          <w:color w:val="222222"/>
        </w:rPr>
        <w:t xml:space="preserve"> IT Blueprint </w:t>
      </w:r>
      <w:r w:rsidR="00435B13">
        <w:rPr>
          <w:color w:val="222222"/>
        </w:rPr>
        <w:t>for</w:t>
      </w:r>
      <w:r>
        <w:rPr>
          <w:color w:val="222222"/>
        </w:rPr>
        <w:t xml:space="preserve"> </w:t>
      </w:r>
      <w:r w:rsidR="00435B13">
        <w:rPr>
          <w:color w:val="222222"/>
        </w:rPr>
        <w:t>tech &amp;</w:t>
      </w:r>
      <w:r>
        <w:rPr>
          <w:color w:val="222222"/>
        </w:rPr>
        <w:t xml:space="preserve"> data due diligence, integration and divestiture across ANZ, UK, </w:t>
      </w:r>
      <w:r w:rsidR="00435B13">
        <w:rPr>
          <w:color w:val="222222"/>
        </w:rPr>
        <w:t xml:space="preserve">CAN </w:t>
      </w:r>
      <w:r>
        <w:rPr>
          <w:color w:val="222222"/>
        </w:rPr>
        <w:t>and USA.</w:t>
      </w:r>
    </w:p>
    <w:p w14:paraId="52375A62"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60"/>
      </w:pPr>
      <w:r>
        <w:rPr>
          <w:color w:val="222222"/>
        </w:rPr>
        <w:t>Executive team accountability for technology, data, cyber security and transformation. Worked with academics to align platform change with teaching needs and the student experience.</w:t>
      </w:r>
    </w:p>
    <w:p w14:paraId="2AE151D5" w14:textId="77777777" w:rsidR="006F017C" w:rsidRDefault="00000000" w:rsidP="00CD4FC4">
      <w:pPr>
        <w:pStyle w:val="ListParagraph"/>
        <w:numPr>
          <w:ilvl w:val="0"/>
          <w:numId w:val="8"/>
        </w:numPr>
        <w:spacing w:after="24"/>
      </w:pPr>
      <w:r>
        <w:rPr>
          <w:b/>
        </w:rPr>
        <w:t xml:space="preserve">Digital learning transformation: </w:t>
      </w:r>
      <w:r>
        <w:t>led the transition from distance learning towards interactive digital learning, re-platforming core systems and supporting the accompanying change in mindset and practice.</w:t>
      </w:r>
    </w:p>
    <w:p w14:paraId="210D2675" w14:textId="77777777" w:rsidR="00A27A75"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0891453"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3A600B02" w:rsidR="006F017C" w:rsidRPr="00CD4FC4" w:rsidRDefault="0050511E">
      <w:pPr>
        <w:keepNext/>
        <w:tabs>
          <w:tab w:val="right" w:pos="10466"/>
        </w:tabs>
        <w:spacing w:before="100" w:after="20"/>
        <w:rPr>
          <w:color w:val="1F4E79"/>
        </w:rPr>
      </w:pPr>
      <w:r w:rsidRPr="000744E5">
        <w:rPr>
          <w:b/>
          <w:bCs/>
          <w:color w:val="1F4E79"/>
          <w:sz w:val="21"/>
          <w:szCs w:val="21"/>
        </w:rPr>
        <w:t>CTO | Chief Technology Officer</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14:paraId="42FB96B1" w14:textId="390B2419" w:rsidR="00A27A75" w:rsidRDefault="00000000">
      <w:pPr>
        <w:spacing w:after="60"/>
      </w:pPr>
      <w:r>
        <w:rPr>
          <w:color w:val="222222"/>
        </w:rPr>
        <w:t>Group CTO for technology, product and delivery across debt management, payments and B2B banking, with substantial commercial accountability including subsidiary CEO responsibilities.</w:t>
      </w:r>
    </w:p>
    <w:p w14:paraId="48D0E4BC" w14:textId="2AD2F370"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w:t>
      </w:r>
      <w:r w:rsidR="001D5E08" w:rsidRPr="008928BE">
        <w:rPr>
          <w:color w:val="222222"/>
        </w:rPr>
        <w:t>™</w:t>
      </w:r>
      <w:r>
        <w:rPr>
          <w:color w:val="222222"/>
        </w:rPr>
        <w:t>,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delivered the PayPlanPlus companion app.</w:t>
      </w:r>
    </w:p>
    <w:p w14:paraId="59B54425"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47D746"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24"/>
      </w:pPr>
      <w:r>
        <w:rPr>
          <w:b/>
        </w:rPr>
        <w:t xml:space="preserve">Clinical content and decision support: </w:t>
      </w:r>
      <w:r>
        <w:t>embedded British National Formulary and clinical decision support into EMIS Web; integrated Patient.co.uk peer-reviewed information leaflets for clinicians to print or email to patients, alongside public access.</w:t>
      </w:r>
    </w:p>
    <w:p w14:paraId="1FC0983D" w14:textId="77777777" w:rsidR="006F017C" w:rsidRDefault="00000000" w:rsidP="00CD4FC4">
      <w:pPr>
        <w:pStyle w:val="ListParagraph"/>
        <w:numPr>
          <w:ilvl w:val="0"/>
          <w:numId w:val="12"/>
        </w:numPr>
        <w:pBdr>
          <w:bottom w:val="single" w:sz="6" w:space="1" w:color="auto"/>
        </w:pBdr>
        <w:spacing w:after="24"/>
      </w:pPr>
      <w:r>
        <w:rPr>
          <w:b/>
        </w:rPr>
        <w:t xml:space="preserve">Clinical governance: </w:t>
      </w:r>
      <w:r>
        <w:t>worked with clinical and academic stakeholders within a national patient-record environment requiring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24"/>
      </w:pPr>
      <w:r>
        <w:rPr>
          <w:b/>
        </w:rPr>
        <w:t xml:space="preserve">Platforms and partnerships: </w:t>
      </w:r>
      <w:r>
        <w:t>launched EMIS Mobile and PatientAccess as an Apple iOS 8 HealthKit launch partner; led ERP and finance system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5BB68BEC" w14:textId="77777777" w:rsidR="00A27A75" w:rsidRDefault="00000000">
      <w:pPr>
        <w:spacing w:after="60"/>
      </w:pPr>
      <w:r>
        <w:rPr>
          <w:color w:val="222222"/>
        </w:rPr>
        <w:t>Led IT, development and delivery within one of the UK's three major credit-reference agencies and its data products.</w:t>
      </w:r>
    </w:p>
    <w:p w14:paraId="0522B83A" w14:textId="53A64476" w:rsidR="006F017C" w:rsidRDefault="00000000" w:rsidP="00CD4FC4">
      <w:pPr>
        <w:pStyle w:val="ListParagraph"/>
        <w:numPr>
          <w:ilvl w:val="0"/>
          <w:numId w:val="11"/>
        </w:numPr>
        <w:spacing w:after="24"/>
      </w:pPr>
      <w:r>
        <w:rPr>
          <w:b/>
          <w:color w:val="222222"/>
        </w:rPr>
        <w:t xml:space="preserve">Data platforms and products: </w:t>
      </w:r>
      <w:r>
        <w:rPr>
          <w:color w:val="222222"/>
        </w:rPr>
        <w:t>led delivery across bureau-scale consumer and commercial datasets spanning credit, fraud, AML, affordability, identity, PFM, demographic/geospatial and financial products; launched Noddle</w:t>
      </w:r>
      <w:r w:rsidR="001D5E08" w:rsidRPr="008928BE">
        <w:rPr>
          <w:color w:val="222222"/>
        </w:rPr>
        <w:t>™</w:t>
      </w:r>
      <w:r>
        <w:rPr>
          <w:color w:val="222222"/>
        </w:rPr>
        <w:t>, the UK's first free consumer credit report, subsequently Credit Karma</w:t>
      </w:r>
      <w:r w:rsidR="001D5E08" w:rsidRPr="008928BE">
        <w:rPr>
          <w:color w:val="222222"/>
        </w:rPr>
        <w:t>™</w:t>
      </w:r>
      <w:r>
        <w:rPr>
          <w:color w:val="222222"/>
        </w:rPr>
        <w:t xml:space="preserve"> and now part of Intuit.</w:t>
      </w:r>
    </w:p>
    <w:p w14:paraId="2002343B" w14:textId="77777777" w:rsidR="00A27A75" w:rsidRDefault="00000000">
      <w:pPr>
        <w:pStyle w:val="ListParagraph"/>
        <w:numPr>
          <w:ilvl w:val="0"/>
          <w:numId w:val="11"/>
        </w:numPr>
        <w:spacing w:after="24"/>
      </w:pPr>
      <w:r>
        <w:rPr>
          <w:b/>
          <w:color w:val="222222"/>
        </w:rPr>
        <w:t>Data architecture:</w:t>
      </w:r>
      <w:r>
        <w:rPr>
          <w:color w:val="222222"/>
        </w:rPr>
        <w:t xml:space="preserve"> introduced high-availability / high-volume technologies using big-data, cloud and Open Banking.</w:t>
      </w:r>
    </w:p>
    <w:p w14:paraId="0F9A86E4"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Agile/Lean/SAFe adoption across ~100 FTE; established Lithuanian engineering capacity, increasing capacity by 35%.</w:t>
      </w:r>
    </w:p>
    <w:p w14:paraId="3ED303D4"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24"/>
      </w:pPr>
      <w:r>
        <w:rPr>
          <w:b/>
          <w:color w:val="222222"/>
        </w:rPr>
        <w:t>Contract architecture and delivery (2002-2005):</w:t>
      </w:r>
      <w:r>
        <w:rPr>
          <w:color w:val="222222"/>
        </w:rPr>
        <w:t xml:space="preserve"> Euro RSCG Riley's, NCS Pearson, Manheim, Kah Systems and Fowles ANZ.</w:t>
      </w:r>
    </w:p>
    <w:p w14:paraId="62F314A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60"/>
      </w:pPr>
      <w:r>
        <w:rPr>
          <w:b/>
          <w:color w:val="222222"/>
        </w:rPr>
        <w:t>Key systems: Microsoft Dynamics 365 · Microsoft 365 · Power Platform · Salesforce · Zoho · Pendo · Figma · Stripe · Kofax · SAP</w:t>
      </w:r>
    </w:p>
    <w:p w14:paraId="29DDC15E" w14:textId="77777777" w:rsidR="00590B21" w:rsidRDefault="00590B21" w:rsidP="00590B21">
      <w:pPr>
        <w:spacing w:after="60"/>
      </w:pPr>
      <w:r>
        <w:rPr>
          <w:b/>
          <w:color w:val="222222"/>
        </w:rPr>
        <w:t>Data, AI and analytics:</w:t>
      </w:r>
      <w:r>
        <w:rPr>
          <w:color w:val="222222"/>
        </w:rPr>
        <w:t xml:space="preserve"> Snowflake · MS Fabric · Data lakes · Power BI · SQL/SSIS/SSRS · PostgreSQL · Oracle · DynamoDB · Metabase · Tableau · Data Factory · Python/Pandas/XGBoost · OpenAI Codex · Claude Designer · FHIR · MCP · OCR/NLP</w:t>
      </w:r>
    </w:p>
    <w:p w14:paraId="3B4FF9A8" w14:textId="0487462B" w:rsidR="00590B21" w:rsidRDefault="00590B21" w:rsidP="00590B21">
      <w:pPr>
        <w:spacing w:after="60"/>
      </w:pPr>
      <w:r>
        <w:rPr>
          <w:b/>
          <w:color w:val="222222"/>
        </w:rPr>
        <w:t>Technologies:</w:t>
      </w:r>
      <w:r>
        <w:rPr>
          <w:color w:val="222222"/>
        </w:rPr>
        <w:t xml:space="preserve"> .NET · Java · C# · </w:t>
      </w:r>
      <w:r w:rsidR="00BC00AC">
        <w:rPr>
          <w:color w:val="222222"/>
        </w:rPr>
        <w:t xml:space="preserve">Blazor · SPA · </w:t>
      </w:r>
      <w:r>
        <w:rPr>
          <w:color w:val="222222"/>
        </w:rPr>
        <w:t>Node.js · Flutter · React · Azure IaaS/PaaS/SaaS · AWS (EC2, S3, Lambda, CloudFront) · Kafka · Docker · Kubernetes · New Relic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16"/>
            </w:pPr>
            <w:r>
              <w:rPr>
                <w:sz w:val="17"/>
              </w:rPr>
              <w:t>❖ AI-DLC — Amazon Web Services (2026)</w:t>
            </w:r>
          </w:p>
          <w:p w14:paraId="29E86701" w14:textId="77777777" w:rsidR="006F017C" w:rsidRDefault="00000000">
            <w:pPr>
              <w:spacing w:after="16"/>
            </w:pPr>
            <w:r>
              <w:rPr>
                <w:sz w:val="17"/>
              </w:rPr>
              <w:t>❖ AWS AI-PDLC — Amazon Web Services (2026)</w:t>
            </w:r>
          </w:p>
          <w:p w14:paraId="53C45D91" w14:textId="77777777" w:rsidR="006F017C" w:rsidRDefault="00000000">
            <w:pPr>
              <w:spacing w:after="16"/>
            </w:pPr>
            <w:r>
              <w:rPr>
                <w:sz w:val="17"/>
              </w:rPr>
              <w:t>❖ SAFe Release Train Engineer (RTE) &amp; Leading SAFe</w:t>
            </w:r>
          </w:p>
          <w:p w14:paraId="2F46531A" w14:textId="77777777" w:rsidR="006F017C" w:rsidRDefault="00000000">
            <w:pPr>
              <w:spacing w:after="16"/>
            </w:pPr>
            <w:r>
              <w:rPr>
                <w:sz w:val="17"/>
              </w:rPr>
              <w:t>❖ Certified Scrum Master · Certified Scrum Product Owner</w:t>
            </w:r>
          </w:p>
          <w:p w14:paraId="37EED49A" w14:textId="77777777" w:rsidR="006F017C" w:rsidRDefault="00000000">
            <w:pPr>
              <w:spacing w:after="16"/>
            </w:pPr>
            <w:r>
              <w:rPr>
                <w:sz w:val="17"/>
              </w:rPr>
              <w:t>❖ PRINCE2 Foundation and Practitioner</w:t>
            </w:r>
          </w:p>
          <w:p w14:paraId="605EEEB6" w14:textId="77777777" w:rsidR="006F017C" w:rsidRDefault="00000000">
            <w:pPr>
              <w:spacing w:after="16"/>
            </w:pPr>
            <w:r>
              <w:rPr>
                <w:sz w:val="17"/>
              </w:rPr>
              <w:t>❖ Management 3.0 Certified</w:t>
            </w:r>
          </w:p>
        </w:tc>
        <w:tc>
          <w:tcPr>
            <w:tcW w:w="5233" w:type="dxa"/>
          </w:tcPr>
          <w:p w14:paraId="34F8A2FF" w14:textId="77777777" w:rsidR="006F017C" w:rsidRDefault="00000000">
            <w:pPr>
              <w:spacing w:after="16"/>
            </w:pPr>
            <w:r>
              <w:rPr>
                <w:sz w:val="17"/>
              </w:rPr>
              <w:t>❖ TOGAF 9 Foundation · ITIL v3 Foundation</w:t>
            </w:r>
          </w:p>
          <w:p w14:paraId="4191D32C" w14:textId="77777777" w:rsidR="006F017C" w:rsidRDefault="00000000">
            <w:pPr>
              <w:spacing w:after="16"/>
            </w:pPr>
            <w:r>
              <w:rPr>
                <w:sz w:val="17"/>
              </w:rPr>
              <w:t>❖ DSDM Foundation and Practitioner</w:t>
            </w:r>
          </w:p>
          <w:p w14:paraId="125F2437" w14:textId="77777777" w:rsidR="006F017C" w:rsidRDefault="00000000">
            <w:pPr>
              <w:spacing w:after="16"/>
            </w:pPr>
            <w:r>
              <w:rPr>
                <w:sz w:val="17"/>
              </w:rPr>
              <w:t>❖ Certified Six Sigma Black Belt</w:t>
            </w:r>
          </w:p>
          <w:p w14:paraId="66FD14AA" w14:textId="77777777" w:rsidR="006F017C" w:rsidRDefault="00000000">
            <w:pPr>
              <w:spacing w:after="16"/>
            </w:pPr>
            <w:r>
              <w:rPr>
                <w:sz w:val="17"/>
              </w:rPr>
              <w:t>❖ IOSH — Occupational Safety and Health</w:t>
            </w:r>
          </w:p>
          <w:p w14:paraId="160EB0ED" w14:textId="77777777" w:rsidR="006F017C" w:rsidRDefault="00000000">
            <w:pPr>
              <w:spacing w:after="16"/>
            </w:pPr>
            <w:r>
              <w:rPr>
                <w:sz w:val="17"/>
              </w:rPr>
              <w:t>❖ Professional Member, Chartered Institute for IT (MBCS)</w:t>
            </w:r>
          </w:p>
          <w:p w14:paraId="4CA62E8B" w14:textId="77777777" w:rsidR="006F017C" w:rsidRDefault="00000000">
            <w:pPr>
              <w:spacing w:after="16"/>
            </w:pPr>
            <w:r>
              <w:rPr>
                <w:sz w:val="17"/>
              </w:rPr>
              <w:t>❖ 10+ Microsoft Technical Certifications</w:t>
            </w:r>
          </w:p>
        </w:tc>
      </w:tr>
    </w:tbl>
    <w:p w14:paraId="24C29E20" w14:textId="77777777" w:rsidR="00221E60" w:rsidRDefault="00221E60">
      <w:pPr>
        <w:spacing w:after="0" w:line="20" w:lineRule="exact"/>
      </w:pPr>
      <w:r>
        <w:rPr>
          <w:sz w:val="2"/>
        </w:rPr>
        <w:t xml:space="preserve"> </w:t>
      </w: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1D5E08"/>
    <w:rsid w:val="00221E60"/>
    <w:rsid w:val="002C1115"/>
    <w:rsid w:val="0035721A"/>
    <w:rsid w:val="00435B13"/>
    <w:rsid w:val="0050511E"/>
    <w:rsid w:val="00583AC5"/>
    <w:rsid w:val="00590B21"/>
    <w:rsid w:val="005B03EF"/>
    <w:rsid w:val="00613146"/>
    <w:rsid w:val="006F017C"/>
    <w:rsid w:val="0076141E"/>
    <w:rsid w:val="00800131"/>
    <w:rsid w:val="008928BE"/>
    <w:rsid w:val="00902160"/>
    <w:rsid w:val="00A27A75"/>
    <w:rsid w:val="00A72606"/>
    <w:rsid w:val="00B76533"/>
    <w:rsid w:val="00B865FE"/>
    <w:rsid w:val="00BC00AC"/>
    <w:rsid w:val="00C363C6"/>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2078</Words>
  <Characters>13302</Characters>
  <Application>Microsoft Office Word</Application>
  <DocSecurity>0</DocSecurity>
  <Lines>187</Lines>
  <Paragraphs>130</Paragraphs>
  <ScaleCrop>false</ScaleCrop>
  <HeadingPairs>
    <vt:vector size="2" baseType="variant">
      <vt:variant>
        <vt:lpstr>Title</vt:lpstr>
      </vt:variant>
      <vt:variant>
        <vt:i4>1</vt:i4>
      </vt:variant>
    </vt:vector>
  </HeadingPairs>
  <TitlesOfParts>
    <vt:vector size="1" baseType="lpstr">
      <vt:lpstr>David Weir - Master CV 2026 v2</vt:lpstr>
    </vt:vector>
  </TitlesOfParts>
  <Company/>
  <LinksUpToDate>false</LinksUpToDate>
  <CharactersWithSpaces>15250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AMH Chief Technology Officer CV</dc:title>
  <dc:subject>Master executive CV - CTO, CIO and CPO remit</dc:subject>
  <dc:creator>David Weir</dc:creator>
  <cp:keywords>Technology, Product, Data, AI, CTO, CIO, CPO</cp:keywords>
  <cp:lastModifiedBy>David Weir</cp:lastModifiedBy>
  <cp:revision>13</cp:revision>
  <dcterms:created xsi:type="dcterms:W3CDTF">2026-08-28T03:58:00Z</dcterms:created>
  <dcterms:modified xsi:type="dcterms:W3CDTF">2026-09-08T23:31:00Z</dcterms:modified>
</cp:coreProperties>
</file>