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7200"/>
        <w:gridCol w:w="3266"/>
      </w:tblGrid>
      <w:tr>
        <w:tc>
          <w:tcPr>
            <w:tcW w:type="dxa" w:w="7200"/>
            <w:tcBorders>
              <w:top w:val="none" w:color="FFFFFF" w:sz="0"/>
              <w:left w:val="none" w:color="FFFFFF" w:sz="0"/>
              <w:bottom w:val="none" w:color="FFFFFF" w:sz="0"/>
              <w:right w:val="none" w:color="FFFFFF" w:sz="0"/>
            </w:tcBorders>
            <w:tcMar>
              <w:top w:type="dxa" w:w="20"/>
              <w:left w:type="dxa" w:w="0"/>
              <w:bottom w:type="dxa" w:w="20"/>
              <w:right w:type="dxa" w:w="60"/>
            </w:tcMar>
            <w:vAlign w:val="center"/>
          </w:tcPr>
          <w:p>
            <w:pPr>
              <w:spacing w:after="40"/>
            </w:pPr>
            <w:r>
              <w:rPr>
                <w:rFonts w:ascii="Calibri" w:cs="Calibri" w:eastAsia="Calibri" w:hAnsi="Calibri"/>
                <w:b/>
                <w:bCs/>
                <w:color w:val="1F4E5F"/>
                <w:sz w:val="44"/>
                <w:szCs w:val="44"/>
              </w:rPr>
              <w:t xml:space="preserve">David Weir</w:t>
            </w:r>
          </w:p>
          <w:p>
            <w:r>
              <w:rPr>
                <w:rFonts w:ascii="Calibri" w:cs="Calibri" w:eastAsia="Calibri" w:hAnsi="Calibri"/>
                <w:i/>
                <w:iCs/>
                <w:sz w:val="20"/>
                <w:szCs w:val="20"/>
              </w:rPr>
              <w:t xml:space="preserve">Technology and security executive leading enterprise ICT, cyber and information assurance across regulated and secure environments — CIO · CTO remit.</w:t>
            </w:r>
          </w:p>
        </w:tc>
        <w:tc>
          <w:tcPr>
            <w:tcW w:type="dxa" w:w="3266"/>
            <w:tcBorders>
              <w:top w:val="none" w:color="FFFFFF" w:sz="0"/>
              <w:left w:val="none" w:color="FFFFFF" w:sz="0"/>
              <w:bottom w:val="none" w:color="FFFFFF" w:sz="0"/>
              <w:right w:val="none" w:color="FFFFFF" w:sz="0"/>
            </w:tcBorders>
            <w:tcMar>
              <w:top w:type="dxa" w:w="20"/>
              <w:left w:type="dxa" w:w="60"/>
              <w:bottom w:type="dxa" w:w="20"/>
              <w:right w:type="dxa" w:w="0"/>
            </w:tcMar>
            <w:vAlign w:val="center"/>
          </w:tcPr>
          <w:p>
            <w:pPr>
              <w:jc w:val="right"/>
            </w:pPr>
            <w:hyperlink w:history="1" r:id="rIdib0hvv8rim3tjyiruywpf">
              <w:r>
                <w:rPr>
                  <w:rFonts w:ascii="Calibri" w:cs="Calibri" w:eastAsia="Calibri" w:hAnsi="Calibri"/>
                  <w:color w:val="1F4E5F"/>
                  <w:sz w:val="18"/>
                  <w:szCs w:val="18"/>
                  <w:u w:val="single"/>
                </w:rPr>
                <w:t xml:space="preserve">linkedin.com/in/david~weir/</w:t>
              </w:r>
            </w:hyperlink>
          </w:p>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r>
              <w:rPr>
                <w:rFonts w:ascii="Calibri" w:cs="Calibri" w:eastAsia="Calibri" w:hAnsi="Calibri"/>
                <w:sz w:val="18"/>
                <w:szCs w:val="18"/>
              </w:rPr>
              <w:t xml:space="preserve">Dual Citizen – Australian / British</w:t>
            </w:r>
          </w:p>
        </w:tc>
      </w:tr>
    </w:tbl>
    <w:p>
      <w:pPr>
        <w:pBdr>
          <w:bottom w:val="single" w:color="1F4E5F" w:sz="6" w:space="2"/>
        </w:pBdr>
        <w:spacing w:after="60" w:before="120"/>
      </w:pPr>
      <w:r>
        <w:rPr>
          <w:rFonts w:ascii="Calibri" w:cs="Calibri" w:eastAsia="Calibri" w:hAnsi="Calibri"/>
          <w:b/>
          <w:bCs/>
          <w:color w:val="1F4E5F"/>
          <w:sz w:val="23"/>
          <w:szCs w:val="23"/>
        </w:rPr>
        <w:t xml:space="preserve">Executive Summary</w:t>
      </w:r>
    </w:p>
    <w:p>
      <w:pPr>
        <w:spacing w:after="80" w:line="240"/>
      </w:pPr>
      <w:r>
        <w:rPr>
          <w:rFonts w:ascii="Calibri" w:cs="Calibri" w:eastAsia="Calibri" w:hAnsi="Calibri"/>
          <w:sz w:val="19"/>
          <w:szCs w:val="19"/>
        </w:rPr>
        <w:t xml:space="preserve">Over 15 years in CXO and Director roles leading enterprise technology, cyber security and information assurance across UK Government (NHS and Ministry of Defence), financial services, health and education environments. Retained CTO accountability for Cashflow Manager following its acquisition by Reckon (ASX: RKN), where I now serve as Head of Product with CPO remit, shaping platform, data and AI investment with the CEO, Group CTO and CFO while balancing value, risk, security and regulatory obligations.</w:t>
      </w:r>
    </w:p>
    <w:p>
      <w:pPr>
        <w:spacing w:after="80" w:line="240"/>
      </w:pPr>
      <w:r>
        <w:rPr>
          <w:rFonts w:ascii="Calibri" w:cs="Calibri" w:eastAsia="Calibri" w:hAnsi="Calibri"/>
          <w:sz w:val="19"/>
          <w:szCs w:val="19"/>
        </w:rPr>
        <w:t xml:space="preserve">Established an ISMF spanning cyber security, risk and incident management; led ISO 27001 (including the 2022 uplift), PCI-DSS and FCA programs; and managed sensitive identity, clinical and financial data under rigorous access controls. Established a Responsible and Secure AI Policy at Reckon and governed AI adoption across business functions, while AI-PDLC has accelerated end-to-end delivery from months to weeks.</w:t>
      </w:r>
    </w:p>
    <w:p>
      <w:pPr>
        <w:spacing w:after="80" w:line="240"/>
      </w:pPr>
      <w:r>
        <w:rPr>
          <w:rFonts w:ascii="Calibri" w:cs="Calibri" w:eastAsia="Calibri" w:hAnsi="Calibri"/>
          <w:sz w:val="19"/>
          <w:szCs w:val="19"/>
        </w:rPr>
        <w:t xml:space="preserve">Led cross-functional teams from start-ups to delivery portfolios of approximately 300 FTE. I remain hands-on and technical across infrastructure, applications, cloud and security, having delivered mission-critical platforms across national patient records, credit bureaus, international education, financial reporting and headless banking. Trusted by CEOs, Boards and executives as an advisor on technology, security, risk and investment decisions.</w:t>
      </w:r>
    </w:p>
    <w:p>
      <w:pPr>
        <w:pBdr>
          <w:bottom w:val="single" w:color="1F4E5F" w:sz="6" w:space="2"/>
        </w:pBdr>
        <w:spacing w:after="60" w:before="120"/>
      </w:pPr>
      <w:r>
        <w:rPr>
          <w:rFonts w:ascii="Calibri" w:cs="Calibri" w:eastAsia="Calibri" w:hAnsi="Calibri"/>
          <w:b/>
          <w:bCs/>
          <w:color w:val="1F4E5F"/>
          <w:sz w:val="23"/>
          <w:szCs w:val="23"/>
        </w:rPr>
        <w:t xml:space="preserve">Core Competencies</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ICT &amp; security strategy:</w:t>
            </w:r>
            <w:r>
              <w:rPr>
                <w:rFonts w:ascii="Calibri" w:cs="Calibri" w:eastAsia="Calibri" w:hAnsi="Calibri"/>
                <w:sz w:val="19"/>
                <w:szCs w:val="19"/>
              </w:rPr>
              <w:t xml:space="preserve"> strategy, roadmap and investment priorities; CEO and leadership-team advisory</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Security governance &amp; assurance:</w:t>
            </w:r>
            <w:r>
              <w:rPr>
                <w:rFonts w:ascii="Calibri" w:cs="Calibri" w:eastAsia="Calibri" w:hAnsi="Calibri"/>
                <w:sz w:val="19"/>
                <w:szCs w:val="19"/>
              </w:rPr>
              <w:t xml:space="preserve"> ISMF; ISO 27001:2022; PCI-DSS; GDPR; access controls over sensitive data</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Security risk &amp; incident response:</w:t>
            </w:r>
            <w:r>
              <w:rPr>
                <w:rFonts w:ascii="Calibri" w:cs="Calibri" w:eastAsia="Calibri" w:hAnsi="Calibri"/>
                <w:sz w:val="19"/>
                <w:szCs w:val="19"/>
              </w:rPr>
              <w:t xml:space="preserve"> security risk management; incident management; resilience and continuity</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Infrastructure &amp; cloud:</w:t>
            </w:r>
            <w:r>
              <w:rPr>
                <w:rFonts w:ascii="Calibri" w:cs="Calibri" w:eastAsia="Calibri" w:hAnsi="Calibri"/>
                <w:sz w:val="19"/>
                <w:szCs w:val="19"/>
              </w:rPr>
              <w:t xml:space="preserve"> AWS and Azure; 100% cloud migration; MS 365; unified communications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Applications &amp; service delivery:</w:t>
            </w:r>
            <w:r>
              <w:rPr>
                <w:rFonts w:ascii="Calibri" w:cs="Calibri" w:eastAsia="Calibri" w:hAnsi="Calibri"/>
                <w:sz w:val="19"/>
                <w:szCs w:val="19"/>
              </w:rPr>
              <w:t xml:space="preserve"> Dynamics 365, Salesforce, ERP and finance; ITIL; KPIs and SLAs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Regulated &amp; secure environments:</w:t>
            </w:r>
            <w:r>
              <w:rPr>
                <w:rFonts w:ascii="Calibri" w:cs="Calibri" w:eastAsia="Calibri" w:hAnsi="Calibri"/>
                <w:sz w:val="19"/>
                <w:szCs w:val="19"/>
              </w:rPr>
              <w:t xml:space="preserve"> UK Government (NHS, MoD); national patient records; FCA, ATO, TEQSA</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Transformation &amp; operating model:</w:t>
            </w:r>
            <w:r>
              <w:rPr>
                <w:rFonts w:ascii="Calibri" w:cs="Calibri" w:eastAsia="Calibri" w:hAnsi="Calibri"/>
                <w:sz w:val="19"/>
                <w:szCs w:val="19"/>
              </w:rPr>
              <w:t xml:space="preserve"> operating-model review and restructure; platform modernisation; M&amp;A due diligence</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AI &amp; emerging technology:</w:t>
            </w:r>
            <w:r>
              <w:rPr>
                <w:rFonts w:ascii="Calibri" w:cs="Calibri" w:eastAsia="Calibri" w:hAnsi="Calibri"/>
                <w:sz w:val="19"/>
                <w:szCs w:val="19"/>
              </w:rPr>
              <w:t xml:space="preserve"> AI-PDLC; responsible and secure AI policy; applied AI since 2021</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Budgets, vendors &amp; contracts:</w:t>
            </w:r>
            <w:r>
              <w:rPr>
                <w:rFonts w:ascii="Calibri" w:cs="Calibri" w:eastAsia="Calibri" w:hAnsi="Calibri"/>
                <w:sz w:val="19"/>
                <w:szCs w:val="19"/>
              </w:rPr>
              <w:t xml:space="preserve"> supplier consolidation; contract renegotiation; $1.3m recovered; 22% OPEX reduction</w:t>
            </w:r>
          </w:p>
        </w:tc>
      </w:tr>
    </w:tbl>
    <w:p>
      <w:pPr>
        <w:pBdr>
          <w:bottom w:val="single" w:color="1F4E5F" w:sz="6" w:space="2"/>
        </w:pBdr>
        <w:spacing w:after="60" w:before="120"/>
      </w:pPr>
      <w:r>
        <w:rPr>
          <w:rFonts w:ascii="Calibri" w:cs="Calibri" w:eastAsia="Calibri" w:hAnsi="Calibri"/>
          <w:b/>
          <w:bCs/>
          <w:color w:val="1F4E5F"/>
          <w:sz w:val="23"/>
          <w:szCs w:val="23"/>
        </w:rPr>
        <w:t xml:space="preserve">Key Accomplishments</w:t>
      </w:r>
    </w:p>
    <w:p>
      <w:pPr>
        <w:pStyle w:val="ListParagraph"/>
        <w:numPr>
          <w:ilvl w:val="0"/>
          <w:numId w:val="2"/>
        </w:numPr>
        <w:spacing w:after="30" w:line="236"/>
      </w:pPr>
      <w:r>
        <w:rPr>
          <w:rFonts w:ascii="Calibri" w:cs="Calibri" w:eastAsia="Calibri" w:hAnsi="Calibri"/>
          <w:sz w:val="19"/>
          <w:szCs w:val="19"/>
        </w:rPr>
        <w:t xml:space="preserve">Two decades of security and compliance leadership across regulated environments: established an ISMF spanning cyber security, risk and incident management at EduCo; ISO 27001 at Cashflow Manager (2022 uplift), EduCo, Reckon and CallCredit/TransUnion, with ISO 27001 readiness and ISMS rollout at Infonetica; FCA and PCI-DSS at PayPlan, PayLink and CallCredit/TransUnion; GDPR, TEQSA and ATO programs.</w:t>
      </w:r>
    </w:p>
    <w:p>
      <w:pPr>
        <w:pStyle w:val="ListParagraph"/>
        <w:numPr>
          <w:ilvl w:val="0"/>
          <w:numId w:val="2"/>
        </w:numPr>
        <w:spacing w:after="30" w:line="236"/>
      </w:pPr>
      <w:r>
        <w:rPr>
          <w:rFonts w:ascii="Calibri" w:cs="Calibri" w:eastAsia="Calibri" w:hAnsi="Calibri"/>
          <w:sz w:val="19"/>
          <w:szCs w:val="19"/>
        </w:rPr>
        <w:t xml:space="preserve">Delivered the two largest contracts in EMIS history for the UK Government (NHS) to hard statutory deadlines, working directly with the UK Minister of Health, within a highly secure national patient-record ecosystem requiring rigorous access controls, information security and safety-critical delivery.</w:t>
      </w:r>
    </w:p>
    <w:p>
      <w:pPr>
        <w:pStyle w:val="ListParagraph"/>
        <w:numPr>
          <w:ilvl w:val="0"/>
          <w:numId w:val="2"/>
        </w:numPr>
        <w:spacing w:after="30" w:line="236"/>
      </w:pPr>
      <w:r>
        <w:rPr>
          <w:rFonts w:ascii="Calibri" w:cs="Calibri" w:eastAsia="Calibri" w:hAnsi="Calibri"/>
          <w:sz w:val="19"/>
          <w:szCs w:val="19"/>
        </w:rPr>
        <w:t xml:space="preserve">Led AIB's transformation into Australia's #1 online higher-education provider, re-platforming the majority of key systems and completing a 100% cloud migration in under six months that kept the organisation operating through COVID-19.</w:t>
      </w:r>
    </w:p>
    <w:p>
      <w:pPr>
        <w:pStyle w:val="ListParagraph"/>
        <w:numPr>
          <w:ilvl w:val="0"/>
          <w:numId w:val="2"/>
        </w:numPr>
        <w:spacing w:after="30" w:line="236"/>
      </w:pPr>
      <w:r>
        <w:rPr>
          <w:rFonts w:ascii="Calibri" w:cs="Calibri" w:eastAsia="Calibri" w:hAnsi="Calibri"/>
          <w:sz w:val="19"/>
          <w:szCs w:val="19"/>
        </w:rPr>
        <w:t xml:space="preserve">Established Reckon's Responsible and Secure AI Policy and governed adoption across the business, including AI embedded in Reckon One for onboarding, bank reconciliation, and insights and anomaly detection. Earlier pioneered applied AI at EduCo in 2021 through Accelerate™.</w:t>
      </w:r>
    </w:p>
    <w:p>
      <w:pPr>
        <w:pStyle w:val="ListParagraph"/>
        <w:numPr>
          <w:ilvl w:val="0"/>
          <w:numId w:val="2"/>
        </w:numPr>
        <w:spacing w:after="30" w:line="236"/>
      </w:pPr>
      <w:r>
        <w:rPr>
          <w:rFonts w:ascii="Calibri" w:cs="Calibri" w:eastAsia="Calibri" w:hAnsi="Calibri"/>
          <w:sz w:val="19"/>
          <w:szCs w:val="19"/>
        </w:rPr>
        <w:t xml:space="preserve">Led ERP and Finance system replacement onto Microsoft Dynamics at EMIS, introduced Salesforce Einstein analytics at AIB, and migrated CRM from Salesforce to Zoho at Cashflow Manager.</w:t>
      </w:r>
    </w:p>
    <w:p>
      <w:pPr>
        <w:pBdr>
          <w:bottom w:val="single" w:color="1F4E5F" w:sz="6" w:space="2"/>
        </w:pBdr>
        <w:spacing w:after="60" w:before="120"/>
      </w:pPr>
      <w:r>
        <w:rPr>
          <w:rFonts w:ascii="Calibri" w:cs="Calibri" w:eastAsia="Calibri" w:hAnsi="Calibri"/>
          <w:b/>
          <w:bCs/>
          <w:color w:val="1F4E5F"/>
          <w:sz w:val="23"/>
          <w:szCs w:val="23"/>
        </w:rPr>
        <w:t xml:space="preserve">Professional Experience</w:t>
      </w:r>
    </w:p>
    <w:p>
      <w:pPr>
        <w:keepNext/>
        <w:tabs>
          <w:tab w:val="right" w:pos="10466"/>
        </w:tabs>
        <w:spacing w:after="0" w:before="90"/>
      </w:pPr>
      <w:r>
        <w:rPr>
          <w:rFonts w:ascii="Calibri" w:cs="Calibri" w:eastAsia="Calibri" w:hAnsi="Calibri"/>
          <w:b/>
          <w:bCs/>
          <w:color w:val="1F4E5F"/>
          <w:sz w:val="20"/>
          <w:szCs w:val="20"/>
        </w:rPr>
        <w:t xml:space="preserve">Head of Product – CPO Remit | CTO for CFM</w:t>
      </w:r>
      <w:r>
        <w:rPr>
          <w:rFonts w:ascii="Calibri" w:cs="Calibri" w:eastAsia="Calibri" w:hAnsi="Calibri"/>
          <w:b/>
          <w:bCs/>
          <w:sz w:val="19"/>
          <w:szCs w:val="19"/>
        </w:rPr>
        <w:t xml:space="preserve">	Dec 2024 – Present</w:t>
      </w:r>
    </w:p>
    <w:p>
      <w:pPr>
        <w:keepNext/>
        <w:spacing w:after="50"/>
      </w:pPr>
      <w:r>
        <w:rPr>
          <w:rFonts w:ascii="Calibri" w:cs="Calibri" w:eastAsia="Calibri" w:hAnsi="Calibri"/>
          <w:b/>
          <w:bCs/>
          <w:sz w:val="19"/>
          <w:szCs w:val="19"/>
        </w:rPr>
        <w:t xml:space="preserve">Reckon (ASX: RKN)</w:t>
      </w:r>
      <w:r>
        <w:rPr>
          <w:rFonts w:ascii="Calibri" w:cs="Calibri" w:eastAsia="Calibri" w:hAnsi="Calibri"/>
          <w:i/>
          <w:iCs/>
          <w:sz w:val="19"/>
          <w:szCs w:val="19"/>
        </w:rPr>
        <w:t xml:space="preserve"> · Adelaide, Sydney — ASX-listed accounting software group</w:t>
      </w:r>
    </w:p>
    <w:p>
      <w:pPr>
        <w:spacing w:after="50" w:line="240"/>
      </w:pPr>
      <w:r>
        <w:rPr>
          <w:rFonts w:ascii="Calibri" w:cs="Calibri" w:eastAsia="Calibri" w:hAnsi="Calibri"/>
          <w:sz w:val="19"/>
          <w:szCs w:val="19"/>
        </w:rPr>
        <w:t xml:space="preserve">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web and mobile portfolio.</w:t>
      </w:r>
    </w:p>
    <w:p>
      <w:pPr>
        <w:pStyle w:val="ListParagraph"/>
        <w:numPr>
          <w:ilvl w:val="0"/>
          <w:numId w:val="2"/>
        </w:numPr>
        <w:spacing w:after="30" w:line="236"/>
      </w:pPr>
      <w:r>
        <w:rPr>
          <w:rFonts w:ascii="Calibri" w:cs="Calibri" w:eastAsia="Calibri" w:hAnsi="Calibri"/>
          <w:b/>
          <w:bCs/>
          <w:sz w:val="19"/>
          <w:szCs w:val="19"/>
        </w:rPr>
        <w:t xml:space="preserve">Governance and investment:</w:t>
      </w:r>
      <w:r>
        <w:rPr>
          <w:rFonts w:ascii="Calibri" w:cs="Calibri" w:eastAsia="Calibri" w:hAnsi="Calibri"/>
          <w:sz w:val="19"/>
          <w:szCs w:val="19"/>
        </w:rPr>
        <w:t xml:space="preserve"> shape platform, data and AI investment with the CEO, Group CTO and CFO, balancing value, risk, security and regulatory obligations; own the group roadmap and backlog.</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compliance across STP2, Payday Super, IFRS/ISSB, CDR, PayTo, Peppol and NPP; ISO 27001:2022.</w:t>
      </w:r>
    </w:p>
    <w:p>
      <w:pPr>
        <w:pStyle w:val="ListParagraph"/>
        <w:numPr>
          <w:ilvl w:val="0"/>
          <w:numId w:val="2"/>
        </w:numPr>
        <w:spacing w:after="30" w:line="236"/>
      </w:pPr>
      <w:r>
        <w:rPr>
          <w:rFonts w:ascii="Calibri" w:cs="Calibri" w:eastAsia="Calibri" w:hAnsi="Calibri"/>
          <w:b/>
          <w:bCs/>
          <w:sz w:val="19"/>
          <w:szCs w:val="19"/>
        </w:rPr>
        <w:t xml:space="preserve">AI transformation:</w:t>
      </w:r>
      <w:r>
        <w:rPr>
          <w:rFonts w:ascii="Calibri" w:cs="Calibri" w:eastAsia="Calibri" w:hAnsi="Calibri"/>
          <w:sz w:val="19"/>
          <w:szCs w:val="19"/>
        </w:rPr>
        <w:t xml:space="preserve"> leading AWS AI-PDLC adoption, cutting end-to-end delivery from months to weeks; established responsible AI policy and governed adoption across squads.</w:t>
      </w:r>
    </w:p>
    <w:p>
      <w:pPr>
        <w:pStyle w:val="ListParagraph"/>
        <w:numPr>
          <w:ilvl w:val="0"/>
          <w:numId w:val="2"/>
        </w:numPr>
        <w:spacing w:after="30" w:line="236"/>
      </w:pPr>
      <w:r>
        <w:rPr>
          <w:rFonts w:ascii="Calibri" w:cs="Calibri" w:eastAsia="Calibri" w:hAnsi="Calibri"/>
          <w:b/>
          <w:bCs/>
          <w:sz w:val="19"/>
          <w:szCs w:val="19"/>
        </w:rPr>
        <w:t xml:space="preserve">Data leadership:</w:t>
      </w:r>
      <w:r>
        <w:rPr>
          <w:rFonts w:ascii="Calibri" w:cs="Calibri" w:eastAsia="Calibri" w:hAnsi="Calibri"/>
          <w:sz w:val="19"/>
          <w:szCs w:val="19"/>
        </w:rPr>
        <w:t xml:space="preserve"> accountable for Enterprise Data and Reporting across sales, retention, product performance and customer insights, including controlled Board, remuneration and workforce reporting.</w:t>
      </w:r>
    </w:p>
    <w:p>
      <w:pPr>
        <w:pStyle w:val="ListParagraph"/>
        <w:numPr>
          <w:ilvl w:val="0"/>
          <w:numId w:val="2"/>
        </w:numPr>
        <w:spacing w:after="30" w:line="236"/>
      </w:pPr>
      <w:r>
        <w:rPr>
          <w:rFonts w:ascii="Calibri" w:cs="Calibri" w:eastAsia="Calibri" w:hAnsi="Calibri"/>
          <w:b/>
          <w:bCs/>
          <w:sz w:val="19"/>
          <w:szCs w:val="19"/>
        </w:rPr>
        <w:t xml:space="preserve">Data platform:</w:t>
      </w:r>
      <w:r>
        <w:rPr>
          <w:rFonts w:ascii="Calibri" w:cs="Calibri" w:eastAsia="Calibri" w:hAnsi="Calibri"/>
          <w:sz w:val="19"/>
          <w:szCs w:val="19"/>
        </w:rPr>
        <w:t xml:space="preserve"> implemented shared-data platforms supporting customer reporting and governed third-party access through Power BI, Fabric, Snowflake and MCP.</w:t>
      </w:r>
    </w:p>
    <w:p>
      <w:pPr>
        <w:pStyle w:val="ListParagraph"/>
        <w:numPr>
          <w:ilvl w:val="0"/>
          <w:numId w:val="2"/>
        </w:numPr>
        <w:spacing w:after="30" w:line="236"/>
      </w:pPr>
      <w:r>
        <w:rPr>
          <w:rFonts w:ascii="Calibri" w:cs="Calibri" w:eastAsia="Calibri" w:hAnsi="Calibri"/>
          <w:b/>
          <w:bCs/>
          <w:sz w:val="19"/>
          <w:szCs w:val="19"/>
        </w:rPr>
        <w:t xml:space="preserve">In-product AI:</w:t>
      </w:r>
      <w:r>
        <w:rPr>
          <w:rFonts w:ascii="Calibri" w:cs="Calibri" w:eastAsia="Calibri" w:hAnsi="Calibri"/>
          <w:sz w:val="19"/>
          <w:szCs w:val="19"/>
        </w:rPr>
        <w:t xml:space="preserve"> embedded AI into Reckon One for onboarding, bank reconciliation, and insights and anomaly detection, alongside an in-app AI assistant.</w:t>
      </w:r>
    </w:p>
    <w:p>
      <w:pPr>
        <w:pStyle w:val="ListParagraph"/>
        <w:numPr>
          <w:ilvl w:val="0"/>
          <w:numId w:val="2"/>
        </w:numPr>
        <w:spacing w:after="30" w:line="236"/>
      </w:pPr>
      <w:r>
        <w:rPr>
          <w:rFonts w:ascii="Calibri" w:cs="Calibri" w:eastAsia="Calibri" w:hAnsi="Calibri"/>
          <w:b/>
          <w:bCs/>
          <w:sz w:val="19"/>
          <w:szCs w:val="19"/>
        </w:rPr>
        <w:t xml:space="preserve">Product strategy:</w:t>
      </w:r>
      <w:r>
        <w:rPr>
          <w:rFonts w:ascii="Calibri" w:cs="Calibri" w:eastAsia="Calibri" w:hAnsi="Calibri"/>
          <w:sz w:val="19"/>
          <w:szCs w:val="19"/>
        </w:rPr>
        <w:t xml:space="preserve"> shaped ReckonX, the multi-year strategy consolidating ~70k customers onto Reckon One and mobile apps.</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portfolio delivery across invoicing, payroll, payments, banking and workforce management.</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Dec 2023 – Dec 2024</w:t>
      </w:r>
    </w:p>
    <w:p>
      <w:pPr>
        <w:keepNext/>
        <w:spacing w:after="50"/>
      </w:pPr>
      <w:r>
        <w:rPr>
          <w:rFonts w:ascii="Calibri" w:cs="Calibri" w:eastAsia="Calibri" w:hAnsi="Calibri"/>
          <w:b/>
          <w:bCs/>
          <w:sz w:val="19"/>
          <w:szCs w:val="19"/>
        </w:rPr>
        <w:t xml:space="preserve">Cashflow Manager</w:t>
      </w:r>
      <w:r>
        <w:rPr>
          <w:rFonts w:ascii="Calibri" w:cs="Calibri" w:eastAsia="Calibri" w:hAnsi="Calibri"/>
          <w:i/>
          <w:iCs/>
          <w:sz w:val="19"/>
          <w:szCs w:val="19"/>
        </w:rPr>
        <w:t xml:space="preserve"> · Adelaide, SA — accounting SaaS 400,000+ units sold worldwide</w:t>
      </w:r>
    </w:p>
    <w:p>
      <w:pPr>
        <w:spacing w:after="50" w:line="240"/>
      </w:pPr>
      <w:r>
        <w:rPr>
          <w:rFonts w:ascii="Calibri" w:cs="Calibri" w:eastAsia="Calibri" w:hAnsi="Calibri"/>
          <w:sz w:val="19"/>
          <w:szCs w:val="19"/>
        </w:rPr>
        <w:t xml:space="preserve">Led technology, product, service, marketing and operational teams (~45 FTE) across Cashflow Manager, Wages Manager, Inner Circle and okke, culminating in Reckon's acquisition of the business and appointment to group product leadership.</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alignment for Open Banking and uplift of ISO 27001 to the 2022 cyber security standard.</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repositioned and consolidated operational teams, materially reducing overheads; renegotiated key contracts and strengthened delivery accountability.</w:t>
      </w:r>
    </w:p>
    <w:p>
      <w:pPr>
        <w:pStyle w:val="ListParagraph"/>
        <w:numPr>
          <w:ilvl w:val="0"/>
          <w:numId w:val="2"/>
        </w:numPr>
        <w:spacing w:after="30" w:line="236"/>
      </w:pPr>
      <w:r>
        <w:rPr>
          <w:rFonts w:ascii="Calibri" w:cs="Calibri" w:eastAsia="Calibri" w:hAnsi="Calibri"/>
          <w:b/>
          <w:bCs/>
          <w:sz w:val="19"/>
          <w:szCs w:val="19"/>
        </w:rPr>
        <w:t xml:space="preserve">Enterprise systems:</w:t>
      </w:r>
      <w:r>
        <w:rPr>
          <w:rFonts w:ascii="Calibri" w:cs="Calibri" w:eastAsia="Calibri" w:hAnsi="Calibri"/>
          <w:sz w:val="19"/>
          <w:szCs w:val="19"/>
        </w:rPr>
        <w:t xml:space="preserve"> rapid CRM migration from Salesforce to Zoho with 3CX unified communications, bookings and chat.</w:t>
      </w:r>
    </w:p>
    <w:p>
      <w:pPr>
        <w:pStyle w:val="ListParagraph"/>
        <w:numPr>
          <w:ilvl w:val="0"/>
          <w:numId w:val="2"/>
        </w:numPr>
        <w:spacing w:after="30" w:line="236"/>
      </w:pPr>
      <w:r>
        <w:rPr>
          <w:rFonts w:ascii="Calibri" w:cs="Calibri" w:eastAsia="Calibri" w:hAnsi="Calibri"/>
          <w:b/>
          <w:bCs/>
          <w:sz w:val="19"/>
          <w:szCs w:val="19"/>
        </w:rPr>
        <w:t xml:space="preserve">AI and analytics:</w:t>
      </w:r>
      <w:r>
        <w:rPr>
          <w:rFonts w:ascii="Calibri" w:cs="Calibri" w:eastAsia="Calibri" w:hAnsi="Calibri"/>
          <w:sz w:val="19"/>
          <w:szCs w:val="19"/>
        </w:rPr>
        <w:t xml:space="preserve"> introduced analytics for digital marketing spend using Twilio Segment, reducing cost of acquisition by ~25%.</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launched the okke mobile app and white-labelled Companion App; reset product vision around market demand and subscriber behaviour using OKRs and OGSM.</w:t>
      </w:r>
    </w:p>
    <w:p>
      <w:pPr>
        <w:keepNext/>
        <w:tabs>
          <w:tab w:val="right" w:pos="10466"/>
        </w:tabs>
        <w:spacing w:after="0" w:before="90"/>
      </w:pPr>
      <w:r>
        <w:rPr>
          <w:rFonts w:ascii="Calibri" w:cs="Calibri" w:eastAsia="Calibri" w:hAnsi="Calibri"/>
          <w:b/>
          <w:bCs/>
          <w:color w:val="1F4E5F"/>
          <w:sz w:val="20"/>
          <w:szCs w:val="20"/>
        </w:rPr>
        <w:t xml:space="preserve">CTO / Senior Vice President Information Technology</w:t>
      </w:r>
      <w:r>
        <w:rPr>
          <w:rFonts w:ascii="Calibri" w:cs="Calibri" w:eastAsia="Calibri" w:hAnsi="Calibri"/>
          <w:b/>
          <w:bCs/>
          <w:sz w:val="19"/>
          <w:szCs w:val="19"/>
        </w:rPr>
        <w:t xml:space="preserve">	Jan 2021 – Dec 2023</w:t>
      </w:r>
    </w:p>
    <w:p>
      <w:pPr>
        <w:keepNext/>
        <w:spacing w:after="50"/>
      </w:pPr>
      <w:r>
        <w:rPr>
          <w:rFonts w:ascii="Calibri" w:cs="Calibri" w:eastAsia="Calibri" w:hAnsi="Calibri"/>
          <w:b/>
          <w:bCs/>
          <w:sz w:val="19"/>
          <w:szCs w:val="19"/>
        </w:rPr>
        <w:t xml:space="preserve">EduCo International Group</w:t>
      </w:r>
      <w:r>
        <w:rPr>
          <w:rFonts w:ascii="Calibri" w:cs="Calibri" w:eastAsia="Calibri" w:hAnsi="Calibri"/>
          <w:i/>
          <w:iCs/>
          <w:sz w:val="19"/>
          <w:szCs w:val="19"/>
        </w:rPr>
        <w:t xml:space="preserve"> · Australia / global — Education group (BPEA EQT); BPO &amp; payments</w:t>
      </w:r>
    </w:p>
    <w:p>
      <w:pPr>
        <w:spacing w:after="50" w:line="240"/>
      </w:pPr>
      <w:r>
        <w:rPr>
          <w:rFonts w:ascii="Calibri" w:cs="Calibri" w:eastAsia="Calibri" w:hAnsi="Calibri"/>
          <w:sz w:val="19"/>
          <w:szCs w:val="19"/>
        </w:rPr>
        <w:t xml:space="preserve">Executive board member reporting to the CEO and BPEA EQT board, accountable for Technology, Data and Marketing across EduCo and its acquired universities, including BI, data engineering, analytics, cloud infrastructure and AI-enabled products.</w:t>
      </w:r>
    </w:p>
    <w:p>
      <w:pPr>
        <w:pStyle w:val="ListParagraph"/>
        <w:numPr>
          <w:ilvl w:val="0"/>
          <w:numId w:val="2"/>
        </w:numPr>
        <w:spacing w:after="30" w:line="236"/>
      </w:pPr>
      <w:r>
        <w:rPr>
          <w:rFonts w:ascii="Calibri" w:cs="Calibri" w:eastAsia="Calibri" w:hAnsi="Calibri"/>
          <w:b/>
          <w:bCs/>
          <w:sz w:val="19"/>
          <w:szCs w:val="19"/>
        </w:rPr>
        <w:t xml:space="preserve">Governance and security:</w:t>
      </w:r>
      <w:r>
        <w:rPr>
          <w:rFonts w:ascii="Calibri" w:cs="Calibri" w:eastAsia="Calibri" w:hAnsi="Calibri"/>
          <w:sz w:val="19"/>
          <w:szCs w:val="19"/>
        </w:rPr>
        <w:t xml:space="preserve"> managed sensitive identity, academic and financial data across jurisdictions under GDPR and ISO 27001 controls; established an ISMF spanning cyber security, risk and incident management.</w:t>
      </w:r>
    </w:p>
    <w:p>
      <w:pPr>
        <w:pStyle w:val="ListParagraph"/>
        <w:numPr>
          <w:ilvl w:val="0"/>
          <w:numId w:val="2"/>
        </w:numPr>
        <w:spacing w:after="30" w:line="236"/>
      </w:pPr>
      <w:r>
        <w:rPr>
          <w:rFonts w:ascii="Calibri" w:cs="Calibri" w:eastAsia="Calibri" w:hAnsi="Calibri"/>
          <w:b/>
          <w:bCs/>
          <w:sz w:val="19"/>
          <w:szCs w:val="19"/>
        </w:rPr>
        <w:t xml:space="preserve">Global leadership:</w:t>
      </w:r>
      <w:r>
        <w:rPr>
          <w:rFonts w:ascii="Calibri" w:cs="Calibri" w:eastAsia="Calibri" w:hAnsi="Calibri"/>
          <w:sz w:val="19"/>
          <w:szCs w:val="19"/>
        </w:rPr>
        <w:t xml:space="preserve"> distributed team (~40-60 FTE) spanning product development, BI, cloud infrastructure and cyber security.</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modernised core and LOB platforms; migrated to MS365; consolidated technology suppliers.</w:t>
      </w:r>
    </w:p>
    <w:p>
      <w:pPr>
        <w:pStyle w:val="ListParagraph"/>
        <w:numPr>
          <w:ilvl w:val="0"/>
          <w:numId w:val="2"/>
        </w:numPr>
        <w:spacing w:after="30" w:line="236"/>
      </w:pPr>
      <w:r>
        <w:rPr>
          <w:rFonts w:ascii="Calibri" w:cs="Calibri" w:eastAsia="Calibri" w:hAnsi="Calibri"/>
          <w:b/>
          <w:bCs/>
          <w:sz w:val="19"/>
          <w:szCs w:val="19"/>
        </w:rPr>
        <w:t xml:space="preserve">Data and commercial:</w:t>
      </w:r>
      <w:r>
        <w:rPr>
          <w:rFonts w:ascii="Calibri" w:cs="Calibri" w:eastAsia="Calibri" w:hAnsi="Calibri"/>
          <w:sz w:val="19"/>
          <w:szCs w:val="19"/>
        </w:rPr>
        <w:t xml:space="preserve"> implemented next-generation AI, BI and Data Insights capabilities, contributing to a 22% reduction in OPEX and customer-acquisition costs.</w:t>
      </w:r>
    </w:p>
    <w:p>
      <w:pPr>
        <w:pStyle w:val="ListParagraph"/>
        <w:numPr>
          <w:ilvl w:val="0"/>
          <w:numId w:val="2"/>
        </w:numPr>
        <w:spacing w:after="30" w:line="236"/>
      </w:pPr>
      <w:r>
        <w:rPr>
          <w:rFonts w:ascii="Calibri" w:cs="Calibri" w:eastAsia="Calibri" w:hAnsi="Calibri"/>
          <w:b/>
          <w:bCs/>
          <w:sz w:val="19"/>
          <w:szCs w:val="19"/>
        </w:rPr>
        <w:t xml:space="preserve">M&amp;A and strategy:</w:t>
      </w:r>
      <w:r>
        <w:rPr>
          <w:rFonts w:ascii="Calibri" w:cs="Calibri" w:eastAsia="Calibri" w:hAnsi="Calibri"/>
          <w:sz w:val="19"/>
          <w:szCs w:val="19"/>
        </w:rPr>
        <w:t xml:space="preserve"> used IT Blueprint for tech &amp; data due diligence, integration and divestiture across ANZ, UK, CAN and USA.</w:t>
      </w:r>
    </w:p>
    <w:p>
      <w:pPr>
        <w:pStyle w:val="ListParagraph"/>
        <w:numPr>
          <w:ilvl w:val="0"/>
          <w:numId w:val="2"/>
        </w:numPr>
        <w:spacing w:after="30" w:line="236"/>
      </w:pPr>
      <w:r>
        <w:rPr>
          <w:rFonts w:ascii="Calibri" w:cs="Calibri" w:eastAsia="Calibri" w:hAnsi="Calibri"/>
          <w:b/>
          <w:bCs/>
          <w:sz w:val="19"/>
          <w:szCs w:val="19"/>
        </w:rPr>
        <w:t xml:space="preserve">Accelerate platform:</w:t>
      </w:r>
      <w:r>
        <w:rPr>
          <w:rFonts w:ascii="Calibri" w:cs="Calibri" w:eastAsia="Calibri" w:hAnsi="Calibri"/>
          <w:sz w:val="19"/>
          <w:szCs w:val="19"/>
        </w:rPr>
        <w:t xml:space="preserve"> launched a high-volume data and AI platform that vetted and ranked student applications on eligibility, academic authenticity and visa likelihood, with integrated payments, escrow, commissions and BPO workflows.</w:t>
      </w:r>
    </w:p>
    <w:p>
      <w:pPr>
        <w:pStyle w:val="ListParagraph"/>
        <w:numPr>
          <w:ilvl w:val="0"/>
          <w:numId w:val="2"/>
        </w:numPr>
        <w:spacing w:after="30" w:line="236"/>
      </w:pPr>
      <w:r>
        <w:rPr>
          <w:rFonts w:ascii="Calibri" w:cs="Calibri" w:eastAsia="Calibri" w:hAnsi="Calibri"/>
          <w:b/>
          <w:bCs/>
          <w:sz w:val="19"/>
          <w:szCs w:val="19"/>
        </w:rPr>
        <w:t xml:space="preserve">Platform delivery:</w:t>
      </w:r>
      <w:r>
        <w:rPr>
          <w:rFonts w:ascii="Calibri" w:cs="Calibri" w:eastAsia="Calibri" w:hAnsi="Calibri"/>
          <w:sz w:val="19"/>
          <w:szCs w:val="19"/>
        </w:rPr>
        <w:t xml:space="preserve"> took Accelerate from inception to launch in under six months, integrating admissions and student-acquisition workflows with CRM, ERP, finance and university systems.</w:t>
      </w:r>
    </w:p>
    <w:p>
      <w:pPr>
        <w:keepNext/>
        <w:tabs>
          <w:tab w:val="right" w:pos="10466"/>
        </w:tabs>
        <w:spacing w:after="0" w:before="90"/>
      </w:pPr>
      <w:r>
        <w:rPr>
          <w:rFonts w:ascii="Calibri" w:cs="Calibri" w:eastAsia="Calibri" w:hAnsi="Calibri"/>
          <w:b/>
          <w:bCs/>
          <w:color w:val="1F4E5F"/>
          <w:sz w:val="20"/>
          <w:szCs w:val="20"/>
        </w:rPr>
        <w:t xml:space="preserve">Director of Information Service and Technologies</w:t>
      </w:r>
      <w:r>
        <w:rPr>
          <w:rFonts w:ascii="Calibri" w:cs="Calibri" w:eastAsia="Calibri" w:hAnsi="Calibri"/>
          <w:b/>
          <w:bCs/>
          <w:sz w:val="19"/>
          <w:szCs w:val="19"/>
        </w:rPr>
        <w:t xml:space="preserve">	Apr 2017 – Jan 2021</w:t>
      </w:r>
    </w:p>
    <w:p>
      <w:pPr>
        <w:keepNext/>
        <w:spacing w:after="50"/>
      </w:pPr>
      <w:r>
        <w:rPr>
          <w:rFonts w:ascii="Calibri" w:cs="Calibri" w:eastAsia="Calibri" w:hAnsi="Calibri"/>
          <w:b/>
          <w:bCs/>
          <w:sz w:val="19"/>
          <w:szCs w:val="19"/>
        </w:rPr>
        <w:t xml:space="preserve">Australian Institute of Business</w:t>
      </w:r>
      <w:r>
        <w:rPr>
          <w:rFonts w:ascii="Calibri" w:cs="Calibri" w:eastAsia="Calibri" w:hAnsi="Calibri"/>
          <w:i/>
          <w:iCs/>
          <w:sz w:val="19"/>
          <w:szCs w:val="19"/>
        </w:rPr>
        <w:t xml:space="preserve"> · Adelaide, SA — Australia's #1 MBA provider, 100% online</w:t>
      </w:r>
    </w:p>
    <w:p>
      <w:pPr>
        <w:spacing w:after="50" w:line="240"/>
      </w:pPr>
      <w:r>
        <w:rPr>
          <w:rFonts w:ascii="Calibri" w:cs="Calibri" w:eastAsia="Calibri" w:hAnsi="Calibri"/>
          <w:sz w:val="19"/>
          <w:szCs w:val="19"/>
        </w:rPr>
        <w:t xml:space="preserve">Executive team accountability for technology, data, cyber security and transformation across a national online university.</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AIB's transformation from teaching centre / distance learning to Australia's #1 online Higher-Ed provider — re-platforming the majority of key systems.</w:t>
      </w:r>
    </w:p>
    <w:p>
      <w:pPr>
        <w:pStyle w:val="ListParagraph"/>
        <w:numPr>
          <w:ilvl w:val="0"/>
          <w:numId w:val="2"/>
        </w:numPr>
        <w:spacing w:after="30" w:line="236"/>
      </w:pPr>
      <w:r>
        <w:rPr>
          <w:rFonts w:ascii="Calibri" w:cs="Calibri" w:eastAsia="Calibri" w:hAnsi="Calibri"/>
          <w:b/>
          <w:bCs/>
          <w:sz w:val="19"/>
          <w:szCs w:val="19"/>
        </w:rPr>
        <w:t xml:space="preserve">Crisis resilience:</w:t>
      </w:r>
      <w:r>
        <w:rPr>
          <w:rFonts w:ascii="Calibri" w:cs="Calibri" w:eastAsia="Calibri" w:hAnsi="Calibri"/>
          <w:sz w:val="19"/>
          <w:szCs w:val="19"/>
        </w:rPr>
        <w:t xml:space="preserve"> 100% cloud migration in under 6 months, enabling company-wide WFH through COVID-19; full VOIP replacement with omni-channel, IVR, and ML/AI routing.</w:t>
      </w:r>
    </w:p>
    <w:p>
      <w:pPr>
        <w:pStyle w:val="ListParagraph"/>
        <w:numPr>
          <w:ilvl w:val="0"/>
          <w:numId w:val="2"/>
        </w:numPr>
        <w:spacing w:after="30" w:line="236"/>
      </w:pPr>
      <w:r>
        <w:rPr>
          <w:rFonts w:ascii="Calibri" w:cs="Calibri" w:eastAsia="Calibri" w:hAnsi="Calibri"/>
          <w:b/>
          <w:bCs/>
          <w:sz w:val="19"/>
          <w:szCs w:val="19"/>
        </w:rPr>
        <w:t xml:space="preserve">Commercial:</w:t>
      </w:r>
      <w:r>
        <w:rPr>
          <w:rFonts w:ascii="Calibri" w:cs="Calibri" w:eastAsia="Calibri" w:hAnsi="Calibri"/>
          <w:sz w:val="19"/>
          <w:szCs w:val="19"/>
        </w:rPr>
        <w:t xml:space="preserve"> significantly reduced operating cost and risk, including recovering $1.3m through supplier renegotiation.</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aligned with TEQSA, FEE-HELP and TCSI; delivered compliant online proctoring and a full Finance System replacement with five-year reconciliation.</w:t>
      </w:r>
    </w:p>
    <w:p>
      <w:pPr>
        <w:pStyle w:val="ListParagraph"/>
        <w:numPr>
          <w:ilvl w:val="0"/>
          <w:numId w:val="2"/>
        </w:numPr>
        <w:spacing w:after="30" w:line="236"/>
      </w:pPr>
      <w:r>
        <w:rPr>
          <w:rFonts w:ascii="Calibri" w:cs="Calibri" w:eastAsia="Calibri" w:hAnsi="Calibri"/>
          <w:b/>
          <w:bCs/>
          <w:sz w:val="19"/>
          <w:szCs w:val="19"/>
        </w:rPr>
        <w:t xml:space="preserve">Data and analytics:</w:t>
      </w:r>
      <w:r>
        <w:rPr>
          <w:rFonts w:ascii="Calibri" w:cs="Calibri" w:eastAsia="Calibri" w:hAnsi="Calibri"/>
          <w:sz w:val="19"/>
          <w:szCs w:val="19"/>
        </w:rPr>
        <w:t xml:space="preserve"> introduced enterprise reporting, data-lake and analytics capability using Power BI, AWS and Salesforce Einstein, supporting executive insight, student analytics and operational decision-making.</w:t>
      </w:r>
    </w:p>
    <w:p>
      <w:pPr>
        <w:keepNext/>
        <w:tabs>
          <w:tab w:val="right" w:pos="10466"/>
        </w:tabs>
        <w:spacing w:after="0" w:before="90"/>
      </w:pPr>
      <w:r>
        <w:rPr>
          <w:rFonts w:ascii="Calibri" w:cs="Calibri" w:eastAsia="Calibri" w:hAnsi="Calibri"/>
          <w:b/>
          <w:bCs/>
          <w:color w:val="1F4E5F"/>
          <w:sz w:val="20"/>
          <w:szCs w:val="20"/>
        </w:rPr>
        <w:t xml:space="preserve">Interim – APAC IT, Delivery and Implementation</w:t>
      </w:r>
      <w:r>
        <w:rPr>
          <w:rFonts w:ascii="Calibri" w:cs="Calibri" w:eastAsia="Calibri" w:hAnsi="Calibri"/>
          <w:b/>
          <w:bCs/>
          <w:sz w:val="19"/>
          <w:szCs w:val="19"/>
        </w:rPr>
        <w:t xml:space="preserve">	Sep 2016 – Apr 2017</w:t>
      </w:r>
    </w:p>
    <w:p>
      <w:pPr>
        <w:keepNext/>
        <w:spacing w:after="50"/>
      </w:pPr>
      <w:r>
        <w:rPr>
          <w:rFonts w:ascii="Calibri" w:cs="Calibri" w:eastAsia="Calibri" w:hAnsi="Calibri"/>
          <w:b/>
          <w:bCs/>
          <w:sz w:val="19"/>
          <w:szCs w:val="19"/>
        </w:rPr>
        <w:t xml:space="preserve">Infonetica</w:t>
      </w:r>
      <w:r>
        <w:rPr>
          <w:rFonts w:ascii="Calibri" w:cs="Calibri" w:eastAsia="Calibri" w:hAnsi="Calibri"/>
          <w:i/>
          <w:iCs/>
          <w:sz w:val="19"/>
          <w:szCs w:val="19"/>
        </w:rPr>
        <w:t xml:space="preserve"> · Sydney / Toronto / London — research, ethics approval &amp; compliance software</w:t>
      </w:r>
    </w:p>
    <w:p>
      <w:pPr>
        <w:spacing w:after="80" w:line="240"/>
      </w:pPr>
      <w:r>
        <w:rPr>
          <w:rFonts w:ascii="Calibri" w:cs="Calibri" w:eastAsia="Calibri" w:hAnsi="Calibri"/>
          <w:sz w:val="19"/>
          <w:szCs w:val="19"/>
        </w:rPr>
        <w:t xml:space="preserve">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Jun 2015 – Sep 2016</w:t>
      </w:r>
    </w:p>
    <w:p>
      <w:pPr>
        <w:keepNext/>
        <w:spacing w:after="50"/>
      </w:pPr>
      <w:r>
        <w:rPr>
          <w:rFonts w:ascii="Calibri" w:cs="Calibri" w:eastAsia="Calibri" w:hAnsi="Calibri"/>
          <w:b/>
          <w:bCs/>
          <w:sz w:val="19"/>
          <w:szCs w:val="19"/>
        </w:rPr>
        <w:t xml:space="preserve">Totemic Group / PayPlan / PayLink Solutions</w:t>
      </w:r>
      <w:r>
        <w:rPr>
          <w:rFonts w:ascii="Calibri" w:cs="Calibri" w:eastAsia="Calibri" w:hAnsi="Calibri"/>
          <w:i/>
          <w:iCs/>
          <w:sz w:val="19"/>
          <w:szCs w:val="19"/>
        </w:rPr>
        <w:t xml:space="preserve"> · UK — financial services group; headless banking and B2B platforms</w:t>
      </w:r>
    </w:p>
    <w:p>
      <w:pPr>
        <w:spacing w:after="50" w:line="240"/>
      </w:pPr>
      <w:r>
        <w:rPr>
          <w:rFonts w:ascii="Calibri" w:cs="Calibri" w:eastAsia="Calibri" w:hAnsi="Calibri"/>
          <w:sz w:val="19"/>
          <w:szCs w:val="19"/>
        </w:rPr>
        <w:t xml:space="preserve">Group CTO for technology, product and delivery across regulated debt management, payments and B2B banking platforms.</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guided business units through FCA certification, ISO 27001 and PCI-DSS compliance.</w:t>
      </w:r>
    </w:p>
    <w:p>
      <w:pPr>
        <w:pStyle w:val="ListParagraph"/>
        <w:numPr>
          <w:ilvl w:val="0"/>
          <w:numId w:val="2"/>
        </w:numPr>
        <w:spacing w:after="30" w:line="236"/>
      </w:pPr>
      <w:r>
        <w:rPr>
          <w:rFonts w:ascii="Calibri" w:cs="Calibri" w:eastAsia="Calibri" w:hAnsi="Calibri"/>
          <w:b/>
          <w:bCs/>
          <w:sz w:val="19"/>
          <w:szCs w:val="19"/>
        </w:rPr>
        <w:t xml:space="preserve">Headless banking platform:</w:t>
      </w:r>
      <w:r>
        <w:rPr>
          <w:rFonts w:ascii="Calibri" w:cs="Calibri" w:eastAsia="Calibri" w:hAnsi="Calibri"/>
          <w:sz w:val="19"/>
          <w:szCs w:val="19"/>
        </w:rPr>
        <w:t xml:space="preserve"> conceived and launched Embark™, supporting customer ledgers, collections, payment distribution, affordability and regulatory reporting; adopted by PayPal, NatWest, Santander and other major institutions; EBITDA-positive in year one.</w:t>
      </w:r>
    </w:p>
    <w:p>
      <w:pPr>
        <w:pStyle w:val="ListParagraph"/>
        <w:numPr>
          <w:ilvl w:val="0"/>
          <w:numId w:val="2"/>
        </w:numPr>
        <w:spacing w:after="30" w:line="236"/>
      </w:pPr>
      <w:r>
        <w:rPr>
          <w:rFonts w:ascii="Calibri" w:cs="Calibri" w:eastAsia="Calibri" w:hAnsi="Calibri"/>
          <w:b/>
          <w:bCs/>
          <w:sz w:val="19"/>
          <w:szCs w:val="19"/>
        </w:rPr>
        <w:t xml:space="preserve">Platform modernisation:</w:t>
      </w:r>
      <w:r>
        <w:rPr>
          <w:rFonts w:ascii="Calibri" w:cs="Calibri" w:eastAsia="Calibri" w:hAnsi="Calibri"/>
          <w:sz w:val="19"/>
          <w:szCs w:val="19"/>
        </w:rPr>
        <w:t xml:space="preserve"> replaced legacy Oracle Forms and Reports; delivered the PayPlanPlus companion app.</w:t>
      </w:r>
    </w:p>
    <w:p>
      <w:pPr>
        <w:pStyle w:val="ListParagraph"/>
        <w:numPr>
          <w:ilvl w:val="0"/>
          <w:numId w:val="2"/>
        </w:numPr>
        <w:spacing w:after="30" w:line="236"/>
      </w:pPr>
      <w:r>
        <w:rPr>
          <w:rFonts w:ascii="Calibri" w:cs="Calibri" w:eastAsia="Calibri" w:hAnsi="Calibri"/>
          <w:b/>
          <w:bCs/>
          <w:sz w:val="19"/>
          <w:szCs w:val="19"/>
        </w:rPr>
        <w:t xml:space="preserve">AI and automation:</w:t>
      </w:r>
      <w:r>
        <w:rPr>
          <w:rFonts w:ascii="Calibri" w:cs="Calibri" w:eastAsia="Calibri" w:hAnsi="Calibri"/>
          <w:sz w:val="19"/>
          <w:szCs w:val="19"/>
        </w:rPr>
        <w:t xml:space="preserve"> early NLP for correspondence tone and urgency detection; Kofax bank-statement interpretation; OCR and Open Banking feeds automated financial-data capture and assessment.</w:t>
      </w:r>
    </w:p>
    <w:p>
      <w:pPr>
        <w:keepNext/>
        <w:tabs>
          <w:tab w:val="right" w:pos="10466"/>
        </w:tabs>
        <w:spacing w:after="0" w:before="90"/>
      </w:pPr>
      <w:r>
        <w:rPr>
          <w:rFonts w:ascii="Calibri" w:cs="Calibri" w:eastAsia="Calibri" w:hAnsi="Calibri"/>
          <w:b/>
          <w:bCs/>
          <w:color w:val="1F4E5F"/>
          <w:sz w:val="20"/>
          <w:szCs w:val="20"/>
        </w:rPr>
        <w:t xml:space="preserve">Group IT Development Director</w:t>
      </w:r>
      <w:r>
        <w:rPr>
          <w:rFonts w:ascii="Calibri" w:cs="Calibri" w:eastAsia="Calibri" w:hAnsi="Calibri"/>
          <w:b/>
          <w:bCs/>
          <w:sz w:val="19"/>
          <w:szCs w:val="19"/>
        </w:rPr>
        <w:t xml:space="preserve">	Oct 2013 – Jun 2015</w:t>
      </w:r>
    </w:p>
    <w:p>
      <w:pPr>
        <w:keepNext/>
        <w:spacing w:after="50"/>
      </w:pPr>
      <w:r>
        <w:rPr>
          <w:rFonts w:ascii="Calibri" w:cs="Calibri" w:eastAsia="Calibri" w:hAnsi="Calibri"/>
          <w:b/>
          <w:bCs/>
          <w:sz w:val="19"/>
          <w:szCs w:val="19"/>
        </w:rPr>
        <w:t xml:space="preserve">EMIS Group</w:t>
      </w:r>
      <w:r>
        <w:rPr>
          <w:rFonts w:ascii="Calibri" w:cs="Calibri" w:eastAsia="Calibri" w:hAnsi="Calibri"/>
          <w:i/>
          <w:iCs/>
          <w:sz w:val="19"/>
          <w:szCs w:val="19"/>
        </w:rPr>
        <w:t xml:space="preserve"> · UK / Poland / India — the UK's leading clinical software provider</w:t>
      </w:r>
    </w:p>
    <w:p>
      <w:pPr>
        <w:spacing w:after="50" w:line="240"/>
      </w:pPr>
      <w:r>
        <w:rPr>
          <w:rFonts w:ascii="Calibri" w:cs="Calibri" w:eastAsia="Calibri" w:hAnsi="Calibri"/>
          <w:sz w:val="19"/>
          <w:szCs w:val="19"/>
        </w:rPr>
        <w:t xml:space="preserve">Owned the strategic technology-product roadmap across EMIS Health, Ascribe, RX Systems and Patient.co.uk, supporting GPs, hospitals, community trusts and pharmacies across the NHS, Ministry of Defence, Europe, the Emirates and ANZ.</w:t>
      </w:r>
    </w:p>
    <w:p>
      <w:pPr>
        <w:pStyle w:val="ListParagraph"/>
        <w:numPr>
          <w:ilvl w:val="0"/>
          <w:numId w:val="2"/>
        </w:numPr>
        <w:spacing w:after="30" w:line="236"/>
      </w:pPr>
      <w:r>
        <w:rPr>
          <w:rFonts w:ascii="Calibri" w:cs="Calibri" w:eastAsia="Calibri" w:hAnsi="Calibri"/>
          <w:b/>
          <w:bCs/>
          <w:sz w:val="19"/>
          <w:szCs w:val="19"/>
        </w:rPr>
        <w:t xml:space="preserve">Clinical data governance:</w:t>
      </w:r>
      <w:r>
        <w:rPr>
          <w:rFonts w:ascii="Calibri" w:cs="Calibri" w:eastAsia="Calibri" w:hAnsi="Calibri"/>
          <w:sz w:val="19"/>
          <w:szCs w:val="19"/>
        </w:rPr>
        <w:t xml:space="preserve"> led within a highly secure national patient-record ecosystem requiring rigorous interoperability, access controls, information security, data quality and safety-critical delivery.</w:t>
      </w:r>
    </w:p>
    <w:p>
      <w:pPr>
        <w:pStyle w:val="ListParagraph"/>
        <w:numPr>
          <w:ilvl w:val="0"/>
          <w:numId w:val="2"/>
        </w:numPr>
        <w:spacing w:after="30" w:line="236"/>
      </w:pPr>
      <w:r>
        <w:rPr>
          <w:rFonts w:ascii="Calibri" w:cs="Calibri" w:eastAsia="Calibri" w:hAnsi="Calibri"/>
          <w:b/>
          <w:bCs/>
          <w:sz w:val="19"/>
          <w:szCs w:val="19"/>
        </w:rPr>
        <w:t xml:space="preserve">National-scale delivery:</w:t>
      </w:r>
      <w:r>
        <w:rPr>
          <w:rFonts w:ascii="Calibri" w:cs="Calibri" w:eastAsia="Calibri" w:hAnsi="Calibri"/>
          <w:sz w:val="19"/>
          <w:szCs w:val="19"/>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2"/>
        </w:numPr>
        <w:spacing w:after="30" w:line="236"/>
      </w:pPr>
      <w:r>
        <w:rPr>
          <w:rFonts w:ascii="Calibri" w:cs="Calibri" w:eastAsia="Calibri" w:hAnsi="Calibri"/>
          <w:b/>
          <w:bCs/>
          <w:sz w:val="19"/>
          <w:szCs w:val="19"/>
        </w:rPr>
        <w:t xml:space="preserve">Vendor and enterprise systems:</w:t>
      </w:r>
      <w:r>
        <w:rPr>
          <w:rFonts w:ascii="Calibri" w:cs="Calibri" w:eastAsia="Calibri" w:hAnsi="Calibri"/>
          <w:sz w:val="19"/>
          <w:szCs w:val="19"/>
        </w:rPr>
        <w:t xml:space="preserve"> led ERP and Finance system selection and replacement onto Microsoft Dynamics.</w:t>
      </w:r>
    </w:p>
    <w:p>
      <w:pPr>
        <w:pStyle w:val="ListParagraph"/>
        <w:numPr>
          <w:ilvl w:val="0"/>
          <w:numId w:val="2"/>
        </w:numPr>
        <w:spacing w:after="30" w:line="236"/>
      </w:pPr>
      <w:r>
        <w:rPr>
          <w:rFonts w:ascii="Calibri" w:cs="Calibri" w:eastAsia="Calibri" w:hAnsi="Calibri"/>
          <w:b/>
          <w:bCs/>
          <w:sz w:val="19"/>
          <w:szCs w:val="19"/>
        </w:rPr>
        <w:t xml:space="preserve">Global delivery:</w:t>
      </w:r>
      <w:r>
        <w:rPr>
          <w:rFonts w:ascii="Calibri" w:cs="Calibri" w:eastAsia="Calibri" w:hAnsi="Calibri"/>
          <w:sz w:val="19"/>
          <w:szCs w:val="19"/>
        </w:rPr>
        <w:t xml:space="preserve"> led distributed teams across the UK, Poland, India and Australia through matrix management, embedding domain expertise and continuous improvement across delivery centres.</w:t>
      </w:r>
    </w:p>
    <w:p>
      <w:pPr>
        <w:pStyle w:val="ListParagraph"/>
        <w:numPr>
          <w:ilvl w:val="0"/>
          <w:numId w:val="2"/>
        </w:numPr>
        <w:spacing w:after="30" w:line="236"/>
      </w:pPr>
      <w:r>
        <w:rPr>
          <w:rFonts w:ascii="Calibri" w:cs="Calibri" w:eastAsia="Calibri" w:hAnsi="Calibri"/>
          <w:b/>
          <w:bCs/>
          <w:sz w:val="19"/>
          <w:szCs w:val="19"/>
        </w:rPr>
        <w:t xml:space="preserve">Data and analytics products:</w:t>
      </w:r>
      <w:r>
        <w:rPr>
          <w:rFonts w:ascii="Calibri" w:cs="Calibri" w:eastAsia="Calibri" w:hAnsi="Calibri"/>
          <w:sz w:val="19"/>
          <w:szCs w:val="19"/>
        </w:rPr>
        <w:t xml:space="preserve"> delivered EMIS-X Analytics and Explorer for secure SQL/FHIR access to real-time patient data; PHM Pathfinder Analytics for population-health planning.</w:t>
      </w:r>
    </w:p>
    <w:p>
      <w:pPr>
        <w:pStyle w:val="ListParagraph"/>
        <w:numPr>
          <w:ilvl w:val="0"/>
          <w:numId w:val="2"/>
        </w:numPr>
        <w:spacing w:after="30" w:line="236"/>
      </w:pPr>
      <w:r>
        <w:rPr>
          <w:rFonts w:ascii="Calibri" w:cs="Calibri" w:eastAsia="Calibri" w:hAnsi="Calibri"/>
          <w:b/>
          <w:bCs/>
          <w:sz w:val="19"/>
          <w:szCs w:val="19"/>
        </w:rPr>
        <w:t xml:space="preserve">Product and innovation:</w:t>
      </w:r>
      <w:r>
        <w:rPr>
          <w:rFonts w:ascii="Calibri" w:cs="Calibri" w:eastAsia="Calibri" w:hAnsi="Calibri"/>
          <w:sz w:val="19"/>
          <w:szCs w:val="19"/>
        </w:rPr>
        <w:t xml:space="preserve"> launched EMIS Mobile and PatientAccess as an Apple iOS 8 HealthKit launch partner; R&amp;D included Virtual GP, AR and RFID-assisted bedside care.</w:t>
      </w:r>
    </w:p>
    <w:p>
      <w:pPr>
        <w:keepNext/>
        <w:tabs>
          <w:tab w:val="right" w:pos="10466"/>
        </w:tabs>
        <w:spacing w:after="0" w:before="90"/>
      </w:pPr>
      <w:r>
        <w:rPr>
          <w:rFonts w:ascii="Calibri" w:cs="Calibri" w:eastAsia="Calibri" w:hAnsi="Calibri"/>
          <w:b/>
          <w:bCs/>
          <w:color w:val="1F4E5F"/>
          <w:sz w:val="20"/>
          <w:szCs w:val="20"/>
        </w:rPr>
        <w:t xml:space="preserve">Head of IT, Development and Delivery</w:t>
      </w:r>
      <w:r>
        <w:rPr>
          <w:rFonts w:ascii="Calibri" w:cs="Calibri" w:eastAsia="Calibri" w:hAnsi="Calibri"/>
          <w:b/>
          <w:bCs/>
          <w:sz w:val="19"/>
          <w:szCs w:val="19"/>
        </w:rPr>
        <w:t xml:space="preserve">	Jul 2010 – Oct 2013</w:t>
      </w:r>
    </w:p>
    <w:p>
      <w:pPr>
        <w:keepNext/>
        <w:spacing w:after="50"/>
      </w:pPr>
      <w:r>
        <w:rPr>
          <w:rFonts w:ascii="Calibri" w:cs="Calibri" w:eastAsia="Calibri" w:hAnsi="Calibri"/>
          <w:b/>
          <w:bCs/>
          <w:sz w:val="19"/>
          <w:szCs w:val="19"/>
        </w:rPr>
        <w:t xml:space="preserve">CallCredit / TransUnion UK</w:t>
      </w:r>
      <w:r>
        <w:rPr>
          <w:rFonts w:ascii="Calibri" w:cs="Calibri" w:eastAsia="Calibri" w:hAnsi="Calibri"/>
          <w:i/>
          <w:iCs/>
          <w:sz w:val="19"/>
          <w:szCs w:val="19"/>
        </w:rPr>
        <w:t xml:space="preserve"> · UK / Lithuania — credit reference agency</w:t>
      </w:r>
    </w:p>
    <w:p>
      <w:pPr>
        <w:spacing w:after="50" w:line="240"/>
      </w:pPr>
      <w:r>
        <w:rPr>
          <w:rFonts w:ascii="Calibri" w:cs="Calibri" w:eastAsia="Calibri" w:hAnsi="Calibri"/>
          <w:sz w:val="19"/>
          <w:szCs w:val="19"/>
        </w:rPr>
        <w:t xml:space="preserve">Led IT, development and delivery within one of the UK's three major credit-reference agencies and its data products.</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ISO 9001, 14001, 27001, PCI-DSS and IOSH departmental audits in an environment where data accuracy, security and controlled access were fundamental.</w:t>
      </w:r>
    </w:p>
    <w:p>
      <w:pPr>
        <w:pStyle w:val="ListParagraph"/>
        <w:numPr>
          <w:ilvl w:val="0"/>
          <w:numId w:val="2"/>
        </w:numPr>
        <w:spacing w:after="30" w:line="236"/>
      </w:pPr>
      <w:r>
        <w:rPr>
          <w:rFonts w:ascii="Calibri" w:cs="Calibri" w:eastAsia="Calibri" w:hAnsi="Calibri"/>
          <w:b/>
          <w:bCs/>
          <w:sz w:val="19"/>
          <w:szCs w:val="19"/>
        </w:rPr>
        <w:t xml:space="preserve">Data platforms and products:</w:t>
      </w:r>
      <w:r>
        <w:rPr>
          <w:rFonts w:ascii="Calibri" w:cs="Calibri" w:eastAsia="Calibri" w:hAnsi="Calibri"/>
          <w:sz w:val="19"/>
          <w:szCs w:val="19"/>
        </w:rPr>
        <w:t xml:space="preserve"> led delivery across bureau-scale consumer and commercial datasets spanning credit, fraud, AML, affordability, identity, PFM, demographic/geospatial and financial products; launched Noddle™, the UK's first free consumer credit report, subsequently Credit Karma™ and now part of Intuit.</w:t>
      </w:r>
    </w:p>
    <w:p>
      <w:pPr>
        <w:pStyle w:val="ListParagraph"/>
        <w:numPr>
          <w:ilvl w:val="0"/>
          <w:numId w:val="2"/>
        </w:numPr>
        <w:spacing w:after="30" w:line="236"/>
      </w:pPr>
      <w:r>
        <w:rPr>
          <w:rFonts w:ascii="Calibri" w:cs="Calibri" w:eastAsia="Calibri" w:hAnsi="Calibri"/>
          <w:b/>
          <w:bCs/>
          <w:sz w:val="19"/>
          <w:szCs w:val="19"/>
        </w:rPr>
        <w:t xml:space="preserve">Portfolio governance:</w:t>
      </w:r>
      <w:r>
        <w:rPr>
          <w:rFonts w:ascii="Calibri" w:cs="Calibri" w:eastAsia="Calibri" w:hAnsi="Calibri"/>
          <w:sz w:val="19"/>
          <w:szCs w:val="19"/>
        </w:rPr>
        <w:t xml:space="preserve"> established new KPIs and SLAs across 25+ concurrent projects spanning the regulated data estate.</w:t>
      </w:r>
    </w:p>
    <w:p>
      <w:pPr>
        <w:pStyle w:val="ListParagraph"/>
        <w:numPr>
          <w:ilvl w:val="0"/>
          <w:numId w:val="2"/>
        </w:numPr>
        <w:spacing w:after="30" w:line="236"/>
      </w:pPr>
      <w:r>
        <w:rPr>
          <w:rFonts w:ascii="Calibri" w:cs="Calibri" w:eastAsia="Calibri" w:hAnsi="Calibri"/>
          <w:b/>
          <w:bCs/>
          <w:sz w:val="19"/>
          <w:szCs w:val="19"/>
        </w:rPr>
        <w:t xml:space="preserve">Data architecture:</w:t>
      </w:r>
      <w:r>
        <w:rPr>
          <w:rFonts w:ascii="Calibri" w:cs="Calibri" w:eastAsia="Calibri" w:hAnsi="Calibri"/>
          <w:sz w:val="19"/>
          <w:szCs w:val="19"/>
        </w:rPr>
        <w:t xml:space="preserve"> introduced high-availability / high-volume technologies using big-data, cloud and Open Banking.</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Agile/Lean/SAFe adoption across ~100 FTE; established Lithuanian engineering capacity, increasing capacity by 35%.</w:t>
      </w:r>
    </w:p>
    <w:p>
      <w:pPr>
        <w:keepNext/>
        <w:tabs>
          <w:tab w:val="right" w:pos="10466"/>
        </w:tabs>
        <w:spacing w:after="50" w:before="90"/>
      </w:pPr>
      <w:r>
        <w:rPr>
          <w:rFonts w:ascii="Calibri" w:cs="Calibri" w:eastAsia="Calibri" w:hAnsi="Calibri"/>
          <w:b/>
          <w:bCs/>
          <w:color w:val="1F4E5F"/>
          <w:sz w:val="20"/>
          <w:szCs w:val="20"/>
        </w:rPr>
        <w:t xml:space="preserve">Earlier Career</w:t>
      </w:r>
      <w:r>
        <w:rPr>
          <w:rFonts w:ascii="Calibri" w:cs="Calibri" w:eastAsia="Calibri" w:hAnsi="Calibri"/>
          <w:b/>
          <w:bCs/>
          <w:sz w:val="19"/>
          <w:szCs w:val="19"/>
        </w:rPr>
        <w:t xml:space="preserve">	Dec 1995 – Jul 2010</w:t>
      </w:r>
    </w:p>
    <w:p>
      <w:pPr>
        <w:pStyle w:val="ListParagraph"/>
        <w:numPr>
          <w:ilvl w:val="0"/>
          <w:numId w:val="2"/>
        </w:numPr>
        <w:spacing w:after="30" w:line="236"/>
      </w:pPr>
      <w:r>
        <w:rPr>
          <w:rFonts w:ascii="Calibri" w:cs="Calibri" w:eastAsia="Calibri" w:hAnsi="Calibri"/>
          <w:b/>
          <w:bCs/>
          <w:sz w:val="19"/>
          <w:szCs w:val="19"/>
        </w:rPr>
        <w:t xml:space="preserve">BJSS — </w:t>
      </w:r>
      <w:r>
        <w:rPr>
          <w:rFonts w:ascii="Calibri" w:cs="Calibri" w:eastAsia="Calibri" w:hAnsi="Calibri"/>
          <w:sz w:val="19"/>
          <w:szCs w:val="19"/>
        </w:rPr>
        <w:t xml:space="preserve">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pPr>
        <w:pStyle w:val="ListParagraph"/>
        <w:numPr>
          <w:ilvl w:val="0"/>
          <w:numId w:val="2"/>
        </w:numPr>
        <w:spacing w:after="30" w:line="236"/>
      </w:pPr>
      <w:r>
        <w:rPr>
          <w:rFonts w:ascii="Calibri" w:cs="Calibri" w:eastAsia="Calibri" w:hAnsi="Calibri"/>
          <w:b/>
          <w:bCs/>
          <w:sz w:val="19"/>
          <w:szCs w:val="19"/>
        </w:rPr>
        <w:t xml:space="preserve">Spice PLC / Enserve — </w:t>
      </w:r>
      <w:r>
        <w:rPr>
          <w:rFonts w:ascii="Calibri" w:cs="Calibri" w:eastAsia="Calibri" w:hAnsi="Calibri"/>
          <w:sz w:val="19"/>
          <w:szCs w:val="19"/>
        </w:rPr>
        <w:t xml:space="preserve">Head of IT Solutions (2005-2009): Board-level accountability across utilities streams; designed and delivered the JTE work-management platform, subsequently an industry standard securing multi-million-pound contracts.</w:t>
      </w:r>
    </w:p>
    <w:p>
      <w:pPr>
        <w:pStyle w:val="ListParagraph"/>
        <w:numPr>
          <w:ilvl w:val="0"/>
          <w:numId w:val="2"/>
        </w:numPr>
        <w:spacing w:after="30" w:line="236"/>
      </w:pPr>
      <w:r>
        <w:rPr>
          <w:rFonts w:ascii="Calibri" w:cs="Calibri" w:eastAsia="Calibri" w:hAnsi="Calibri"/>
          <w:b/>
          <w:bCs/>
          <w:sz w:val="19"/>
          <w:szCs w:val="19"/>
        </w:rPr>
        <w:t xml:space="preserve">Contract architecture and delivery (2002-2005):</w:t>
      </w:r>
      <w:r>
        <w:rPr>
          <w:rFonts w:ascii="Calibri" w:cs="Calibri" w:eastAsia="Calibri" w:hAnsi="Calibri"/>
          <w:sz w:val="19"/>
          <w:szCs w:val="19"/>
        </w:rPr>
        <w:t xml:space="preserve"> Euro RSCG Riley's, NCS Pearson, Manheim, Kah Systems and Fowles ANZ.</w:t>
      </w:r>
    </w:p>
    <w:p>
      <w:pPr>
        <w:pStyle w:val="ListParagraph"/>
        <w:numPr>
          <w:ilvl w:val="0"/>
          <w:numId w:val="2"/>
        </w:numPr>
        <w:spacing w:after="30" w:line="236"/>
      </w:pPr>
      <w:r>
        <w:rPr>
          <w:rFonts w:ascii="Calibri" w:cs="Calibri" w:eastAsia="Calibri" w:hAnsi="Calibri"/>
          <w:b/>
          <w:bCs/>
          <w:sz w:val="19"/>
          <w:szCs w:val="19"/>
        </w:rPr>
        <w:t xml:space="preserve">Halifax — </w:t>
      </w:r>
      <w:r>
        <w:rPr>
          <w:rFonts w:ascii="Calibri" w:cs="Calibri" w:eastAsia="Calibri" w:hAnsi="Calibri"/>
          <w:sz w:val="19"/>
          <w:szCs w:val="19"/>
        </w:rPr>
        <w:t xml:space="preserve">Senior Developer / Architect (1999-2002): Online Statement, Group Security Wrapper (SSO) and ISA programmes. William Hill — Test Engineer / Developer (1995-1999): launch of internet betting and Y2K programme.</w:t>
      </w:r>
    </w:p>
    <w:p>
      <w:pPr>
        <w:pBdr>
          <w:bottom w:val="single" w:color="1F4E5F" w:sz="6" w:space="2"/>
        </w:pBdr>
        <w:spacing w:after="60" w:before="120"/>
      </w:pPr>
      <w:r>
        <w:rPr>
          <w:rFonts w:ascii="Calibri" w:cs="Calibri" w:eastAsia="Calibri" w:hAnsi="Calibri"/>
          <w:b/>
          <w:bCs/>
          <w:color w:val="1F4E5F"/>
          <w:sz w:val="23"/>
          <w:szCs w:val="23"/>
        </w:rPr>
        <w:t xml:space="preserve">Technical Proficiencies</w:t>
      </w:r>
    </w:p>
    <w:p>
      <w:pPr>
        <w:spacing w:after="50" w:line="240"/>
      </w:pPr>
      <w:r>
        <w:rPr>
          <w:rFonts w:ascii="Calibri" w:cs="Calibri" w:eastAsia="Calibri" w:hAnsi="Calibri"/>
          <w:b/>
          <w:bCs/>
          <w:sz w:val="19"/>
          <w:szCs w:val="19"/>
        </w:rPr>
        <w:t xml:space="preserve">Key systems:</w:t>
      </w:r>
      <w:r>
        <w:rPr>
          <w:rFonts w:ascii="Calibri" w:cs="Calibri" w:eastAsia="Calibri" w:hAnsi="Calibri"/>
          <w:sz w:val="19"/>
          <w:szCs w:val="19"/>
        </w:rPr>
        <w:t xml:space="preserve"> MS Dynamics 365 · MS 365 · Salesforce · Power Platform · SAP · PeopleSoft · NetSuite · Zoho · HubSpot · 3CX · Kofax · Automation Anywhere · Xero · MYOB</w:t>
      </w:r>
    </w:p>
    <w:p>
      <w:pPr>
        <w:spacing w:after="50" w:line="240"/>
      </w:pPr>
      <w:r>
        <w:rPr>
          <w:rFonts w:ascii="Calibri" w:cs="Calibri" w:eastAsia="Calibri" w:hAnsi="Calibri"/>
          <w:b/>
          <w:bCs/>
          <w:sz w:val="19"/>
          <w:szCs w:val="19"/>
        </w:rPr>
        <w:t xml:space="preserve">Data, AI and analytics:</w:t>
      </w:r>
      <w:r>
        <w:rPr>
          <w:rFonts w:ascii="Calibri" w:cs="Calibri" w:eastAsia="Calibri" w:hAnsi="Calibri"/>
          <w:sz w:val="19"/>
          <w:szCs w:val="19"/>
        </w:rPr>
        <w:t xml:space="preserve"> Snowflake · MS Fabric · Data lakes · Power BI · SQL/SSIS/SSRS · PostgreSQL · Oracle · DynamoDB · Metabase · Tableau · Data Factory · Python/Pandas/XGBoost · OpenAI Codex · Claude Designer · FHIR · MCP · OCR/NLP</w:t>
      </w:r>
    </w:p>
    <w:p>
      <w:pPr>
        <w:spacing w:after="80" w:line="240"/>
      </w:pPr>
      <w:r>
        <w:rPr>
          <w:rFonts w:ascii="Calibri" w:cs="Calibri" w:eastAsia="Calibri" w:hAnsi="Calibri"/>
          <w:b/>
          <w:bCs/>
          <w:sz w:val="19"/>
          <w:szCs w:val="19"/>
        </w:rPr>
        <w:t xml:space="preserve">Technologies:</w:t>
      </w:r>
      <w:r>
        <w:rPr>
          <w:rFonts w:ascii="Calibri" w:cs="Calibri" w:eastAsia="Calibri" w:hAnsi="Calibri"/>
          <w:sz w:val="19"/>
          <w:szCs w:val="19"/>
        </w:rPr>
        <w:t xml:space="preserve"> .NET · Java · C# · Node.js · Flutter · React · Azure IaaS/PaaS/SaaS · AWS (EC2, S3, Lambda, CloudFront) · Kafka · Docker · Kubernetes · New Relic · Git/GitHub · CI/CD · Azure DevOps</w:t>
      </w:r>
    </w:p>
    <w:p>
      <w:pPr>
        <w:pBdr>
          <w:bottom w:val="single" w:color="1F4E5F" w:sz="6" w:space="2"/>
        </w:pBdr>
        <w:spacing w:after="60" w:before="120"/>
      </w:pPr>
      <w:r>
        <w:rPr>
          <w:rFonts w:ascii="Calibri" w:cs="Calibri" w:eastAsia="Calibri" w:hAnsi="Calibri"/>
          <w:b/>
          <w:bCs/>
          <w:color w:val="1F4E5F"/>
          <w:sz w:val="23"/>
          <w:szCs w:val="23"/>
        </w:rPr>
        <w:t xml:space="preserve">Education, Certifications &amp; Professional Development</w:t>
      </w:r>
    </w:p>
    <w:p>
      <w:pPr>
        <w:spacing w:after="30" w:line="240"/>
      </w:pPr>
      <w:r>
        <w:rPr>
          <w:rFonts w:ascii="Calibri" w:cs="Calibri" w:eastAsia="Calibri" w:hAnsi="Calibri"/>
          <w:b/>
          <w:bCs/>
          <w:sz w:val="19"/>
          <w:szCs w:val="19"/>
        </w:rPr>
        <w:t xml:space="preserve">BSc (Hons) Business Information Technology</w:t>
      </w:r>
      <w:r>
        <w:rPr>
          <w:rFonts w:ascii="Calibri" w:cs="Calibri" w:eastAsia="Calibri" w:hAnsi="Calibri"/>
          <w:sz w:val="19"/>
          <w:szCs w:val="19"/>
        </w:rPr>
        <w:t xml:space="preserve"> - Leeds Beckett University</w:t>
      </w:r>
    </w:p>
    <w:p>
      <w:pPr>
        <w:spacing w:after="60" w:line="240"/>
      </w:pPr>
      <w:r>
        <w:rPr>
          <w:rFonts w:ascii="Calibri" w:cs="Calibri" w:eastAsia="Calibri" w:hAnsi="Calibri"/>
          <w:b/>
          <w:bCs/>
          <w:sz w:val="19"/>
          <w:szCs w:val="19"/>
        </w:rPr>
        <w:t xml:space="preserve">Higher National Diploma, Mathematics</w:t>
      </w:r>
      <w:r>
        <w:rPr>
          <w:rFonts w:ascii="Calibri" w:cs="Calibri" w:eastAsia="Calibri" w:hAnsi="Calibri"/>
          <w:sz w:val="19"/>
          <w:szCs w:val="19"/>
        </w:rPr>
        <w:t xml:space="preserve"> - Leeds Beckett University</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AI-DLC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AWS AI-PDLC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SAFe Release Train Engineer (RTE) &amp; Leading SAFe</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Scrum Master · Certified Scrum Product Owner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PRINCE2 Foundation and Practitioner</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Management 3.0 Certified</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TOGAF 9 Foundation · ITIL v3 Foundation</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DSDM Foundation and Practitioner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Six Sigma Black Belt</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IOSH — Occupational Safety and Health</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Professional Member, Chartered Institute for IT (MBCS)</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10+ Microsoft Technical Certifications</w:t>
            </w:r>
          </w:p>
        </w:tc>
      </w:tr>
    </w:tbl>
    <w:sectPr>
      <w:pgSz w:w="11906" w:h="16838" w:orient="portrait"/>
      <w:pgMar w:top="64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b0hvv8rim3tjyiruywpf"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Aurizn Head of ICT &amp; Security</dc:title>
  <dc:creator>David Weir</dc:creator>
  <cp:lastModifiedBy>Un-named</cp:lastModifiedBy>
  <cp:revision>1</cp:revision>
  <dcterms:created xsi:type="dcterms:W3CDTF">2026-10-20T09:26:32.424Z</dcterms:created>
  <dcterms:modified xsi:type="dcterms:W3CDTF">2026-10-20T09:26:32.434Z</dcterms:modified>
</cp:coreProperties>
</file>

<file path=docProps/custom.xml><?xml version="1.0" encoding="utf-8"?>
<Properties xmlns="http://schemas.openxmlformats.org/officeDocument/2006/custom-properties" xmlns:vt="http://schemas.openxmlformats.org/officeDocument/2006/docPropsVTypes"/>
</file>