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International technology leader delivering enterprise applications, cyber security and digital transformation across health and regulated organisations — CIO · CTO remit.</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kjrdgpxya0lnzy-0nwf-8">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in CXO and Director roles leading technology across international, matrix organisations in health and clinical software, education, financial services and other regulated sectors, with teams across APAC, the UK, Europe and India. Retained CTO accountability for Cashflow Manager following its acquisition by Reckon (ASX: RKN), where I now serve as Head of Product with CPO remit, shaping platform, data and AI investment with the CEO, Group CTO and CFO.</w:t>
      </w:r>
    </w:p>
    <w:p>
      <w:pPr>
        <w:spacing w:after="80" w:line="240"/>
      </w:pPr>
      <w:r>
        <w:rPr>
          <w:rFonts w:ascii="Calibri" w:cs="Calibri" w:eastAsia="Calibri" w:hAnsi="Calibri"/>
          <w:sz w:val="19"/>
          <w:szCs w:val="19"/>
        </w:rPr>
        <w:t xml:space="preserve">Delivered enterprise applications including ERP and Finance replacement onto Microsoft Dynamics, Salesforce and CRM programs, and clinical, research-governance and compliance platforms. Established an ISMF and led ISO 27001 and GDPR compliance across multiple jurisdictions. Leading Reckon’s AI transformation with AWS under a Responsible and Secure AI Policy, including AI embedded in Reckon One for onboarding, bank reconciliation, and insights and anomaly detection.</w:t>
      </w:r>
    </w:p>
    <w:p>
      <w:pPr>
        <w:spacing w:after="80" w:line="240"/>
      </w:pPr>
      <w:r>
        <w:rPr>
          <w:rFonts w:ascii="Calibri" w:cs="Calibri" w:eastAsia="Calibri" w:hAnsi="Calibri"/>
          <w:sz w:val="19"/>
          <w:szCs w:val="19"/>
        </w:rPr>
        <w:t xml:space="preserve">Combine strategy with hands-on operational delivery: setting roadmaps and KPIs, advising executives, and running day-to-day technology, across teams from start-ups to a ~300 FTE portfolio. Experienced in cross-cultural leadership and change management through acquisitions, integrations and operating-model change.</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IT strategy &amp; roadmap:</w:t>
            </w:r>
            <w:r>
              <w:rPr>
                <w:rFonts w:ascii="Calibri" w:cs="Calibri" w:eastAsia="Calibri" w:hAnsi="Calibri"/>
                <w:sz w:val="19"/>
                <w:szCs w:val="19"/>
              </w:rPr>
              <w:t xml:space="preserve"> regional and group roadmaps aligned to business priorities; IT KPIs; executive advisory</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International matrix leadership:</w:t>
            </w:r>
            <w:r>
              <w:rPr>
                <w:rFonts w:ascii="Calibri" w:cs="Calibri" w:eastAsia="Calibri" w:hAnsi="Calibri"/>
                <w:sz w:val="19"/>
                <w:szCs w:val="19"/>
              </w:rPr>
              <w:t xml:space="preserve"> APAC, UK, Europe, India, Emirates; distributed and cross-cultural teams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Change management:</w:t>
            </w:r>
            <w:r>
              <w:rPr>
                <w:rFonts w:ascii="Calibri" w:cs="Calibri" w:eastAsia="Calibri" w:hAnsi="Calibri"/>
                <w:sz w:val="19"/>
                <w:szCs w:val="19"/>
              </w:rPr>
              <w:t xml:space="preserve"> operating-model restructure; M&amp;A integration and divestiture; platform modernisation</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Enterprise applications:</w:t>
            </w:r>
            <w:r>
              <w:rPr>
                <w:rFonts w:ascii="Calibri" w:cs="Calibri" w:eastAsia="Calibri" w:hAnsi="Calibri"/>
                <w:sz w:val="19"/>
                <w:szCs w:val="19"/>
              </w:rPr>
              <w:t xml:space="preserve"> Microsoft Dynamics 365, Salesforce, Zoho; ERP, CRM and finance systems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Quality &amp; compliance platforms:</w:t>
            </w:r>
            <w:r>
              <w:rPr>
                <w:rFonts w:ascii="Calibri" w:cs="Calibri" w:eastAsia="Calibri" w:hAnsi="Calibri"/>
                <w:sz w:val="19"/>
                <w:szCs w:val="19"/>
              </w:rPr>
              <w:t xml:space="preserve"> research-governance and ethics-approval platforms; clinical data; ISO 9001 audits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&amp; analytics platforms:</w:t>
            </w:r>
            <w:r>
              <w:rPr>
                <w:rFonts w:ascii="Calibri" w:cs="Calibri" w:eastAsia="Calibri" w:hAnsi="Calibri"/>
                <w:sz w:val="19"/>
                <w:szCs w:val="19"/>
              </w:rPr>
              <w:t xml:space="preserve"> Power BI, Microsoft Fabric, Snowflake; enterprise and Board reporting</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Cybersecurity &amp; data privacy:</w:t>
            </w:r>
            <w:r>
              <w:rPr>
                <w:rFonts w:ascii="Calibri" w:cs="Calibri" w:eastAsia="Calibri" w:hAnsi="Calibri"/>
                <w:sz w:val="19"/>
                <w:szCs w:val="19"/>
              </w:rPr>
              <w:t xml:space="preserve"> ISO 27001:2022, ISMF, GDPR; incident and risk management across jurisdictions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Collaboration &amp; infrastructure:</w:t>
            </w:r>
            <w:r>
              <w:rPr>
                <w:rFonts w:ascii="Calibri" w:cs="Calibri" w:eastAsia="Calibri" w:hAnsi="Calibri"/>
                <w:sz w:val="19"/>
                <w:szCs w:val="19"/>
              </w:rPr>
              <w:t xml:space="preserve"> Microsoft 365; Azure and AWS; 100% cloud migration; unified communications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&amp; automation:</w:t>
            </w:r>
            <w:r>
              <w:rPr>
                <w:rFonts w:ascii="Calibri" w:cs="Calibri" w:eastAsia="Calibri" w:hAnsi="Calibri"/>
                <w:sz w:val="19"/>
                <w:szCs w:val="19"/>
              </w:rPr>
              <w:t xml:space="preserve"> AI-PDLC; responsible AI; in-product AI; OCR, NLP and RPA (Kofax, Automation Anywhere)</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to hard statutory deadlines, leading distributed teams across the UK, Poland, India and Australia through matrix management, for clinical software used across the NHS, Ministry of Defence, Europe, the Emirates and ANZ.</w:t>
      </w:r>
    </w:p>
    <w:p>
      <w:pPr>
        <w:pStyle w:val="ListParagraph"/>
        <w:numPr>
          <w:ilvl w:val="0"/>
          <w:numId w:val="2"/>
        </w:numPr>
        <w:spacing w:after="30" w:line="236"/>
      </w:pPr>
      <w:r>
        <w:rPr>
          <w:rFonts w:ascii="Calibri" w:cs="Calibri" w:eastAsia="Calibri" w:hAnsi="Calibri"/>
          <w:sz w:val="19"/>
          <w:szCs w:val="19"/>
        </w:rPr>
        <w:t xml:space="preserve">As an executive board member at EduCo (BPEA EQT), led technology and data across the group and its acquired universities, managing sensitive identity, academic and financial data under GDPR and ISO 27001 across ANZ, the UK, Canada and the USA, and establishing an ISMF spanning cyber security, risk and incident management.</w:t>
      </w:r>
    </w:p>
    <w:p>
      <w:pPr>
        <w:pStyle w:val="ListParagraph"/>
        <w:numPr>
          <w:ilvl w:val="0"/>
          <w:numId w:val="2"/>
        </w:numPr>
        <w:spacing w:after="30" w:line="236"/>
      </w:pPr>
      <w:r>
        <w:rPr>
          <w:rFonts w:ascii="Calibri" w:cs="Calibri" w:eastAsia="Calibri" w:hAnsi="Calibri"/>
          <w:sz w:val="19"/>
          <w:szCs w:val="19"/>
        </w:rPr>
        <w:t xml:space="preserve">Led ERP and Finance system selection and replacement onto Microsoft Dynamics at EMIS, introduced Salesforce Einstein analytics at AIB, and migrated CRM from Salesforce to Zoho at Cashflow Manager.</w:t>
      </w:r>
    </w:p>
    <w:p>
      <w:pPr>
        <w:pStyle w:val="ListParagraph"/>
        <w:numPr>
          <w:ilvl w:val="0"/>
          <w:numId w:val="2"/>
        </w:numPr>
        <w:spacing w:after="30" w:line="236"/>
      </w:pPr>
      <w:r>
        <w:rPr>
          <w:rFonts w:ascii="Calibri" w:cs="Calibri" w:eastAsia="Calibri" w:hAnsi="Calibri"/>
          <w:sz w:val="19"/>
          <w:szCs w:val="19"/>
        </w:rPr>
        <w:t xml:space="preserve">Leading Reckon’s AI transformation with AWS: AI-PDLC has cut end-to-end delivery from months to weeks, and AI embedded in Reckon One supports onboarding, bank reconciliation, and insights and anomaly detection, governed under a Responsible and Secure AI Policy.</w:t>
      </w:r>
    </w:p>
    <w:p>
      <w:pPr>
        <w:pStyle w:val="ListParagraph"/>
        <w:numPr>
          <w:ilvl w:val="0"/>
          <w:numId w:val="2"/>
        </w:numPr>
        <w:spacing w:after="30" w:line="236"/>
      </w:pPr>
      <w:r>
        <w:rPr>
          <w:rFonts w:ascii="Calibri" w:cs="Calibri" w:eastAsia="Calibri" w:hAnsi="Calibri"/>
          <w:sz w:val="19"/>
          <w:szCs w:val="19"/>
        </w:rPr>
        <w:t xml:space="preserve">Re-platformed most of AIB’s key systems, migrated 100% to the cloud in under six months and replaced the VOIP estate with omni-channel communications, keeping a national organisation operating through COVID-19.</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shape platform, data and AI investment with the CEO, Group CTO and CFO, balancing value, risk, security and regulatory obligations; own the group roadmap and backlog.</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In-product AI:</w:t>
      </w:r>
      <w:r>
        <w:rPr>
          <w:rFonts w:ascii="Calibri" w:cs="Calibri" w:eastAsia="Calibri" w:hAnsi="Calibri"/>
          <w:sz w:val="19"/>
          <w:szCs w:val="19"/>
        </w:rPr>
        <w:t xml:space="preserve"> embedded AI into Reckon One for onboarding, bank reconciliation, and insights and anomaly detection, alongside an in-app AI assistant.</w:t>
      </w:r>
    </w:p>
    <w:p>
      <w:pPr>
        <w:pStyle w:val="ListParagraph"/>
        <w:numPr>
          <w:ilvl w:val="0"/>
          <w:numId w:val="2"/>
        </w:numPr>
        <w:spacing w:after="30" w:line="236"/>
      </w:pPr>
      <w:r>
        <w:rPr>
          <w:rFonts w:ascii="Calibri" w:cs="Calibri" w:eastAsia="Calibri" w:hAnsi="Calibri"/>
          <w:b/>
          <w:bCs/>
          <w:sz w:val="19"/>
          <w:szCs w:val="19"/>
        </w:rPr>
        <w:t xml:space="preserve">Data platform:</w:t>
      </w:r>
      <w:r>
        <w:rPr>
          <w:rFonts w:ascii="Calibri" w:cs="Calibri" w:eastAsia="Calibri" w:hAnsi="Calibri"/>
          <w:sz w:val="19"/>
          <w:szCs w:val="19"/>
        </w:rPr>
        <w:t xml:space="preserve"> implemented shared-data platforms supporting customer reporting and governed third-party access through Power BI, Fabric, Snowflake and MCP.</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LOB platforms; migrated to MS365; consolidated technology suppliers.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Salesforce · SAP · NetSuite · PeopleSoft · MS 365 · Power Platform · Zoho · HubSpot · Kofax · Automation Anywhere · Xero · MYOB</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OpenAI Codex · Claude Designer · FHIR · MCP · OCR/NLP</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CloudFront) · Kafka · Docker · Kubernetes · New Relic · Git/GitHub · CI/CD · Azure DevOps</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jrdgpxya0lnzy-0nwf-8"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Balt IT Director APAC</dc:title>
  <dc:creator>David Weir</dc:creator>
  <cp:lastModifiedBy>Un-named</cp:lastModifiedBy>
  <cp:revision>1</cp:revision>
  <dcterms:created xsi:type="dcterms:W3CDTF">2026-10-20T05:37:11.776Z</dcterms:created>
  <dcterms:modified xsi:type="dcterms:W3CDTF">2026-10-20T05:37:11.784Z</dcterms:modified>
</cp:coreProperties>
</file>

<file path=docProps/custom.xml><?xml version="1.0" encoding="utf-8"?>
<Properties xmlns="http://schemas.openxmlformats.org/officeDocument/2006/custom-properties" xmlns:vt="http://schemas.openxmlformats.org/officeDocument/2006/docPropsVTypes"/>
</file>