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Product leader for regulated financial products across banking, payments, credit and SMB finance — Head of Product · CTO.</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d9ubtpmfybm8cqdjgtyix">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Over 15 years in product and technology leadership across financial services, SMB accounting software and other regulated sectors. Head of Product with CPO remit at Reckon (ASX: RKN), having retained CTO accountability for Cashflow Manager following its acquisition. I own product strategy and the roadmap across banking and reconciliation, payments, payroll and mobile products used by small businesses and their employees, and directly lead the Product, Enterprise Data and Reporting teams.</w:t>
      </w:r>
    </w:p>
    <w:p>
      <w:pPr>
        <w:spacing w:after="80" w:line="240"/>
      </w:pPr>
      <w:r>
        <w:rPr>
          <w:rFonts w:ascii="Calibri" w:cs="Calibri" w:eastAsia="Calibri" w:hAnsi="Calibri"/>
          <w:sz w:val="19"/>
          <w:szCs w:val="19"/>
        </w:rPr>
        <w:t xml:space="preserve">My financial services work spans the customer lifecycle: Embark™, a banking platform for ledgers, collections, payments, affordability and PFM adopted by NatWest, Santander, Tesco Bank and Virgin Money; Noddle™, the UK's first free consumer credit report, at CallCredit/TransUnion; regulated debt-management services at PayPlan; and retail banking programmes at Halifax, including Online Statement and ISAs.</w:t>
      </w:r>
    </w:p>
    <w:p>
      <w:pPr>
        <w:spacing w:after="80" w:line="240"/>
      </w:pPr>
      <w:r>
        <w:rPr>
          <w:rFonts w:ascii="Calibri" w:cs="Calibri" w:eastAsia="Calibri" w:hAnsi="Calibri"/>
          <w:sz w:val="19"/>
          <w:szCs w:val="19"/>
        </w:rPr>
        <w:t xml:space="preserve">I am leading Reckon’s AI transformation with AWS through AI-PDLC, which has cut end-to-end delivery from months to weeks, and have embedded AI into Reckon One for onboarding, bank reconciliation and anomaly detection. I work hands-on with cross-functional agile teams, turning customer insight into backlogs and trade-offs, and am trusted by CEOs, CFOs and Boards to make the commercial case for product investment.</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Product management:</w:t>
            </w:r>
            <w:r>
              <w:rPr>
                <w:rFonts w:ascii="Calibri" w:cs="Calibri" w:eastAsia="Calibri" w:hAnsi="Calibri"/>
                <w:sz w:val="19"/>
                <w:szCs w:val="19"/>
              </w:rPr>
              <w:t xml:space="preserve"> full lifecycle from business case to launch and consolidation; products used by millions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Roadmaps:</w:t>
            </w:r>
            <w:r>
              <w:rPr>
                <w:rFonts w:ascii="Calibri" w:cs="Calibri" w:eastAsia="Calibri" w:hAnsi="Calibri"/>
                <w:sz w:val="19"/>
                <w:szCs w:val="19"/>
              </w:rPr>
              <w:t xml:space="preserve"> multi-year portfolio roadmaps aligned to enterprise strategy; OKR, OGSM</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Financial products:</w:t>
            </w:r>
            <w:r>
              <w:rPr>
                <w:rFonts w:ascii="Calibri" w:cs="Calibri" w:eastAsia="Calibri" w:hAnsi="Calibri"/>
                <w:sz w:val="19"/>
                <w:szCs w:val="19"/>
              </w:rPr>
              <w:t xml:space="preserve"> banking, reconciliation, payments, ledgers, collections, credit, affordability, PFM</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Commercial performance:</w:t>
            </w:r>
            <w:r>
              <w:rPr>
                <w:rFonts w:ascii="Calibri" w:cs="Calibri" w:eastAsia="Calibri" w:hAnsi="Calibri"/>
                <w:sz w:val="19"/>
                <w:szCs w:val="19"/>
              </w:rPr>
              <w:t xml:space="preserve"> investment cases with CEO and CFO; EBITDA-positive launches; ~25% lower CoA</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Customer insight:</w:t>
            </w:r>
            <w:r>
              <w:rPr>
                <w:rFonts w:ascii="Calibri" w:cs="Calibri" w:eastAsia="Calibri" w:hAnsi="Calibri"/>
                <w:sz w:val="19"/>
                <w:szCs w:val="19"/>
              </w:rPr>
              <w:t xml:space="preserve"> behavioural analytics, customer and product metrics, reporting and dashboards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Agile delivery:</w:t>
            </w:r>
            <w:r>
              <w:rPr>
                <w:rFonts w:ascii="Calibri" w:cs="Calibri" w:eastAsia="Calibri" w:hAnsi="Calibri"/>
                <w:sz w:val="19"/>
                <w:szCs w:val="19"/>
              </w:rPr>
              <w:t xml:space="preserve"> backlogs and user stories; Scrum, SAFe; CSPO, CSM; cross-functional trade-offs</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Regulation and risk:</w:t>
            </w:r>
            <w:r>
              <w:rPr>
                <w:rFonts w:ascii="Calibri" w:cs="Calibri" w:eastAsia="Calibri" w:hAnsi="Calibri"/>
                <w:sz w:val="19"/>
                <w:szCs w:val="19"/>
              </w:rPr>
              <w:t xml:space="preserve"> FCA, CDR, NPP, PayTo, ATO, PCI-DSS, ISO 27001:2022, GDPR</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AI in product:</w:t>
            </w:r>
            <w:r>
              <w:rPr>
                <w:rFonts w:ascii="Calibri" w:cs="Calibri" w:eastAsia="Calibri" w:hAnsi="Calibri"/>
                <w:sz w:val="19"/>
                <w:szCs w:val="19"/>
              </w:rPr>
              <w:t xml:space="preserve"> in-product AI; AI-PDLC; responsible AI policy</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People leadership:</w:t>
            </w:r>
            <w:r>
              <w:rPr>
                <w:rFonts w:ascii="Calibri" w:cs="Calibri" w:eastAsia="Calibri" w:hAnsi="Calibri"/>
                <w:sz w:val="19"/>
                <w:szCs w:val="19"/>
              </w:rPr>
              <w:t xml:space="preserve"> developing product managers; distributed teams across APAC, UK, Europe and India</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Conceived Totemic's Embark™ headless banking platform for ledgers, payments, affordability, PFM and regulatory reporting; adopted by PayPal, NatWest, Santander and other major institutions, and EBITDA-positive in year one.</w:t>
      </w:r>
    </w:p>
    <w:p>
      <w:pPr>
        <w:pStyle w:val="ListParagraph"/>
        <w:numPr>
          <w:ilvl w:val="0"/>
          <w:numId w:val="2"/>
        </w:numPr>
        <w:spacing w:after="30" w:line="236"/>
      </w:pPr>
      <w:r>
        <w:rPr>
          <w:rFonts w:ascii="Calibri" w:cs="Calibri" w:eastAsia="Calibri" w:hAnsi="Calibri"/>
          <w:sz w:val="19"/>
          <w:szCs w:val="19"/>
        </w:rPr>
        <w:t xml:space="preserve">Implemented &amp; launched Noddle™, the UK's first free consumer credit report; subsequently Credit Karma™, acquired by Intuit.</w:t>
      </w:r>
    </w:p>
    <w:p>
      <w:pPr>
        <w:pStyle w:val="ListParagraph"/>
        <w:numPr>
          <w:ilvl w:val="0"/>
          <w:numId w:val="2"/>
        </w:numPr>
        <w:spacing w:after="30" w:line="236"/>
      </w:pPr>
      <w:r>
        <w:rPr>
          <w:rFonts w:ascii="Calibri" w:cs="Calibri" w:eastAsia="Calibri" w:hAnsi="Calibri"/>
          <w:sz w:val="19"/>
          <w:szCs w:val="19"/>
        </w:rPr>
        <w:t xml:space="preserve">Shaped ReckonX, the multi-year platform strategy to consolidate ~70k customers onto Reckon One and its mobile products.</w:t>
      </w:r>
    </w:p>
    <w:p>
      <w:pPr>
        <w:pStyle w:val="ListParagraph"/>
        <w:numPr>
          <w:ilvl w:val="0"/>
          <w:numId w:val="2"/>
        </w:numPr>
        <w:spacing w:after="30" w:line="236"/>
      </w:pPr>
      <w:r>
        <w:rPr>
          <w:rFonts w:ascii="Calibri" w:cs="Calibri" w:eastAsia="Calibri" w:hAnsi="Calibri"/>
          <w:sz w:val="19"/>
          <w:szCs w:val="19"/>
        </w:rPr>
        <w:t xml:space="preserve">Leading AI-PDLC adoption across all Reckon product squads with AWS, cutting end-to-end delivery from months to weeks; embedded AI into Reckon One for onboarding, bank reconciliation, and insights and anomaly detection.</w:t>
      </w:r>
    </w:p>
    <w:p>
      <w:pPr>
        <w:pStyle w:val="ListParagraph"/>
        <w:numPr>
          <w:ilvl w:val="0"/>
          <w:numId w:val="2"/>
        </w:numPr>
        <w:spacing w:after="30" w:line="236"/>
      </w:pPr>
      <w:r>
        <w:rPr>
          <w:rFonts w:ascii="Calibri" w:cs="Calibri" w:eastAsia="Calibri" w:hAnsi="Calibri"/>
          <w:sz w:val="19"/>
          <w:szCs w:val="19"/>
        </w:rPr>
        <w:t xml:space="preserve">Two decades of compliance leadership across regulated environments: FCA and PCI-DSS at PayPlan, PayLink and CallCredit/TransUnion; ISO 27001 at Reckon, Cashflow Manager, EduCo and CallCredit; GDPR, TEQSA and ATO programs.</w:t>
      </w:r>
    </w:p>
    <w:p>
      <w:pPr>
        <w:pStyle w:val="ListParagraph"/>
        <w:numPr>
          <w:ilvl w:val="0"/>
          <w:numId w:val="2"/>
        </w:numPr>
        <w:spacing w:after="30" w:line="236"/>
      </w:pPr>
      <w:r>
        <w:rPr>
          <w:rFonts w:ascii="Calibri" w:cs="Calibri" w:eastAsia="Calibri" w:hAnsi="Calibri"/>
          <w:sz w:val="19"/>
          <w:szCs w:val="19"/>
        </w:rPr>
        <w:t xml:space="preserve">Delivered the two largest contracts in EMIS history for the UK Government (NHS), working directly with the UK Minister of Health.</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and all product squads. Direct leadership of the Product, Enterprise Data and Reporting teams, with portfolio-wide leadership extending into Architecture, Research, Content and Design.</w:t>
      </w:r>
    </w:p>
    <w:p>
      <w:pPr>
        <w:pStyle w:val="ListParagraph"/>
        <w:numPr>
          <w:ilvl w:val="0"/>
          <w:numId w:val="2"/>
        </w:numPr>
        <w:spacing w:after="30" w:line="236"/>
      </w:pPr>
      <w:r>
        <w:rPr>
          <w:rFonts w:ascii="Calibri" w:cs="Calibri" w:eastAsia="Calibri" w:hAnsi="Calibri"/>
          <w:b/>
          <w:bCs/>
          <w:sz w:val="19"/>
          <w:szCs w:val="19"/>
        </w:rPr>
        <w:t xml:space="preserve">Product portfolio:</w:t>
      </w:r>
      <w:r>
        <w:rPr>
          <w:rFonts w:ascii="Calibri" w:cs="Calibri" w:eastAsia="Calibri" w:hAnsi="Calibri"/>
          <w:sz w:val="19"/>
          <w:szCs w:val="19"/>
        </w:rPr>
        <w:t xml:space="preserve"> invoicing, payroll integrations, banking and reconciliation, payments, onboarding, in-app AI assistant, timesheets, leave and rostering; extended the mobile app into employee income and expenditure, budgeting and affiliate rewards.</w:t>
      </w:r>
    </w:p>
    <w:p>
      <w:pPr>
        <w:pStyle w:val="ListParagraph"/>
        <w:numPr>
          <w:ilvl w:val="0"/>
          <w:numId w:val="2"/>
        </w:numPr>
        <w:spacing w:after="30" w:line="236"/>
      </w:pPr>
      <w:r>
        <w:rPr>
          <w:rFonts w:ascii="Calibri" w:cs="Calibri" w:eastAsia="Calibri" w:hAnsi="Calibri"/>
          <w:b/>
          <w:bCs/>
          <w:sz w:val="19"/>
          <w:szCs w:val="19"/>
        </w:rPr>
        <w:t xml:space="preserve">Roadmap and lifecycle:</w:t>
      </w:r>
      <w:r>
        <w:rPr>
          <w:rFonts w:ascii="Calibri" w:cs="Calibri" w:eastAsia="Calibri" w:hAnsi="Calibri"/>
          <w:sz w:val="19"/>
          <w:szCs w:val="19"/>
        </w:rPr>
        <w:t xml:space="preserve"> own the group roadmap and backlog across interdependent products; shaped ReckonX, the multi-year strategy consolidating ~70k customers onto Reckon One and mobile apps.</w:t>
      </w:r>
    </w:p>
    <w:p>
      <w:pPr>
        <w:pStyle w:val="ListParagraph"/>
        <w:numPr>
          <w:ilvl w:val="0"/>
          <w:numId w:val="2"/>
        </w:numPr>
        <w:spacing w:after="30" w:line="236"/>
      </w:pPr>
      <w:r>
        <w:rPr>
          <w:rFonts w:ascii="Calibri" w:cs="Calibri" w:eastAsia="Calibri" w:hAnsi="Calibri"/>
          <w:b/>
          <w:bCs/>
          <w:sz w:val="19"/>
          <w:szCs w:val="19"/>
        </w:rPr>
        <w:t xml:space="preserve">Commercial performance:</w:t>
      </w:r>
      <w:r>
        <w:rPr>
          <w:rFonts w:ascii="Calibri" w:cs="Calibri" w:eastAsia="Calibri" w:hAnsi="Calibri"/>
          <w:sz w:val="19"/>
          <w:szCs w:val="19"/>
        </w:rPr>
        <w:t xml:space="preserve"> make the investment case for product, data and AI with the CEO, Group CTO and CFO; accountable for metrics across sales, retention, product performance and customer insights, including controlled Board reporting.</w:t>
      </w:r>
    </w:p>
    <w:p>
      <w:pPr>
        <w:pStyle w:val="ListParagraph"/>
        <w:numPr>
          <w:ilvl w:val="0"/>
          <w:numId w:val="2"/>
        </w:numPr>
        <w:spacing w:after="30" w:line="236"/>
      </w:pPr>
      <w:r>
        <w:rPr>
          <w:rFonts w:ascii="Calibri" w:cs="Calibri" w:eastAsia="Calibri" w:hAnsi="Calibri"/>
          <w:b/>
          <w:bCs/>
          <w:sz w:val="19"/>
          <w:szCs w:val="19"/>
        </w:rPr>
        <w:t xml:space="preserve">Customer insight:</w:t>
      </w:r>
      <w:r>
        <w:rPr>
          <w:rFonts w:ascii="Calibri" w:cs="Calibri" w:eastAsia="Calibri" w:hAnsi="Calibri"/>
          <w:sz w:val="19"/>
          <w:szCs w:val="19"/>
        </w:rPr>
        <w:t xml:space="preserve"> implemented shared-data platforms on Power BI, Fabric and Snowflake supporting customer reporting and Pendo behavioural analytics.</w:t>
      </w:r>
    </w:p>
    <w:p>
      <w:pPr>
        <w:pStyle w:val="ListParagraph"/>
        <w:numPr>
          <w:ilvl w:val="0"/>
          <w:numId w:val="2"/>
        </w:numPr>
        <w:spacing w:after="30" w:line="236"/>
      </w:pPr>
      <w:r>
        <w:rPr>
          <w:rFonts w:ascii="Calibri" w:cs="Calibri" w:eastAsia="Calibri" w:hAnsi="Calibri"/>
          <w:b/>
          <w:bCs/>
          <w:sz w:val="19"/>
          <w:szCs w:val="19"/>
        </w:rPr>
        <w:t xml:space="preserve">AI in product and delivery:</w:t>
      </w:r>
      <w:r>
        <w:rPr>
          <w:rFonts w:ascii="Calibri" w:cs="Calibri" w:eastAsia="Calibri" w:hAnsi="Calibri"/>
          <w:sz w:val="19"/>
          <w:szCs w:val="19"/>
        </w:rPr>
        <w:t xml:space="preserve"> leading AWS AI-PDLC adoption, cutting end-to-end delivery from months to weeks; embedded AI into Reckon One for onboarding, bank reconciliation, and insights and anomaly detection; established a responsible AI policy.</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pStyle w:val="ListParagraph"/>
        <w:numPr>
          <w:ilvl w:val="0"/>
          <w:numId w:val="2"/>
        </w:numPr>
        <w:spacing w:after="30" w:line="236"/>
      </w:pPr>
      <w:r>
        <w:rPr>
          <w:rFonts w:ascii="Calibri" w:cs="Calibri" w:eastAsia="Calibri" w:hAnsi="Calibri"/>
          <w:b/>
          <w:bCs/>
          <w:sz w:val="19"/>
          <w:szCs w:val="19"/>
        </w:rPr>
        <w:t xml:space="preserve">Go-to-market:</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Service channels: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Enterprise change and M&amp;A:</w:t>
      </w:r>
      <w:r>
        <w:rPr>
          <w:rFonts w:ascii="Calibri" w:cs="Calibri" w:eastAsia="Calibri" w:hAnsi="Calibri"/>
          <w:sz w:val="19"/>
          <w:szCs w:val="19"/>
        </w:rPr>
        <w:t xml:space="preserve"> modernised core and line-of-business platforms; migrated to Microsoft 365 and Dynamics 365; tech and data due diligence across ANZ, UK, CAN and USA.</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Omni-channel service:</w:t>
      </w:r>
      <w:r>
        <w:rPr>
          <w:rFonts w:ascii="Calibri" w:cs="Calibri" w:eastAsia="Calibri" w:hAnsi="Calibri"/>
          <w:sz w:val="19"/>
          <w:szCs w:val="19"/>
        </w:rPr>
        <w:t xml:space="preserve"> replaced the communications platform with omni-channel VOIP, IVR and ML/AI routing; 100% cloud migration in under 6 months, enabling company-wide WFH through COVID-19.</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debt management, payments and B2B banking</w:t>
      </w:r>
    </w:p>
    <w:p>
      <w:pPr>
        <w:spacing w:after="50" w:line="240"/>
      </w:pPr>
      <w:r>
        <w:rPr>
          <w:rFonts w:ascii="Calibri" w:cs="Calibri" w:eastAsia="Calibri" w:hAnsi="Calibri"/>
          <w:sz w:val="19"/>
          <w:szCs w:val="19"/>
        </w:rPr>
        <w:t xml:space="preserve">Group CTO for technology, product and delivery across regulated consumer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an API suite of services for customer ledgers, collections, payment distribution, affordability, PFM and regulatory reporting across multiple customer propositions; adopted by PayPal, NatWest, Santander, Tesco Bank, Zopa, Virgin Money and Hitachi Finance; EBITDA-positive in year one.</w:t>
      </w:r>
    </w:p>
    <w:p>
      <w:pPr>
        <w:pStyle w:val="ListParagraph"/>
        <w:numPr>
          <w:ilvl w:val="0"/>
          <w:numId w:val="2"/>
        </w:numPr>
        <w:spacing w:after="30" w:line="236"/>
      </w:pPr>
      <w:r>
        <w:rPr>
          <w:rFonts w:ascii="Calibri" w:cs="Calibri" w:eastAsia="Calibri" w:hAnsi="Calibri"/>
          <w:b/>
          <w:bCs/>
          <w:sz w:val="19"/>
          <w:szCs w:val="19"/>
        </w:rPr>
        <w:t xml:space="preserve">Customer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affordability assessment.</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increasing capacity by 35%.</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audits across the regulated data estate.</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managed software rollouts across CAD engineering and supporting systems for a utilities field workforce;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retail banking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Product and analytics tools:</w:t>
      </w:r>
      <w:r>
        <w:rPr>
          <w:rFonts w:ascii="Calibri" w:cs="Calibri" w:eastAsia="Calibri" w:hAnsi="Calibri"/>
          <w:sz w:val="19"/>
          <w:szCs w:val="19"/>
        </w:rPr>
        <w:t xml:space="preserve"> Jira · Azure DevOps · Figma · Pendo · Mixpanel · Hotjar · GA4 · Segment · Power BI · MS Fabric · Snowflake · Tableau · Metabase · SQL · Python</w:t>
      </w:r>
    </w:p>
    <w:p>
      <w:pPr>
        <w:spacing w:after="50" w:line="240"/>
      </w:pPr>
      <w:r>
        <w:rPr>
          <w:rFonts w:ascii="Calibri" w:cs="Calibri" w:eastAsia="Calibri" w:hAnsi="Calibri"/>
          <w:b/>
          <w:bCs/>
          <w:sz w:val="19"/>
          <w:szCs w:val="19"/>
        </w:rPr>
        <w:t xml:space="preserve">Banking and finance systems:</w:t>
      </w:r>
      <w:r>
        <w:rPr>
          <w:rFonts w:ascii="Calibri" w:cs="Calibri" w:eastAsia="Calibri" w:hAnsi="Calibri"/>
          <w:sz w:val="19"/>
          <w:szCs w:val="19"/>
        </w:rPr>
        <w:t xml:space="preserve"> Yodlee · Open Banking / CDR feeds · Stripe · Kofax · Xero · MYOB · NetSuite · SAP · MS Dynamics 365 · Salesforce · Zoho · HubSpot</w:t>
      </w:r>
    </w:p>
    <w:p>
      <w:pPr>
        <w:spacing w:after="8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AWS · Azure · REST APIs · MCP · Kafka · .NET · Java · C# · Node.js · Flutter · React · Docker · Kubernetes · CI/CD · OpenAI Codex · Claude Designer · OCR/NLP</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9ubtpmfybm8cqdjgtyix"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Bendigo Bank Senior Product Manager</dc:title>
  <dc:creator>David Weir</dc:creator>
  <cp:lastModifiedBy>Un-named</cp:lastModifiedBy>
  <cp:revision>1</cp:revision>
  <dcterms:created xsi:type="dcterms:W3CDTF">2026-10-21T23:42:09.321Z</dcterms:created>
  <dcterms:modified xsi:type="dcterms:W3CDTF">2026-10-21T23:42:09.321Z</dcterms:modified>
</cp:coreProperties>
</file>

<file path=docProps/custom.xml><?xml version="1.0" encoding="utf-8"?>
<Properties xmlns="http://schemas.openxmlformats.org/officeDocument/2006/custom-properties" xmlns:vt="http://schemas.openxmlformats.org/officeDocument/2006/docPropsVTypes"/>
</file>