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Technology and enterprise architecture leader shaping platform strategy, investment and transformation across banking, fintech and regulated sectors — TOGAF 9.</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m5xh3swg2qxsgmv8qlxle">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Technology and architecture leader with over 15 years in CXO and Director roles across banking, fintech, health, education and other regulated sectors. My early career was in engineering and architecture, including senior developer and architect on Halifax's banking programmes and enterprise architect on the UK's national health records programme, and I hold TOGAF 9. As Head of Product with CPO remit at Reckon (ASX: RKN), I shape platform, data and AI investment with the CEO, Group CTO and CFO, with leadership extending into Architecture.</w:t>
      </w:r>
    </w:p>
    <w:p>
      <w:pPr>
        <w:spacing w:after="80" w:line="240"/>
      </w:pPr>
      <w:r>
        <w:rPr>
          <w:rFonts w:ascii="Calibri" w:cs="Calibri" w:eastAsia="Calibri" w:hAnsi="Calibri"/>
          <w:sz w:val="19"/>
          <w:szCs w:val="19"/>
        </w:rPr>
        <w:t xml:space="preserve">Conceived Embark™, a headless banking platform for ledgers, payments, affordability and regulatory reporting adopted by PayPal, NatWest and Santander. Shaped ReckonX, a multi-year platform strategy consolidating ~70k customers onto a single cloud platform, and introduced high-availability, high-volume data architecture at CallCredit/TransUnion. Delivery spans Open Banking, CDR, PayTo, NPP and Peppol, under FCA, PCI-DSS and ISO 27001 obligations.</w:t>
      </w:r>
    </w:p>
    <w:p>
      <w:pPr>
        <w:spacing w:after="80" w:line="240"/>
      </w:pPr>
      <w:r>
        <w:rPr>
          <w:rFonts w:ascii="Calibri" w:cs="Calibri" w:eastAsia="Calibri" w:hAnsi="Calibri"/>
          <w:sz w:val="19"/>
          <w:szCs w:val="19"/>
        </w:rPr>
        <w:t xml:space="preserve">A trusted advisor to Boards and executives on major technology investments, balancing innovation, risk, value and sustainability, and experienced in translating business strategy into capability roadmaps that simplify complex technology landscapes.</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Enterprise architecture strategy:</w:t>
            </w:r>
            <w:r>
              <w:rPr>
                <w:rFonts w:ascii="Calibri" w:cs="Calibri" w:eastAsia="Calibri" w:hAnsi="Calibri"/>
                <w:sz w:val="19"/>
                <w:szCs w:val="19"/>
              </w:rPr>
              <w:t xml:space="preserve"> TOGAF 9; target-state architecture; business-to-capability roadmaps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Architecture governance:</w:t>
            </w:r>
            <w:r>
              <w:rPr>
                <w:rFonts w:ascii="Calibri" w:cs="Calibri" w:eastAsia="Calibri" w:hAnsi="Calibri"/>
                <w:sz w:val="19"/>
                <w:szCs w:val="19"/>
              </w:rPr>
              <w:t xml:space="preserve"> standards, patterns and controls; KPIs and SLAs; ITIL</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Platform simplification:</w:t>
            </w:r>
            <w:r>
              <w:rPr>
                <w:rFonts w:ascii="Calibri" w:cs="Calibri" w:eastAsia="Calibri" w:hAnsi="Calibri"/>
                <w:sz w:val="19"/>
                <w:szCs w:val="19"/>
              </w:rPr>
              <w:t xml:space="preserve"> platform consolidation; legacy replacement; re-platforming and cloud migration</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Banking &amp; payments architecture:</w:t>
            </w:r>
            <w:r>
              <w:rPr>
                <w:rFonts w:ascii="Calibri" w:cs="Calibri" w:eastAsia="Calibri" w:hAnsi="Calibri"/>
                <w:sz w:val="19"/>
                <w:szCs w:val="19"/>
              </w:rPr>
              <w:t xml:space="preserve"> headless banking; ledgers and payments; Open Banking, CDR, PayTo, NPP</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&amp; integration architecture:</w:t>
            </w:r>
            <w:r>
              <w:rPr>
                <w:rFonts w:ascii="Calibri" w:cs="Calibri" w:eastAsia="Calibri" w:hAnsi="Calibri"/>
                <w:sz w:val="19"/>
                <w:szCs w:val="19"/>
              </w:rPr>
              <w:t xml:space="preserve"> shared and distributed data platforms; APIs; high-volume, high-availability systems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Security &amp; regulatory risk:</w:t>
            </w:r>
            <w:r>
              <w:rPr>
                <w:rFonts w:ascii="Calibri" w:cs="Calibri" w:eastAsia="Calibri" w:hAnsi="Calibri"/>
                <w:sz w:val="19"/>
                <w:szCs w:val="19"/>
              </w:rPr>
              <w:t xml:space="preserve"> ISO 27001:2022, PCI-DSS, FCA; ISMF; GDPR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Investment advisory:</w:t>
            </w:r>
            <w:r>
              <w:rPr>
                <w:rFonts w:ascii="Calibri" w:cs="Calibri" w:eastAsia="Calibri" w:hAnsi="Calibri"/>
                <w:sz w:val="19"/>
                <w:szCs w:val="19"/>
              </w:rPr>
              <w:t xml:space="preserve"> CEO, CFO and Board advice; business cases; technology due diligence</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Cloud &amp; infrastructure:</w:t>
            </w:r>
            <w:r>
              <w:rPr>
                <w:rFonts w:ascii="Calibri" w:cs="Calibri" w:eastAsia="Calibri" w:hAnsi="Calibri"/>
                <w:sz w:val="19"/>
                <w:szCs w:val="19"/>
              </w:rPr>
              <w:t xml:space="preserve"> Azure and AWS; 100% cloud migration; MS 365</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Leadership &amp; influence:</w:t>
            </w:r>
            <w:r>
              <w:rPr>
                <w:rFonts w:ascii="Calibri" w:cs="Calibri" w:eastAsia="Calibri" w:hAnsi="Calibri"/>
                <w:sz w:val="19"/>
                <w:szCs w:val="19"/>
              </w:rPr>
              <w:t xml:space="preserve"> executive stakeholders; distributed teams to ~300 FTE</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Conceived Totemic's Embark™ headless banking platform for ledgers, payments, affordability, PFM and regulatory reporting; adopted by PayPal, NatWest, Santander and other major institutions, and EBITDA-positive in year one.</w:t>
      </w:r>
    </w:p>
    <w:p>
      <w:pPr>
        <w:pStyle w:val="ListParagraph"/>
        <w:numPr>
          <w:ilvl w:val="0"/>
          <w:numId w:val="2"/>
        </w:numPr>
        <w:spacing w:after="30" w:line="236"/>
      </w:pPr>
      <w:r>
        <w:rPr>
          <w:rFonts w:ascii="Calibri" w:cs="Calibri" w:eastAsia="Calibri" w:hAnsi="Calibri"/>
          <w:sz w:val="19"/>
          <w:szCs w:val="19"/>
        </w:rPr>
        <w:t xml:space="preserve">Shaped ReckonX, the multi-year platform strategy consolidating ~70k customers onto Reckon One and its mobile products, and shape platform, data and AI investment with Reckon's CEO, Group CTO and CFO.</w:t>
      </w:r>
    </w:p>
    <w:p>
      <w:pPr>
        <w:pStyle w:val="ListParagraph"/>
        <w:numPr>
          <w:ilvl w:val="0"/>
          <w:numId w:val="2"/>
        </w:numPr>
        <w:spacing w:after="30" w:line="236"/>
      </w:pPr>
      <w:r>
        <w:rPr>
          <w:rFonts w:ascii="Calibri" w:cs="Calibri" w:eastAsia="Calibri" w:hAnsi="Calibri"/>
          <w:sz w:val="19"/>
          <w:szCs w:val="19"/>
        </w:rPr>
        <w:t xml:space="preserve">Introduced high-availability, high-volume data architecture across big-data, cloud and Open Banking at CallCredit/TransUnion, supporting bureau-scale credit, fraud, AML, affordability and identity products, and launched Noddle™, now Credit Karma™ UK.</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to hard statutory deadlines, within a national patient-record ecosystem requiring rigorous interoperability, access controls and information security.</w:t>
      </w:r>
    </w:p>
    <w:p>
      <w:pPr>
        <w:pStyle w:val="ListParagraph"/>
        <w:numPr>
          <w:ilvl w:val="0"/>
          <w:numId w:val="2"/>
        </w:numPr>
        <w:spacing w:after="30" w:line="236"/>
      </w:pPr>
      <w:r>
        <w:rPr>
          <w:rFonts w:ascii="Calibri" w:cs="Calibri" w:eastAsia="Calibri" w:hAnsi="Calibri"/>
          <w:sz w:val="19"/>
          <w:szCs w:val="19"/>
        </w:rPr>
        <w:t xml:space="preserve">Re-platformed the majority of AIB's key systems and completed a 100% cloud migration in under six months; used an IT Blueprint at EduCo for technology and data due diligence, integration and divestiture across ANZ, the UK, Canada and the USA.</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shape platform, data and AI investment with the CEO, Group CTO and CFO, balancing value, risk, security and regulatory obligations; own the group roadmap and backlog.</w:t>
      </w:r>
    </w:p>
    <w:p>
      <w:pPr>
        <w:pStyle w:val="ListParagraph"/>
        <w:numPr>
          <w:ilvl w:val="0"/>
          <w:numId w:val="2"/>
        </w:numPr>
        <w:spacing w:after="30" w:line="236"/>
      </w:pPr>
      <w:r>
        <w:rPr>
          <w:rFonts w:ascii="Calibri" w:cs="Calibri" w:eastAsia="Calibri" w:hAnsi="Calibri"/>
          <w:b/>
          <w:bCs/>
          <w:sz w:val="19"/>
          <w:szCs w:val="19"/>
        </w:rPr>
        <w:t xml:space="preserve">Platform strategy:</w:t>
      </w:r>
      <w:r>
        <w:rPr>
          <w:rFonts w:ascii="Calibri" w:cs="Calibri" w:eastAsia="Calibri" w:hAnsi="Calibri"/>
          <w:sz w:val="19"/>
          <w:szCs w:val="19"/>
        </w:rPr>
        <w:t xml:space="preserve"> shaped ReckonX, the multi-year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implemented shared-data platforms supporting customer reporting and governed third-party access through Power BI, Fabric, Snowflake and MCP.</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portfolio delivery across invoicing, payroll integrations, banking and reconciliation, payments and workforce management.</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LOB platforms; migrated to MS365; consolidated technology suppliers.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CloudFront) · Kafka · Docker · Kubernetes · New Relic · Git/GitHub · CI/CD · Azure DevOps</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FHIR · MCP · OCR/NLP</w:t>
      </w:r>
    </w:p>
    <w:p>
      <w:pPr>
        <w:spacing w:after="8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Salesforce · SAP · PeopleSoft · NetSuite · MS 365 · Power Platform · Yodlee · Stripe · Data Action · Xero</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5xh3swg2qxsgmv8qlxle"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Beyond Bank Principal Enterprise Architect</dc:title>
  <dc:creator>David Weir</dc:creator>
  <cp:lastModifiedBy>Un-named</cp:lastModifiedBy>
  <cp:revision>1</cp:revision>
  <dcterms:created xsi:type="dcterms:W3CDTF">2026-10-20T09:30:47.346Z</dcterms:created>
  <dcterms:modified xsi:type="dcterms:W3CDTF">2026-10-20T09:30:47.346Z</dcterms:modified>
</cp:coreProperties>
</file>

<file path=docProps/custom.xml><?xml version="1.0" encoding="utf-8"?>
<Properties xmlns="http://schemas.openxmlformats.org/officeDocument/2006/custom-properties" xmlns:vt="http://schemas.openxmlformats.org/officeDocument/2006/docPropsVTypes"/>
</file>