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7200"/>
        <w:gridCol w:w="3266"/>
      </w:tblGrid>
      <w:tr>
        <w:tc>
          <w:tcPr>
            <w:tcW w:type="dxa" w:w="7200"/>
            <w:tcBorders>
              <w:top w:val="none" w:color="FFFFFF" w:sz="0"/>
              <w:left w:val="none" w:color="FFFFFF" w:sz="0"/>
              <w:bottom w:val="none" w:color="FFFFFF" w:sz="0"/>
              <w:right w:val="none" w:color="FFFFFF" w:sz="0"/>
            </w:tcBorders>
            <w:tcMar>
              <w:top w:type="dxa" w:w="20"/>
              <w:left w:type="dxa" w:w="0"/>
              <w:bottom w:type="dxa" w:w="20"/>
              <w:right w:type="dxa" w:w="60"/>
            </w:tcMar>
            <w:vAlign w:val="center"/>
          </w:tcPr>
          <w:p>
            <w:pPr>
              <w:spacing w:after="40"/>
            </w:pPr>
            <w:r>
              <w:rPr>
                <w:rFonts w:ascii="Calibri" w:cs="Calibri" w:eastAsia="Calibri" w:hAnsi="Calibri"/>
                <w:b/>
                <w:bCs/>
                <w:color w:val="1F4E5F"/>
                <w:sz w:val="44"/>
                <w:szCs w:val="44"/>
              </w:rPr>
              <w:t xml:space="preserve">David Weir</w:t>
            </w:r>
          </w:p>
          <w:p>
            <w:r>
              <w:rPr>
                <w:rFonts w:ascii="Calibri" w:cs="Calibri" w:eastAsia="Calibri" w:hAnsi="Calibri"/>
                <w:i/>
                <w:iCs/>
                <w:sz w:val="20"/>
                <w:szCs w:val="20"/>
              </w:rPr>
              <w:t xml:space="preserve">Product and proposition leader who has built, launched and bought technology services — Head of Product · CTO.</w:t>
            </w:r>
          </w:p>
        </w:tc>
        <w:tc>
          <w:tcPr>
            <w:tcW w:type="dxa" w:w="3266"/>
            <w:tcBorders>
              <w:top w:val="none" w:color="FFFFFF" w:sz="0"/>
              <w:left w:val="none" w:color="FFFFFF" w:sz="0"/>
              <w:bottom w:val="none" w:color="FFFFFF" w:sz="0"/>
              <w:right w:val="none" w:color="FFFFFF" w:sz="0"/>
            </w:tcBorders>
            <w:tcMar>
              <w:top w:type="dxa" w:w="20"/>
              <w:left w:type="dxa" w:w="60"/>
              <w:bottom w:type="dxa" w:w="20"/>
              <w:right w:type="dxa" w:w="0"/>
            </w:tcMar>
            <w:vAlign w:val="center"/>
          </w:tcPr>
          <w:p>
            <w:pPr>
              <w:jc w:val="right"/>
            </w:pPr>
            <w:hyperlink w:history="1" r:id="rId6zoxj9aq7jv2ntj7qtkga">
              <w:r>
                <w:rPr>
                  <w:rFonts w:ascii="Calibri" w:cs="Calibri" w:eastAsia="Calibri" w:hAnsi="Calibri"/>
                  <w:color w:val="1F4E5F"/>
                  <w:sz w:val="18"/>
                  <w:szCs w:val="18"/>
                  <w:u w:val="single"/>
                </w:rPr>
                <w:t xml:space="preserve">linkedin.com/in/david~weir/</w:t>
              </w:r>
            </w:hyperlink>
          </w:p>
          <w:p>
            <w:pPr>
              <w:jc w:val="right"/>
            </w:pPr>
            <w:r>
              <w:rPr>
                <w:rFonts w:ascii="Calibri" w:cs="Calibri" w:eastAsia="Calibri" w:hAnsi="Calibri"/>
                <w:sz w:val="18"/>
                <w:szCs w:val="18"/>
              </w:rPr>
              <w:t xml:space="preserve">Adelaide, South Australia</w:t>
            </w:r>
          </w:p>
          <w:p>
            <w:pPr>
              <w:jc w:val="right"/>
            </w:pPr>
            <w:r>
              <w:rPr>
                <w:rFonts w:ascii="Calibri" w:cs="Calibri" w:eastAsia="Calibri" w:hAnsi="Calibri"/>
                <w:sz w:val="18"/>
                <w:szCs w:val="18"/>
              </w:rPr>
              <w:t xml:space="preserve">Dave@weirsweb.com.au</w:t>
            </w:r>
          </w:p>
          <w:p>
            <w:pPr>
              <w:jc w:val="right"/>
            </w:pPr>
            <w:r>
              <w:rPr>
                <w:rFonts w:ascii="Calibri" w:cs="Calibri" w:eastAsia="Calibri" w:hAnsi="Calibri"/>
                <w:sz w:val="18"/>
                <w:szCs w:val="18"/>
              </w:rPr>
              <w:t xml:space="preserve">+61 (0)490 782 166</w:t>
            </w:r>
          </w:p>
          <w:p>
            <w:pPr>
              <w:jc w:val="right"/>
            </w:pPr>
            <w:r>
              <w:rPr>
                <w:rFonts w:ascii="Calibri" w:cs="Calibri" w:eastAsia="Calibri" w:hAnsi="Calibri"/>
                <w:sz w:val="18"/>
                <w:szCs w:val="18"/>
              </w:rPr>
              <w:t xml:space="preserve">Dual Citizen – Australian / British</w:t>
            </w:r>
          </w:p>
        </w:tc>
      </w:tr>
    </w:tbl>
    <w:p>
      <w:pPr>
        <w:pBdr>
          <w:bottom w:val="single" w:color="1F4E5F" w:sz="6" w:space="2"/>
        </w:pBdr>
        <w:spacing w:after="60" w:before="120"/>
      </w:pPr>
      <w:r>
        <w:rPr>
          <w:rFonts w:ascii="Calibri" w:cs="Calibri" w:eastAsia="Calibri" w:hAnsi="Calibri"/>
          <w:b/>
          <w:bCs/>
          <w:color w:val="1F4E5F"/>
          <w:sz w:val="23"/>
          <w:szCs w:val="23"/>
        </w:rPr>
        <w:t xml:space="preserve">Executive Summary</w:t>
      </w:r>
    </w:p>
    <w:p>
      <w:pPr>
        <w:spacing w:after="80" w:line="240"/>
      </w:pPr>
      <w:r>
        <w:rPr>
          <w:rFonts w:ascii="Calibri" w:cs="Calibri" w:eastAsia="Calibri" w:hAnsi="Calibri"/>
          <w:sz w:val="19"/>
          <w:szCs w:val="19"/>
        </w:rPr>
        <w:t xml:space="preserve">Product and technology leader with over 15 years in CXO and Director roles across SaaS, fintech, health, education and other regulated sectors. Head of Product with CPO remit at Reckon (ASX: RKN), having retained CTO accountability for Cashflow Manager following its acquisition. I own product strategy, the roadmap and go-to-market for a portfolio of accounting, payroll, POS, web and mobile products, and directly lead the Product, Enterprise Data and Reporting teams.</w:t>
      </w:r>
    </w:p>
    <w:p>
      <w:pPr>
        <w:spacing w:after="80" w:line="240"/>
      </w:pPr>
      <w:r>
        <w:rPr>
          <w:rFonts w:ascii="Calibri" w:cs="Calibri" w:eastAsia="Calibri" w:hAnsi="Calibri"/>
          <w:sz w:val="19"/>
          <w:szCs w:val="19"/>
        </w:rPr>
        <w:t xml:space="preserve">I have built and launched propositions that customers buy: Embark™, a banking platform taken to market and adopted by PayPal, NatWest, Santander and Tesco Bank, EBITDA-positive in year one; Noddle™, the UK's first free consumer credit report; and the okke mobile app and a white-labelled Companion App at Cashflow Manager. I have led persona and segmentation work at AIB, EduCo, Cashflow Manager and Reckon, and tender responses from national NHS RFPs to white-labelled payroll.</w:t>
      </w:r>
    </w:p>
    <w:p>
      <w:pPr>
        <w:spacing w:after="80" w:line="240"/>
      </w:pPr>
      <w:r>
        <w:rPr>
          <w:rFonts w:ascii="Calibri" w:cs="Calibri" w:eastAsia="Calibri" w:hAnsi="Calibri"/>
          <w:sz w:val="19"/>
          <w:szCs w:val="19"/>
        </w:rPr>
        <w:t xml:space="preserve">I also know IT services from the customer's side. As CTO and Director of IT I have bought, consolidated and renegotiated managed services, cloud, infrastructure and communications contracts, recovering $1.3m at AIB, and led cloud migration, cyber security and service management. I bring both perspectives to an ITO proposition: what customers need, and what makes them buy and stay.</w:t>
      </w:r>
    </w:p>
    <w:p>
      <w:pPr>
        <w:pBdr>
          <w:bottom w:val="single" w:color="1F4E5F" w:sz="6" w:space="2"/>
        </w:pBdr>
        <w:spacing w:after="60" w:before="120"/>
      </w:pPr>
      <w:r>
        <w:rPr>
          <w:rFonts w:ascii="Calibri" w:cs="Calibri" w:eastAsia="Calibri" w:hAnsi="Calibri"/>
          <w:b/>
          <w:bCs/>
          <w:color w:val="1F4E5F"/>
          <w:sz w:val="23"/>
          <w:szCs w:val="23"/>
        </w:rPr>
        <w:t xml:space="preserve">Core Competencies</w:t>
      </w:r>
    </w:p>
    <w:tbl>
      <w:tblPr>
        <w:tblW w:type="dxa" w:w="10464"/>
        <w:tblBorders>
          <w:top w:val="none" w:color="FFFFFF" w:sz="0"/>
          <w:left w:val="none" w:color="FFFFFF" w:sz="0"/>
          <w:bottom w:val="none" w:color="FFFFFF" w:sz="0"/>
          <w:right w:val="none" w:color="FFFFFF" w:sz="0"/>
          <w:insideH w:val="none" w:color="FFFFFF" w:sz="0"/>
          <w:insideV w:val="none" w:color="FFFFFF" w:sz="0"/>
        </w:tblBorders>
      </w:tblPr>
      <w:tblGrid>
        <w:gridCol w:w="3488"/>
        <w:gridCol w:w="3488"/>
        <w:gridCol w:w="3488"/>
      </w:tblGrid>
      <w:tr>
        <w:tc>
          <w:tcPr>
            <w:tcW w:type="dxa" w:w="348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60" w:line="240"/>
            </w:pPr>
            <w:r>
              <w:rPr>
                <w:color w:val="1F4E5F"/>
                <w:sz w:val="19"/>
                <w:szCs w:val="19"/>
              </w:rPr>
              <w:sym w:char="F076" w:font="Wingdings"/>
            </w:r>
            <w:r>
              <w:rPr>
                <w:rFonts w:ascii="Calibri" w:cs="Calibri" w:eastAsia="Calibri" w:hAnsi="Calibri"/>
                <w:sz w:val="19"/>
                <w:szCs w:val="19"/>
              </w:rPr>
              <w:t xml:space="preserve"> </w:t>
            </w:r>
            <w:r>
              <w:rPr>
                <w:rFonts w:ascii="Calibri" w:cs="Calibri" w:eastAsia="Calibri" w:hAnsi="Calibri"/>
                <w:b/>
                <w:bCs/>
                <w:sz w:val="19"/>
                <w:szCs w:val="19"/>
              </w:rPr>
              <w:t xml:space="preserve">Proposition strategy:</w:t>
            </w:r>
            <w:r>
              <w:rPr>
                <w:rFonts w:ascii="Calibri" w:cs="Calibri" w:eastAsia="Calibri" w:hAnsi="Calibri"/>
                <w:sz w:val="19"/>
                <w:szCs w:val="19"/>
              </w:rPr>
              <w:t xml:space="preserve"> product and proposition strategy, roadmaps and launches; OKR, OGSM</w:t>
            </w:r>
          </w:p>
          <w:p>
            <w:pPr>
              <w:spacing w:after="60" w:line="240"/>
            </w:pPr>
            <w:r>
              <w:rPr>
                <w:color w:val="1F4E5F"/>
                <w:sz w:val="19"/>
                <w:szCs w:val="19"/>
              </w:rPr>
              <w:sym w:char="F076" w:font="Wingdings"/>
            </w:r>
            <w:r>
              <w:rPr>
                <w:rFonts w:ascii="Calibri" w:cs="Calibri" w:eastAsia="Calibri" w:hAnsi="Calibri"/>
                <w:sz w:val="19"/>
                <w:szCs w:val="19"/>
              </w:rPr>
              <w:t xml:space="preserve"> </w:t>
            </w:r>
            <w:r>
              <w:rPr>
                <w:rFonts w:ascii="Calibri" w:cs="Calibri" w:eastAsia="Calibri" w:hAnsi="Calibri"/>
                <w:b/>
                <w:bCs/>
                <w:sz w:val="19"/>
                <w:szCs w:val="19"/>
              </w:rPr>
              <w:t xml:space="preserve">Customer insight:</w:t>
            </w:r>
            <w:r>
              <w:rPr>
                <w:rFonts w:ascii="Calibri" w:cs="Calibri" w:eastAsia="Calibri" w:hAnsi="Calibri"/>
                <w:sz w:val="19"/>
                <w:szCs w:val="19"/>
              </w:rPr>
              <w:t xml:space="preserve"> personas, archetypes and custom segmentation; journey mapping; behavioural analytics</w:t>
            </w:r>
          </w:p>
          <w:p>
            <w:pPr>
              <w:spacing w:after="60" w:line="240"/>
            </w:pPr>
            <w:r>
              <w:rPr>
                <w:color w:val="1F4E5F"/>
                <w:sz w:val="19"/>
                <w:szCs w:val="19"/>
              </w:rPr>
              <w:sym w:char="F076" w:font="Wingdings"/>
            </w:r>
            <w:r>
              <w:rPr>
                <w:rFonts w:ascii="Calibri" w:cs="Calibri" w:eastAsia="Calibri" w:hAnsi="Calibri"/>
                <w:sz w:val="19"/>
                <w:szCs w:val="19"/>
              </w:rPr>
              <w:t xml:space="preserve"> </w:t>
            </w:r>
            <w:r>
              <w:rPr>
                <w:rFonts w:ascii="Calibri" w:cs="Calibri" w:eastAsia="Calibri" w:hAnsi="Calibri"/>
                <w:b/>
                <w:bCs/>
                <w:sz w:val="19"/>
                <w:szCs w:val="19"/>
              </w:rPr>
              <w:t xml:space="preserve">Go-to-market and tenders:</w:t>
            </w:r>
            <w:r>
              <w:rPr>
                <w:rFonts w:ascii="Calibri" w:cs="Calibri" w:eastAsia="Calibri" w:hAnsi="Calibri"/>
                <w:sz w:val="19"/>
                <w:szCs w:val="19"/>
              </w:rPr>
              <w:t xml:space="preserve"> positioning and launch; tender and RFP responses; white-label propositions; ~25% lower CoA</w:t>
            </w:r>
          </w:p>
        </w:tc>
        <w:tc>
          <w:tcPr>
            <w:tcW w:type="dxa" w:w="348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60" w:line="240"/>
            </w:pPr>
            <w:r>
              <w:rPr>
                <w:color w:val="1F4E5F"/>
                <w:sz w:val="19"/>
                <w:szCs w:val="19"/>
              </w:rPr>
              <w:sym w:char="F076" w:font="Wingdings"/>
            </w:r>
            <w:r>
              <w:rPr>
                <w:rFonts w:ascii="Calibri" w:cs="Calibri" w:eastAsia="Calibri" w:hAnsi="Calibri"/>
                <w:sz w:val="19"/>
                <w:szCs w:val="19"/>
              </w:rPr>
              <w:t xml:space="preserve"> </w:t>
            </w:r>
            <w:r>
              <w:rPr>
                <w:rFonts w:ascii="Calibri" w:cs="Calibri" w:eastAsia="Calibri" w:hAnsi="Calibri"/>
                <w:b/>
                <w:bCs/>
                <w:sz w:val="19"/>
                <w:szCs w:val="19"/>
              </w:rPr>
              <w:t xml:space="preserve">IT services from the buyer side:</w:t>
            </w:r>
            <w:r>
              <w:rPr>
                <w:rFonts w:ascii="Calibri" w:cs="Calibri" w:eastAsia="Calibri" w:hAnsi="Calibri"/>
                <w:sz w:val="19"/>
                <w:szCs w:val="19"/>
              </w:rPr>
              <w:t xml:space="preserve"> managed services, cloud and communications sourcing; supplier consolidation; $1.3m recovered</w:t>
            </w:r>
          </w:p>
          <w:p>
            <w:pPr>
              <w:spacing w:after="60" w:line="240"/>
            </w:pPr>
            <w:r>
              <w:rPr>
                <w:color w:val="1F4E5F"/>
                <w:sz w:val="19"/>
                <w:szCs w:val="19"/>
              </w:rPr>
              <w:sym w:char="F076" w:font="Wingdings"/>
            </w:r>
            <w:r>
              <w:rPr>
                <w:rFonts w:ascii="Calibri" w:cs="Calibri" w:eastAsia="Calibri" w:hAnsi="Calibri"/>
                <w:sz w:val="19"/>
                <w:szCs w:val="19"/>
              </w:rPr>
              <w:t xml:space="preserve"> </w:t>
            </w:r>
            <w:r>
              <w:rPr>
                <w:rFonts w:ascii="Calibri" w:cs="Calibri" w:eastAsia="Calibri" w:hAnsi="Calibri"/>
                <w:b/>
                <w:bCs/>
                <w:sz w:val="19"/>
                <w:szCs w:val="19"/>
              </w:rPr>
              <w:t xml:space="preserve">Technology breadth:</w:t>
            </w:r>
            <w:r>
              <w:rPr>
                <w:rFonts w:ascii="Calibri" w:cs="Calibri" w:eastAsia="Calibri" w:hAnsi="Calibri"/>
                <w:sz w:val="19"/>
                <w:szCs w:val="19"/>
              </w:rPr>
              <w:t xml:space="preserve"> cloud migration, infrastructure, cyber security, ERP and CRM, data and AI</w:t>
            </w:r>
          </w:p>
          <w:p>
            <w:pPr>
              <w:spacing w:after="60" w:line="240"/>
            </w:pPr>
            <w:r>
              <w:rPr>
                <w:color w:val="1F4E5F"/>
                <w:sz w:val="19"/>
                <w:szCs w:val="19"/>
              </w:rPr>
              <w:sym w:char="F076" w:font="Wingdings"/>
            </w:r>
            <w:r>
              <w:rPr>
                <w:rFonts w:ascii="Calibri" w:cs="Calibri" w:eastAsia="Calibri" w:hAnsi="Calibri"/>
                <w:sz w:val="19"/>
                <w:szCs w:val="19"/>
              </w:rPr>
              <w:t xml:space="preserve"> </w:t>
            </w:r>
            <w:r>
              <w:rPr>
                <w:rFonts w:ascii="Calibri" w:cs="Calibri" w:eastAsia="Calibri" w:hAnsi="Calibri"/>
                <w:b/>
                <w:bCs/>
                <w:sz w:val="19"/>
                <w:szCs w:val="19"/>
              </w:rPr>
              <w:t xml:space="preserve">Commercial management:</w:t>
            </w:r>
            <w:r>
              <w:rPr>
                <w:rFonts w:ascii="Calibri" w:cs="Calibri" w:eastAsia="Calibri" w:hAnsi="Calibri"/>
                <w:sz w:val="19"/>
                <w:szCs w:val="19"/>
              </w:rPr>
              <w:t xml:space="preserve"> business cases with CEO and CFO; budgets; contract and SLA negotiation</w:t>
            </w:r>
          </w:p>
        </w:tc>
        <w:tc>
          <w:tcPr>
            <w:tcW w:type="dxa" w:w="348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60" w:line="240"/>
            </w:pPr>
            <w:r>
              <w:rPr>
                <w:color w:val="1F4E5F"/>
                <w:sz w:val="19"/>
                <w:szCs w:val="19"/>
              </w:rPr>
              <w:sym w:char="F076" w:font="Wingdings"/>
            </w:r>
            <w:r>
              <w:rPr>
                <w:rFonts w:ascii="Calibri" w:cs="Calibri" w:eastAsia="Calibri" w:hAnsi="Calibri"/>
                <w:sz w:val="19"/>
                <w:szCs w:val="19"/>
              </w:rPr>
              <w:t xml:space="preserve"> </w:t>
            </w:r>
            <w:r>
              <w:rPr>
                <w:rFonts w:ascii="Calibri" w:cs="Calibri" w:eastAsia="Calibri" w:hAnsi="Calibri"/>
                <w:b/>
                <w:bCs/>
                <w:sz w:val="19"/>
                <w:szCs w:val="19"/>
              </w:rPr>
              <w:t xml:space="preserve">Cross-functional leadership:</w:t>
            </w:r>
            <w:r>
              <w:rPr>
                <w:rFonts w:ascii="Calibri" w:cs="Calibri" w:eastAsia="Calibri" w:hAnsi="Calibri"/>
                <w:sz w:val="19"/>
                <w:szCs w:val="19"/>
              </w:rPr>
              <w:t xml:space="preserve"> product, sales, service, marketing and technical teams; ~45 FTE to ~300 FTE portfolios</w:t>
            </w:r>
          </w:p>
          <w:p>
            <w:pPr>
              <w:spacing w:after="60" w:line="240"/>
            </w:pPr>
            <w:r>
              <w:rPr>
                <w:color w:val="1F4E5F"/>
                <w:sz w:val="19"/>
                <w:szCs w:val="19"/>
              </w:rPr>
              <w:sym w:char="F076" w:font="Wingdings"/>
            </w:r>
            <w:r>
              <w:rPr>
                <w:rFonts w:ascii="Calibri" w:cs="Calibri" w:eastAsia="Calibri" w:hAnsi="Calibri"/>
                <w:sz w:val="19"/>
                <w:szCs w:val="19"/>
              </w:rPr>
              <w:t xml:space="preserve"> </w:t>
            </w:r>
            <w:r>
              <w:rPr>
                <w:rFonts w:ascii="Calibri" w:cs="Calibri" w:eastAsia="Calibri" w:hAnsi="Calibri"/>
                <w:b/>
                <w:bCs/>
                <w:sz w:val="19"/>
                <w:szCs w:val="19"/>
              </w:rPr>
              <w:t xml:space="preserve">Governance and risk:</w:t>
            </w:r>
            <w:r>
              <w:rPr>
                <w:rFonts w:ascii="Calibri" w:cs="Calibri" w:eastAsia="Calibri" w:hAnsi="Calibri"/>
                <w:sz w:val="19"/>
                <w:szCs w:val="19"/>
              </w:rPr>
              <w:t xml:space="preserve"> ISO 27001:2022, PCI-DSS, ITIL; KPIs and SLAs</w:t>
            </w:r>
          </w:p>
          <w:p>
            <w:pPr>
              <w:spacing w:after="60" w:line="240"/>
            </w:pPr>
            <w:r>
              <w:rPr>
                <w:color w:val="1F4E5F"/>
                <w:sz w:val="19"/>
                <w:szCs w:val="19"/>
              </w:rPr>
              <w:sym w:char="F076" w:font="Wingdings"/>
            </w:r>
            <w:r>
              <w:rPr>
                <w:rFonts w:ascii="Calibri" w:cs="Calibri" w:eastAsia="Calibri" w:hAnsi="Calibri"/>
                <w:sz w:val="19"/>
                <w:szCs w:val="19"/>
              </w:rPr>
              <w:t xml:space="preserve"> </w:t>
            </w:r>
            <w:r>
              <w:rPr>
                <w:rFonts w:ascii="Calibri" w:cs="Calibri" w:eastAsia="Calibri" w:hAnsi="Calibri"/>
                <w:b/>
                <w:bCs/>
                <w:sz w:val="19"/>
                <w:szCs w:val="19"/>
              </w:rPr>
              <w:t xml:space="preserve">AI in product:</w:t>
            </w:r>
            <w:r>
              <w:rPr>
                <w:rFonts w:ascii="Calibri" w:cs="Calibri" w:eastAsia="Calibri" w:hAnsi="Calibri"/>
                <w:sz w:val="19"/>
                <w:szCs w:val="19"/>
              </w:rPr>
              <w:t xml:space="preserve"> in-product AI; AI-PDLC; responsible AI policy</w:t>
            </w:r>
          </w:p>
        </w:tc>
      </w:tr>
    </w:tbl>
    <w:p>
      <w:pPr>
        <w:pBdr>
          <w:bottom w:val="single" w:color="1F4E5F" w:sz="6" w:space="2"/>
        </w:pBdr>
        <w:spacing w:after="60" w:before="120"/>
      </w:pPr>
      <w:r>
        <w:rPr>
          <w:rFonts w:ascii="Calibri" w:cs="Calibri" w:eastAsia="Calibri" w:hAnsi="Calibri"/>
          <w:b/>
          <w:bCs/>
          <w:color w:val="1F4E5F"/>
          <w:sz w:val="23"/>
          <w:szCs w:val="23"/>
        </w:rPr>
        <w:t xml:space="preserve">Key Accomplishments</w:t>
      </w:r>
    </w:p>
    <w:p>
      <w:pPr>
        <w:pStyle w:val="ListParagraph"/>
        <w:numPr>
          <w:ilvl w:val="0"/>
          <w:numId w:val="2"/>
        </w:numPr>
        <w:spacing w:after="30" w:line="236"/>
      </w:pPr>
      <w:r>
        <w:rPr>
          <w:rFonts w:ascii="Calibri" w:cs="Calibri" w:eastAsia="Calibri" w:hAnsi="Calibri"/>
          <w:sz w:val="19"/>
          <w:szCs w:val="19"/>
        </w:rPr>
        <w:t xml:space="preserve">Conceived Totemic's Embark™ headless banking platform for ledgers, payments, affordability, PFM and regulatory reporting; taken to market and adopted by PayPal, NatWest, Santander and other major institutions, and EBITDA-positive in year one.</w:t>
      </w:r>
    </w:p>
    <w:p>
      <w:pPr>
        <w:pStyle w:val="ListParagraph"/>
        <w:numPr>
          <w:ilvl w:val="0"/>
          <w:numId w:val="2"/>
        </w:numPr>
        <w:spacing w:after="30" w:line="236"/>
      </w:pPr>
      <w:r>
        <w:rPr>
          <w:rFonts w:ascii="Calibri" w:cs="Calibri" w:eastAsia="Calibri" w:hAnsi="Calibri"/>
          <w:sz w:val="19"/>
          <w:szCs w:val="19"/>
        </w:rPr>
        <w:t xml:space="preserve">Implemented &amp; launched Noddle™, the UK's first free consumer credit report; subsequently Credit Karma™, acquired by Intuit.</w:t>
      </w:r>
    </w:p>
    <w:p>
      <w:pPr>
        <w:pStyle w:val="ListParagraph"/>
        <w:numPr>
          <w:ilvl w:val="0"/>
          <w:numId w:val="2"/>
        </w:numPr>
        <w:spacing w:after="30" w:line="236"/>
      </w:pPr>
      <w:r>
        <w:rPr>
          <w:rFonts w:ascii="Calibri" w:cs="Calibri" w:eastAsia="Calibri" w:hAnsi="Calibri"/>
          <w:sz w:val="19"/>
          <w:szCs w:val="19"/>
        </w:rPr>
        <w:t xml:space="preserve">Shaped ReckonX, the multi-year platform strategy to consolidate ~70k customers onto Reckon One and its mobile products.</w:t>
      </w:r>
    </w:p>
    <w:p>
      <w:pPr>
        <w:pStyle w:val="ListParagraph"/>
        <w:numPr>
          <w:ilvl w:val="0"/>
          <w:numId w:val="2"/>
        </w:numPr>
        <w:spacing w:after="30" w:line="236"/>
      </w:pPr>
      <w:r>
        <w:rPr>
          <w:rFonts w:ascii="Calibri" w:cs="Calibri" w:eastAsia="Calibri" w:hAnsi="Calibri"/>
          <w:sz w:val="19"/>
          <w:szCs w:val="19"/>
        </w:rPr>
        <w:t xml:space="preserve">Led Cashflow Manager's technology, product, service and marketing teams through its acquisition by Reckon, launching the okke mobile app and cutting cost of acquisition by ~25%.</w:t>
      </w:r>
    </w:p>
    <w:p>
      <w:pPr>
        <w:pStyle w:val="ListParagraph"/>
        <w:numPr>
          <w:ilvl w:val="0"/>
          <w:numId w:val="2"/>
        </w:numPr>
        <w:spacing w:after="30" w:line="236"/>
      </w:pPr>
      <w:r>
        <w:rPr>
          <w:rFonts w:ascii="Calibri" w:cs="Calibri" w:eastAsia="Calibri" w:hAnsi="Calibri"/>
          <w:sz w:val="19"/>
          <w:szCs w:val="19"/>
        </w:rPr>
        <w:t xml:space="preserve">Recovered $1.3m through supplier renegotiation at AIB, and completed a 100% cloud migration in under six months.</w:t>
      </w:r>
    </w:p>
    <w:p>
      <w:pPr>
        <w:pStyle w:val="ListParagraph"/>
        <w:numPr>
          <w:ilvl w:val="0"/>
          <w:numId w:val="2"/>
        </w:numPr>
        <w:spacing w:after="30" w:line="236"/>
      </w:pPr>
      <w:r>
        <w:rPr>
          <w:rFonts w:ascii="Calibri" w:cs="Calibri" w:eastAsia="Calibri" w:hAnsi="Calibri"/>
          <w:sz w:val="19"/>
          <w:szCs w:val="19"/>
        </w:rPr>
        <w:t xml:space="preserve">Leading AI-PDLC adoption across all Reckon product squads with AWS, cutting end-to-end delivery from months to weeks.</w:t>
      </w:r>
    </w:p>
    <w:p>
      <w:pPr>
        <w:pBdr>
          <w:bottom w:val="single" w:color="1F4E5F" w:sz="6" w:space="2"/>
        </w:pBdr>
        <w:spacing w:after="60" w:before="120"/>
      </w:pPr>
      <w:r>
        <w:rPr>
          <w:rFonts w:ascii="Calibri" w:cs="Calibri" w:eastAsia="Calibri" w:hAnsi="Calibri"/>
          <w:b/>
          <w:bCs/>
          <w:color w:val="1F4E5F"/>
          <w:sz w:val="23"/>
          <w:szCs w:val="23"/>
        </w:rPr>
        <w:t xml:space="preserve">Professional Experience</w:t>
      </w:r>
    </w:p>
    <w:p>
      <w:pPr>
        <w:keepNext/>
        <w:tabs>
          <w:tab w:val="right" w:pos="10466"/>
        </w:tabs>
        <w:spacing w:after="0" w:before="90"/>
      </w:pPr>
      <w:r>
        <w:rPr>
          <w:rFonts w:ascii="Calibri" w:cs="Calibri" w:eastAsia="Calibri" w:hAnsi="Calibri"/>
          <w:b/>
          <w:bCs/>
          <w:color w:val="1F4E5F"/>
          <w:sz w:val="20"/>
          <w:szCs w:val="20"/>
        </w:rPr>
        <w:t xml:space="preserve">Head of Product – CPO Remit | CTO for CFM</w:t>
      </w:r>
      <w:r>
        <w:rPr>
          <w:rFonts w:ascii="Calibri" w:cs="Calibri" w:eastAsia="Calibri" w:hAnsi="Calibri"/>
          <w:b/>
          <w:bCs/>
          <w:sz w:val="19"/>
          <w:szCs w:val="19"/>
        </w:rPr>
        <w:t xml:space="preserve">	Dec 2024 – Present</w:t>
      </w:r>
    </w:p>
    <w:p>
      <w:pPr>
        <w:keepNext/>
        <w:spacing w:after="50"/>
      </w:pPr>
      <w:r>
        <w:rPr>
          <w:rFonts w:ascii="Calibri" w:cs="Calibri" w:eastAsia="Calibri" w:hAnsi="Calibri"/>
          <w:b/>
          <w:bCs/>
          <w:sz w:val="19"/>
          <w:szCs w:val="19"/>
        </w:rPr>
        <w:t xml:space="preserve">Reckon (ASX: RKN)</w:t>
      </w:r>
      <w:r>
        <w:rPr>
          <w:rFonts w:ascii="Calibri" w:cs="Calibri" w:eastAsia="Calibri" w:hAnsi="Calibri"/>
          <w:i/>
          <w:iCs/>
          <w:sz w:val="19"/>
          <w:szCs w:val="19"/>
        </w:rPr>
        <w:t xml:space="preserve"> · Adelaide, Sydney — ASX-listed accounting software group</w:t>
      </w:r>
    </w:p>
    <w:p>
      <w:pPr>
        <w:spacing w:after="50" w:line="240"/>
      </w:pPr>
      <w:r>
        <w:rPr>
          <w:rFonts w:ascii="Calibri" w:cs="Calibri" w:eastAsia="Calibri" w:hAnsi="Calibri"/>
          <w:sz w:val="19"/>
          <w:szCs w:val="19"/>
        </w:rPr>
        <w:t xml:space="preserve">Appointed Head of Product with CPO remit following Reckon's acquisition of Cashflow Manager, while retaining CTO accountability for CFM. Own strategy and delivery across the full product portfolio and all product squads. Direct leadership of the Product, Enterprise Data and Reporting teams, with portfolio-wide leadership extending into Architecture, Research, Content and Design.</w:t>
      </w:r>
    </w:p>
    <w:p>
      <w:pPr>
        <w:pStyle w:val="ListParagraph"/>
        <w:numPr>
          <w:ilvl w:val="0"/>
          <w:numId w:val="2"/>
        </w:numPr>
        <w:spacing w:after="30" w:line="236"/>
      </w:pPr>
      <w:r>
        <w:rPr>
          <w:rFonts w:ascii="Calibri" w:cs="Calibri" w:eastAsia="Calibri" w:hAnsi="Calibri"/>
          <w:b/>
          <w:bCs/>
          <w:sz w:val="19"/>
          <w:szCs w:val="19"/>
        </w:rPr>
        <w:t xml:space="preserve">Product strategy:</w:t>
      </w:r>
      <w:r>
        <w:rPr>
          <w:rFonts w:ascii="Calibri" w:cs="Calibri" w:eastAsia="Calibri" w:hAnsi="Calibri"/>
          <w:sz w:val="19"/>
          <w:szCs w:val="19"/>
        </w:rPr>
        <w:t xml:space="preserve"> shaped ReckonX, the multi-year strategy consolidating ~70k customers onto Reckon One and mobile apps; own the group roadmap and backlog across interdependent products.</w:t>
      </w:r>
    </w:p>
    <w:p>
      <w:pPr>
        <w:pStyle w:val="ListParagraph"/>
        <w:numPr>
          <w:ilvl w:val="0"/>
          <w:numId w:val="2"/>
        </w:numPr>
        <w:spacing w:after="30" w:line="236"/>
      </w:pPr>
      <w:r>
        <w:rPr>
          <w:rFonts w:ascii="Calibri" w:cs="Calibri" w:eastAsia="Calibri" w:hAnsi="Calibri"/>
          <w:b/>
          <w:bCs/>
          <w:sz w:val="19"/>
          <w:szCs w:val="19"/>
        </w:rPr>
        <w:t xml:space="preserve">Portfolio:</w:t>
      </w:r>
      <w:r>
        <w:rPr>
          <w:rFonts w:ascii="Calibri" w:cs="Calibri" w:eastAsia="Calibri" w:hAnsi="Calibri"/>
          <w:sz w:val="19"/>
          <w:szCs w:val="19"/>
        </w:rPr>
        <w:t xml:space="preserve"> invoicing, payroll integrations, banking and reconciliation, payments, onboarding, in-app AI assistant, timesheets, leave and rostering, across accounting, payroll, POS, web and mobile.</w:t>
      </w:r>
    </w:p>
    <w:p>
      <w:pPr>
        <w:pStyle w:val="ListParagraph"/>
        <w:numPr>
          <w:ilvl w:val="0"/>
          <w:numId w:val="2"/>
        </w:numPr>
        <w:spacing w:after="30" w:line="236"/>
      </w:pPr>
      <w:r>
        <w:rPr>
          <w:rFonts w:ascii="Calibri" w:cs="Calibri" w:eastAsia="Calibri" w:hAnsi="Calibri"/>
          <w:b/>
          <w:bCs/>
          <w:sz w:val="19"/>
          <w:szCs w:val="19"/>
        </w:rPr>
        <w:t xml:space="preserve">Commercial and insight:</w:t>
      </w:r>
      <w:r>
        <w:rPr>
          <w:rFonts w:ascii="Calibri" w:cs="Calibri" w:eastAsia="Calibri" w:hAnsi="Calibri"/>
          <w:sz w:val="19"/>
          <w:szCs w:val="19"/>
        </w:rPr>
        <w:t xml:space="preserve"> make the investment case for product, data and AI with the CEO, Group CTO and CFO; accountable for metrics across sales, retention, product performance and customer insights, including Pendo analytics.</w:t>
      </w:r>
    </w:p>
    <w:p>
      <w:pPr>
        <w:pStyle w:val="ListParagraph"/>
        <w:numPr>
          <w:ilvl w:val="0"/>
          <w:numId w:val="2"/>
        </w:numPr>
        <w:spacing w:after="30" w:line="236"/>
      </w:pPr>
      <w:r>
        <w:rPr>
          <w:rFonts w:ascii="Calibri" w:cs="Calibri" w:eastAsia="Calibri" w:hAnsi="Calibri"/>
          <w:b/>
          <w:bCs/>
          <w:sz w:val="19"/>
          <w:szCs w:val="19"/>
        </w:rPr>
        <w:t xml:space="preserve">Tenders:</w:t>
      </w:r>
      <w:r>
        <w:rPr>
          <w:rFonts w:ascii="Calibri" w:cs="Calibri" w:eastAsia="Calibri" w:hAnsi="Calibri"/>
          <w:sz w:val="19"/>
          <w:szCs w:val="19"/>
        </w:rPr>
        <w:t xml:space="preserve"> led tender responses to provide white-labelled payroll and employee mobile solutions.</w:t>
      </w:r>
    </w:p>
    <w:p>
      <w:pPr>
        <w:pStyle w:val="ListParagraph"/>
        <w:numPr>
          <w:ilvl w:val="0"/>
          <w:numId w:val="2"/>
        </w:numPr>
        <w:spacing w:after="30" w:line="236"/>
      </w:pPr>
      <w:r>
        <w:rPr>
          <w:rFonts w:ascii="Calibri" w:cs="Calibri" w:eastAsia="Calibri" w:hAnsi="Calibri"/>
          <w:b/>
          <w:bCs/>
          <w:sz w:val="19"/>
          <w:szCs w:val="19"/>
        </w:rPr>
        <w:t xml:space="preserve">AI in product and delivery:</w:t>
      </w:r>
      <w:r>
        <w:rPr>
          <w:rFonts w:ascii="Calibri" w:cs="Calibri" w:eastAsia="Calibri" w:hAnsi="Calibri"/>
          <w:sz w:val="19"/>
          <w:szCs w:val="19"/>
        </w:rPr>
        <w:t xml:space="preserve"> leading AWS AI-PDLC adoption, cutting end-to-end delivery from months to weeks; embedded AI into Reckon One for onboarding, bank reconciliation, and insights and anomaly detection.</w:t>
      </w:r>
    </w:p>
    <w:p>
      <w:pPr>
        <w:pStyle w:val="ListParagraph"/>
        <w:numPr>
          <w:ilvl w:val="0"/>
          <w:numId w:val="2"/>
        </w:numPr>
        <w:spacing w:after="30" w:line="236"/>
      </w:pPr>
      <w:r>
        <w:rPr>
          <w:rFonts w:ascii="Calibri" w:cs="Calibri" w:eastAsia="Calibri" w:hAnsi="Calibri"/>
          <w:b/>
          <w:bCs/>
          <w:sz w:val="19"/>
          <w:szCs w:val="19"/>
        </w:rPr>
        <w:t xml:space="preserve">Regulated delivery:</w:t>
      </w:r>
      <w:r>
        <w:rPr>
          <w:rFonts w:ascii="Calibri" w:cs="Calibri" w:eastAsia="Calibri" w:hAnsi="Calibri"/>
          <w:sz w:val="19"/>
          <w:szCs w:val="19"/>
        </w:rPr>
        <w:t xml:space="preserve"> ATO compliance across STP2, Payday Super, IFRS/ISSB, CDR, PayTo, Peppol and NPP; ISO 27001:2022.</w:t>
      </w:r>
    </w:p>
    <w:p>
      <w:pPr>
        <w:keepNext/>
        <w:tabs>
          <w:tab w:val="right" w:pos="10466"/>
        </w:tabs>
        <w:spacing w:after="0" w:before="90"/>
      </w:pPr>
      <w:r>
        <w:rPr>
          <w:rFonts w:ascii="Calibri" w:cs="Calibri" w:eastAsia="Calibri" w:hAnsi="Calibri"/>
          <w:b/>
          <w:bCs/>
          <w:color w:val="1F4E5F"/>
          <w:sz w:val="20"/>
          <w:szCs w:val="20"/>
        </w:rPr>
        <w:t xml:space="preserve">CTO | Chief Technology Officer</w:t>
      </w:r>
      <w:r>
        <w:rPr>
          <w:rFonts w:ascii="Calibri" w:cs="Calibri" w:eastAsia="Calibri" w:hAnsi="Calibri"/>
          <w:b/>
          <w:bCs/>
          <w:sz w:val="19"/>
          <w:szCs w:val="19"/>
        </w:rPr>
        <w:t xml:space="preserve">	Dec 2023 – Dec 2024</w:t>
      </w:r>
    </w:p>
    <w:p>
      <w:pPr>
        <w:keepNext/>
        <w:spacing w:after="50"/>
      </w:pPr>
      <w:r>
        <w:rPr>
          <w:rFonts w:ascii="Calibri" w:cs="Calibri" w:eastAsia="Calibri" w:hAnsi="Calibri"/>
          <w:b/>
          <w:bCs/>
          <w:sz w:val="19"/>
          <w:szCs w:val="19"/>
        </w:rPr>
        <w:t xml:space="preserve">Cashflow Manager</w:t>
      </w:r>
      <w:r>
        <w:rPr>
          <w:rFonts w:ascii="Calibri" w:cs="Calibri" w:eastAsia="Calibri" w:hAnsi="Calibri"/>
          <w:i/>
          <w:iCs/>
          <w:sz w:val="19"/>
          <w:szCs w:val="19"/>
        </w:rPr>
        <w:t xml:space="preserve"> · Adelaide, SA — accounting SaaS 400,000+ units sold worldwide</w:t>
      </w:r>
    </w:p>
    <w:p>
      <w:pPr>
        <w:spacing w:after="50" w:line="240"/>
      </w:pPr>
      <w:r>
        <w:rPr>
          <w:rFonts w:ascii="Calibri" w:cs="Calibri" w:eastAsia="Calibri" w:hAnsi="Calibri"/>
          <w:sz w:val="19"/>
          <w:szCs w:val="19"/>
        </w:rPr>
        <w:t xml:space="preserve">Led technology, product, service, marketing and operational teams (~45 FTE) across Cashflow Manager, Wages Manager, Inner Circle and okke, culminating in Reckon's acquisition of the business and appointment to group product leadership.</w:t>
      </w:r>
    </w:p>
    <w:p>
      <w:pPr>
        <w:pStyle w:val="ListParagraph"/>
        <w:numPr>
          <w:ilvl w:val="0"/>
          <w:numId w:val="2"/>
        </w:numPr>
        <w:spacing w:after="30" w:line="236"/>
      </w:pPr>
      <w:r>
        <w:rPr>
          <w:rFonts w:ascii="Calibri" w:cs="Calibri" w:eastAsia="Calibri" w:hAnsi="Calibri"/>
          <w:b/>
          <w:bCs/>
          <w:sz w:val="19"/>
          <w:szCs w:val="19"/>
        </w:rPr>
        <w:t xml:space="preserve">Propositions:</w:t>
      </w:r>
      <w:r>
        <w:rPr>
          <w:rFonts w:ascii="Calibri" w:cs="Calibri" w:eastAsia="Calibri" w:hAnsi="Calibri"/>
          <w:sz w:val="19"/>
          <w:szCs w:val="19"/>
        </w:rPr>
        <w:t xml:space="preserve"> launched the okke mobile app and white-labelled Companion App; reset product vision around market demand and subscriber behaviour using OKRs and OGSM.</w:t>
      </w:r>
    </w:p>
    <w:p>
      <w:pPr>
        <w:pStyle w:val="ListParagraph"/>
        <w:numPr>
          <w:ilvl w:val="0"/>
          <w:numId w:val="2"/>
        </w:numPr>
        <w:spacing w:after="30" w:line="236"/>
      </w:pPr>
      <w:r>
        <w:rPr>
          <w:rFonts w:ascii="Calibri" w:cs="Calibri" w:eastAsia="Calibri" w:hAnsi="Calibri"/>
          <w:b/>
          <w:bCs/>
          <w:sz w:val="19"/>
          <w:szCs w:val="19"/>
        </w:rPr>
        <w:t xml:space="preserve">Go-to-market:</w:t>
      </w:r>
      <w:r>
        <w:rPr>
          <w:rFonts w:ascii="Calibri" w:cs="Calibri" w:eastAsia="Calibri" w:hAnsi="Calibri"/>
          <w:sz w:val="19"/>
          <w:szCs w:val="19"/>
        </w:rPr>
        <w:t xml:space="preserve"> introduced analytics for digital marketing spend using Twilio Segment, reducing cost of acquisition by ~25%.</w:t>
      </w:r>
    </w:p>
    <w:p>
      <w:pPr>
        <w:pStyle w:val="ListParagraph"/>
        <w:numPr>
          <w:ilvl w:val="0"/>
          <w:numId w:val="2"/>
        </w:numPr>
        <w:spacing w:after="30" w:line="236"/>
      </w:pPr>
      <w:r>
        <w:rPr>
          <w:rFonts w:ascii="Calibri" w:cs="Calibri" w:eastAsia="Calibri" w:hAnsi="Calibri"/>
          <w:b/>
          <w:bCs/>
          <w:sz w:val="19"/>
          <w:szCs w:val="19"/>
        </w:rPr>
        <w:t xml:space="preserve">Customer segmentation:</w:t>
      </w:r>
      <w:r>
        <w:rPr>
          <w:rFonts w:ascii="Calibri" w:cs="Calibri" w:eastAsia="Calibri" w:hAnsi="Calibri"/>
          <w:sz w:val="19"/>
          <w:szCs w:val="19"/>
        </w:rPr>
        <w:t xml:space="preserve"> personas, archetypes and custom segmentation feeding digital marketing and trial-conversion journey mapping, building on similar work at AIB and EduCo.</w:t>
      </w:r>
    </w:p>
    <w:p>
      <w:pPr>
        <w:pStyle w:val="ListParagraph"/>
        <w:numPr>
          <w:ilvl w:val="0"/>
          <w:numId w:val="2"/>
        </w:numPr>
        <w:spacing w:after="30" w:line="236"/>
      </w:pPr>
      <w:r>
        <w:rPr>
          <w:rFonts w:ascii="Calibri" w:cs="Calibri" w:eastAsia="Calibri" w:hAnsi="Calibri"/>
          <w:b/>
          <w:bCs/>
          <w:sz w:val="19"/>
          <w:szCs w:val="19"/>
        </w:rPr>
        <w:t xml:space="preserve">Commercial management:</w:t>
      </w:r>
      <w:r>
        <w:rPr>
          <w:rFonts w:ascii="Calibri" w:cs="Calibri" w:eastAsia="Calibri" w:hAnsi="Calibri"/>
          <w:sz w:val="19"/>
          <w:szCs w:val="19"/>
        </w:rPr>
        <w:t xml:space="preserve"> renegotiated key contracts and consolidated operational teams, materially reducing overheads.</w:t>
      </w:r>
    </w:p>
    <w:p>
      <w:pPr>
        <w:pStyle w:val="ListParagraph"/>
        <w:numPr>
          <w:ilvl w:val="0"/>
          <w:numId w:val="2"/>
        </w:numPr>
        <w:spacing w:after="30" w:line="236"/>
      </w:pPr>
      <w:r>
        <w:rPr>
          <w:rFonts w:ascii="Calibri" w:cs="Calibri" w:eastAsia="Calibri" w:hAnsi="Calibri"/>
          <w:b/>
          <w:bCs/>
          <w:sz w:val="19"/>
          <w:szCs w:val="19"/>
        </w:rPr>
        <w:t xml:space="preserve">Service channels:</w:t>
      </w:r>
      <w:r>
        <w:rPr>
          <w:rFonts w:ascii="Calibri" w:cs="Calibri" w:eastAsia="Calibri" w:hAnsi="Calibri"/>
          <w:sz w:val="19"/>
          <w:szCs w:val="19"/>
        </w:rPr>
        <w:t xml:space="preserve"> rapid CRM migration from Salesforce to Zoho with 3CX unified communications, bookings and chat.</w:t>
      </w:r>
    </w:p>
    <w:p>
      <w:pPr>
        <w:keepNext/>
        <w:tabs>
          <w:tab w:val="right" w:pos="10466"/>
        </w:tabs>
        <w:spacing w:after="0" w:before="90"/>
      </w:pPr>
      <w:r>
        <w:rPr>
          <w:rFonts w:ascii="Calibri" w:cs="Calibri" w:eastAsia="Calibri" w:hAnsi="Calibri"/>
          <w:b/>
          <w:bCs/>
          <w:color w:val="1F4E5F"/>
          <w:sz w:val="20"/>
          <w:szCs w:val="20"/>
        </w:rPr>
        <w:t xml:space="preserve">CTO / Senior Vice President Information Technology</w:t>
      </w:r>
      <w:r>
        <w:rPr>
          <w:rFonts w:ascii="Calibri" w:cs="Calibri" w:eastAsia="Calibri" w:hAnsi="Calibri"/>
          <w:b/>
          <w:bCs/>
          <w:sz w:val="19"/>
          <w:szCs w:val="19"/>
        </w:rPr>
        <w:t xml:space="preserve">	Jan 2021 – Dec 2023</w:t>
      </w:r>
    </w:p>
    <w:p>
      <w:pPr>
        <w:keepNext/>
        <w:spacing w:after="50"/>
      </w:pPr>
      <w:r>
        <w:rPr>
          <w:rFonts w:ascii="Calibri" w:cs="Calibri" w:eastAsia="Calibri" w:hAnsi="Calibri"/>
          <w:b/>
          <w:bCs/>
          <w:sz w:val="19"/>
          <w:szCs w:val="19"/>
        </w:rPr>
        <w:t xml:space="preserve">EduCo International Group</w:t>
      </w:r>
      <w:r>
        <w:rPr>
          <w:rFonts w:ascii="Calibri" w:cs="Calibri" w:eastAsia="Calibri" w:hAnsi="Calibri"/>
          <w:i/>
          <w:iCs/>
          <w:sz w:val="19"/>
          <w:szCs w:val="19"/>
        </w:rPr>
        <w:t xml:space="preserve"> · Australia / global — Education group (BPEA EQT); BPO &amp; payments</w:t>
      </w:r>
    </w:p>
    <w:p>
      <w:pPr>
        <w:spacing w:after="50" w:line="240"/>
      </w:pPr>
      <w:r>
        <w:rPr>
          <w:rFonts w:ascii="Calibri" w:cs="Calibri" w:eastAsia="Calibri" w:hAnsi="Calibri"/>
          <w:sz w:val="19"/>
          <w:szCs w:val="19"/>
        </w:rPr>
        <w:t xml:space="preserve">Executive board member reporting to the CEO and BPEA EQT board, accountable for Technology, Data and Marketing across EduCo and its acquired universities, including BI, data engineering, analytics, cloud infrastructure and AI-enabled products.</w:t>
      </w:r>
    </w:p>
    <w:p>
      <w:pPr>
        <w:pStyle w:val="ListParagraph"/>
        <w:numPr>
          <w:ilvl w:val="0"/>
          <w:numId w:val="2"/>
        </w:numPr>
        <w:spacing w:after="30" w:line="236"/>
      </w:pPr>
      <w:r>
        <w:rPr>
          <w:rFonts w:ascii="Calibri" w:cs="Calibri" w:eastAsia="Calibri" w:hAnsi="Calibri"/>
          <w:b/>
          <w:bCs/>
          <w:sz w:val="19"/>
          <w:szCs w:val="19"/>
        </w:rPr>
        <w:t xml:space="preserve">New proposition:</w:t>
      </w:r>
      <w:r>
        <w:rPr>
          <w:rFonts w:ascii="Calibri" w:cs="Calibri" w:eastAsia="Calibri" w:hAnsi="Calibri"/>
          <w:sz w:val="19"/>
          <w:szCs w:val="19"/>
        </w:rPr>
        <w:t xml:space="preserve"> took the Accelerate platform from inception to launch in under six months, a data and AI service that vetted and ranked student applications across EduCo and its acquired universities, with integrated payments, escrow and commissions.</w:t>
      </w:r>
    </w:p>
    <w:p>
      <w:pPr>
        <w:pStyle w:val="ListParagraph"/>
        <w:numPr>
          <w:ilvl w:val="0"/>
          <w:numId w:val="2"/>
        </w:numPr>
        <w:spacing w:after="30" w:line="236"/>
      </w:pPr>
      <w:r>
        <w:rPr>
          <w:rFonts w:ascii="Calibri" w:cs="Calibri" w:eastAsia="Calibri" w:hAnsi="Calibri"/>
          <w:b/>
          <w:bCs/>
          <w:sz w:val="19"/>
          <w:szCs w:val="19"/>
        </w:rPr>
        <w:t xml:space="preserve">Sourcing and suppliers:</w:t>
      </w:r>
      <w:r>
        <w:rPr>
          <w:rFonts w:ascii="Calibri" w:cs="Calibri" w:eastAsia="Calibri" w:hAnsi="Calibri"/>
          <w:sz w:val="19"/>
          <w:szCs w:val="19"/>
        </w:rPr>
        <w:t xml:space="preserve"> consolidated technology suppliers; migrated to Microsoft 365 and Dynamics 365.</w:t>
      </w:r>
    </w:p>
    <w:p>
      <w:pPr>
        <w:pStyle w:val="ListParagraph"/>
        <w:numPr>
          <w:ilvl w:val="0"/>
          <w:numId w:val="2"/>
        </w:numPr>
        <w:spacing w:after="30" w:line="236"/>
      </w:pPr>
      <w:r>
        <w:rPr>
          <w:rFonts w:ascii="Calibri" w:cs="Calibri" w:eastAsia="Calibri" w:hAnsi="Calibri"/>
          <w:b/>
          <w:bCs/>
          <w:sz w:val="19"/>
          <w:szCs w:val="19"/>
        </w:rPr>
        <w:t xml:space="preserve">Data and commercial:</w:t>
      </w:r>
      <w:r>
        <w:rPr>
          <w:rFonts w:ascii="Calibri" w:cs="Calibri" w:eastAsia="Calibri" w:hAnsi="Calibri"/>
          <w:sz w:val="19"/>
          <w:szCs w:val="19"/>
        </w:rPr>
        <w:t xml:space="preserve"> implemented AI, BI and Data Insights capabilities, contributing to a 22% cut in OPEX and acquisition costs.</w:t>
      </w:r>
    </w:p>
    <w:p>
      <w:pPr>
        <w:pStyle w:val="ListParagraph"/>
        <w:numPr>
          <w:ilvl w:val="0"/>
          <w:numId w:val="2"/>
        </w:numPr>
        <w:spacing w:after="30" w:line="236"/>
      </w:pPr>
      <w:r>
        <w:rPr>
          <w:rFonts w:ascii="Calibri" w:cs="Calibri" w:eastAsia="Calibri" w:hAnsi="Calibri"/>
          <w:b/>
          <w:bCs/>
          <w:sz w:val="19"/>
          <w:szCs w:val="19"/>
        </w:rPr>
        <w:t xml:space="preserve">M&amp;A:</w:t>
      </w:r>
      <w:r>
        <w:rPr>
          <w:rFonts w:ascii="Calibri" w:cs="Calibri" w:eastAsia="Calibri" w:hAnsi="Calibri"/>
          <w:sz w:val="19"/>
          <w:szCs w:val="19"/>
        </w:rPr>
        <w:t xml:space="preserve"> used IT Blueprint for technology and data due diligence, integration and divestiture across ANZ, UK, CAN and USA.</w:t>
      </w:r>
    </w:p>
    <w:p>
      <w:pPr>
        <w:pStyle w:val="ListParagraph"/>
        <w:numPr>
          <w:ilvl w:val="0"/>
          <w:numId w:val="2"/>
        </w:numPr>
        <w:spacing w:after="30" w:line="236"/>
      </w:pPr>
      <w:r>
        <w:rPr>
          <w:rFonts w:ascii="Calibri" w:cs="Calibri" w:eastAsia="Calibri" w:hAnsi="Calibri"/>
          <w:b/>
          <w:bCs/>
          <w:sz w:val="19"/>
          <w:szCs w:val="19"/>
        </w:rPr>
        <w:t xml:space="preserve">Security:</w:t>
      </w:r>
      <w:r>
        <w:rPr>
          <w:rFonts w:ascii="Calibri" w:cs="Calibri" w:eastAsia="Calibri" w:hAnsi="Calibri"/>
          <w:sz w:val="19"/>
          <w:szCs w:val="19"/>
        </w:rPr>
        <w:t xml:space="preserve"> established an ISMF spanning cyber security, risk and incident management under GDPR and ISO 27001.</w:t>
      </w:r>
    </w:p>
    <w:p>
      <w:pPr>
        <w:keepNext/>
        <w:tabs>
          <w:tab w:val="right" w:pos="10466"/>
        </w:tabs>
        <w:spacing w:after="0" w:before="90"/>
      </w:pPr>
      <w:r>
        <w:rPr>
          <w:rFonts w:ascii="Calibri" w:cs="Calibri" w:eastAsia="Calibri" w:hAnsi="Calibri"/>
          <w:b/>
          <w:bCs/>
          <w:color w:val="1F4E5F"/>
          <w:sz w:val="20"/>
          <w:szCs w:val="20"/>
        </w:rPr>
        <w:t xml:space="preserve">Director of Information Service and Technologies</w:t>
      </w:r>
      <w:r>
        <w:rPr>
          <w:rFonts w:ascii="Calibri" w:cs="Calibri" w:eastAsia="Calibri" w:hAnsi="Calibri"/>
          <w:b/>
          <w:bCs/>
          <w:sz w:val="19"/>
          <w:szCs w:val="19"/>
        </w:rPr>
        <w:t xml:space="preserve">	Apr 2017 – Jan 2021</w:t>
      </w:r>
    </w:p>
    <w:p>
      <w:pPr>
        <w:keepNext/>
        <w:spacing w:after="50"/>
      </w:pPr>
      <w:r>
        <w:rPr>
          <w:rFonts w:ascii="Calibri" w:cs="Calibri" w:eastAsia="Calibri" w:hAnsi="Calibri"/>
          <w:b/>
          <w:bCs/>
          <w:sz w:val="19"/>
          <w:szCs w:val="19"/>
        </w:rPr>
        <w:t xml:space="preserve">Australian Institute of Business</w:t>
      </w:r>
      <w:r>
        <w:rPr>
          <w:rFonts w:ascii="Calibri" w:cs="Calibri" w:eastAsia="Calibri" w:hAnsi="Calibri"/>
          <w:i/>
          <w:iCs/>
          <w:sz w:val="19"/>
          <w:szCs w:val="19"/>
        </w:rPr>
        <w:t xml:space="preserve"> · Adelaide, SA — Australia's #1 MBA provider, 100% online</w:t>
      </w:r>
    </w:p>
    <w:p>
      <w:pPr>
        <w:spacing w:after="50" w:line="240"/>
      </w:pPr>
      <w:r>
        <w:rPr>
          <w:rFonts w:ascii="Calibri" w:cs="Calibri" w:eastAsia="Calibri" w:hAnsi="Calibri"/>
          <w:sz w:val="19"/>
          <w:szCs w:val="19"/>
        </w:rPr>
        <w:t xml:space="preserve">Executive team accountability for technology, data, cyber security and transformation across a national online university.</w:t>
      </w:r>
    </w:p>
    <w:p>
      <w:pPr>
        <w:pStyle w:val="ListParagraph"/>
        <w:numPr>
          <w:ilvl w:val="0"/>
          <w:numId w:val="2"/>
        </w:numPr>
        <w:spacing w:after="30" w:line="236"/>
      </w:pPr>
      <w:r>
        <w:rPr>
          <w:rFonts w:ascii="Calibri" w:cs="Calibri" w:eastAsia="Calibri" w:hAnsi="Calibri"/>
          <w:b/>
          <w:bCs/>
          <w:sz w:val="19"/>
          <w:szCs w:val="19"/>
        </w:rPr>
        <w:t xml:space="preserve">Supplier management:</w:t>
      </w:r>
      <w:r>
        <w:rPr>
          <w:rFonts w:ascii="Calibri" w:cs="Calibri" w:eastAsia="Calibri" w:hAnsi="Calibri"/>
          <w:sz w:val="19"/>
          <w:szCs w:val="19"/>
        </w:rPr>
        <w:t xml:space="preserve"> recovered $1.3m through supplier renegotiation, significantly reducing operating cost and risk; led the RFP for LinkedIn Learning repackaging.</w:t>
      </w:r>
    </w:p>
    <w:p>
      <w:pPr>
        <w:pStyle w:val="ListParagraph"/>
        <w:numPr>
          <w:ilvl w:val="0"/>
          <w:numId w:val="2"/>
        </w:numPr>
        <w:spacing w:after="30" w:line="236"/>
      </w:pPr>
      <w:r>
        <w:rPr>
          <w:rFonts w:ascii="Calibri" w:cs="Calibri" w:eastAsia="Calibri" w:hAnsi="Calibri"/>
          <w:b/>
          <w:bCs/>
          <w:sz w:val="19"/>
          <w:szCs w:val="19"/>
        </w:rPr>
        <w:t xml:space="preserve">Cloud and communications:</w:t>
      </w:r>
      <w:r>
        <w:rPr>
          <w:rFonts w:ascii="Calibri" w:cs="Calibri" w:eastAsia="Calibri" w:hAnsi="Calibri"/>
          <w:sz w:val="19"/>
          <w:szCs w:val="19"/>
        </w:rPr>
        <w:t xml:space="preserve"> 100% cloud migration in under 6 months, enabling company-wide WFH through COVID-19; replaced the communications platform with omni-channel VOIP, IVR and ML/AI routing.</w:t>
      </w:r>
    </w:p>
    <w:p>
      <w:pPr>
        <w:pStyle w:val="ListParagraph"/>
        <w:numPr>
          <w:ilvl w:val="0"/>
          <w:numId w:val="2"/>
        </w:numPr>
        <w:spacing w:after="30" w:line="236"/>
      </w:pPr>
      <w:r>
        <w:rPr>
          <w:rFonts w:ascii="Calibri" w:cs="Calibri" w:eastAsia="Calibri" w:hAnsi="Calibri"/>
          <w:b/>
          <w:bCs/>
          <w:sz w:val="19"/>
          <w:szCs w:val="19"/>
        </w:rPr>
        <w:t xml:space="preserve">Transformation:</w:t>
      </w:r>
      <w:r>
        <w:rPr>
          <w:rFonts w:ascii="Calibri" w:cs="Calibri" w:eastAsia="Calibri" w:hAnsi="Calibri"/>
          <w:sz w:val="19"/>
          <w:szCs w:val="19"/>
        </w:rPr>
        <w:t xml:space="preserve"> led AIB's move from teaching centre / distance learning to Australia's #1 online Higher-Ed provider, re-platforming the majority of key systems.</w:t>
      </w:r>
    </w:p>
    <w:p>
      <w:pPr>
        <w:pStyle w:val="ListParagraph"/>
        <w:numPr>
          <w:ilvl w:val="0"/>
          <w:numId w:val="2"/>
        </w:numPr>
        <w:spacing w:after="30" w:line="236"/>
      </w:pPr>
      <w:r>
        <w:rPr>
          <w:rFonts w:ascii="Calibri" w:cs="Calibri" w:eastAsia="Calibri" w:hAnsi="Calibri"/>
          <w:b/>
          <w:bCs/>
          <w:sz w:val="19"/>
          <w:szCs w:val="19"/>
        </w:rPr>
        <w:t xml:space="preserve">Data and regulated delivery:</w:t>
      </w:r>
      <w:r>
        <w:rPr>
          <w:rFonts w:ascii="Calibri" w:cs="Calibri" w:eastAsia="Calibri" w:hAnsi="Calibri"/>
          <w:sz w:val="19"/>
          <w:szCs w:val="19"/>
        </w:rPr>
        <w:t xml:space="preserve"> enterprise reporting and analytics using Power BI, AWS and Salesforce Einstein; aligned with TEQSA, FEE-HELP and TCSI; full Finance System replacement.</w:t>
      </w:r>
    </w:p>
    <w:p>
      <w:pPr>
        <w:keepNext/>
        <w:tabs>
          <w:tab w:val="right" w:pos="10466"/>
        </w:tabs>
        <w:spacing w:after="0" w:before="90"/>
      </w:pPr>
      <w:r>
        <w:rPr>
          <w:rFonts w:ascii="Calibri" w:cs="Calibri" w:eastAsia="Calibri" w:hAnsi="Calibri"/>
          <w:b/>
          <w:bCs/>
          <w:color w:val="1F4E5F"/>
          <w:sz w:val="20"/>
          <w:szCs w:val="20"/>
        </w:rPr>
        <w:t xml:space="preserve">Interim – APAC IT, Delivery and Implementation</w:t>
      </w:r>
      <w:r>
        <w:rPr>
          <w:rFonts w:ascii="Calibri" w:cs="Calibri" w:eastAsia="Calibri" w:hAnsi="Calibri"/>
          <w:b/>
          <w:bCs/>
          <w:sz w:val="19"/>
          <w:szCs w:val="19"/>
        </w:rPr>
        <w:t xml:space="preserve">	Sep 2016 – Apr 2017</w:t>
      </w:r>
    </w:p>
    <w:p>
      <w:pPr>
        <w:keepNext/>
        <w:spacing w:after="50"/>
      </w:pPr>
      <w:r>
        <w:rPr>
          <w:rFonts w:ascii="Calibri" w:cs="Calibri" w:eastAsia="Calibri" w:hAnsi="Calibri"/>
          <w:b/>
          <w:bCs/>
          <w:sz w:val="19"/>
          <w:szCs w:val="19"/>
        </w:rPr>
        <w:t xml:space="preserve">Infonetica</w:t>
      </w:r>
      <w:r>
        <w:rPr>
          <w:rFonts w:ascii="Calibri" w:cs="Calibri" w:eastAsia="Calibri" w:hAnsi="Calibri"/>
          <w:i/>
          <w:iCs/>
          <w:sz w:val="19"/>
          <w:szCs w:val="19"/>
        </w:rPr>
        <w:t xml:space="preserve"> · Sydney / Toronto / London — research, ethics approval &amp; compliance software</w:t>
      </w:r>
    </w:p>
    <w:p>
      <w:pPr>
        <w:spacing w:after="80" w:line="240"/>
      </w:pPr>
      <w:r>
        <w:rPr>
          <w:rFonts w:ascii="Calibri" w:cs="Calibri" w:eastAsia="Calibri" w:hAnsi="Calibri"/>
          <w:sz w:val="19"/>
          <w:szCs w:val="19"/>
        </w:rPr>
        <w:t xml:space="preserve">Led delivery and quality uplift for research-governance, ethics-approval, training and medical-data reporting platforms handling sensitive clinical and compliance information across multiple jurisdictions; ISO 27001 readiness and ISMS policy rollout; unified UK, Bulgarian and Australian engineering teams.</w:t>
      </w:r>
    </w:p>
    <w:p>
      <w:pPr>
        <w:keepNext/>
        <w:tabs>
          <w:tab w:val="right" w:pos="10466"/>
        </w:tabs>
        <w:spacing w:after="0" w:before="90"/>
      </w:pPr>
      <w:r>
        <w:rPr>
          <w:rFonts w:ascii="Calibri" w:cs="Calibri" w:eastAsia="Calibri" w:hAnsi="Calibri"/>
          <w:b/>
          <w:bCs/>
          <w:color w:val="1F4E5F"/>
          <w:sz w:val="20"/>
          <w:szCs w:val="20"/>
        </w:rPr>
        <w:t xml:space="preserve">CTO | Chief Technology Officer</w:t>
      </w:r>
      <w:r>
        <w:rPr>
          <w:rFonts w:ascii="Calibri" w:cs="Calibri" w:eastAsia="Calibri" w:hAnsi="Calibri"/>
          <w:b/>
          <w:bCs/>
          <w:sz w:val="19"/>
          <w:szCs w:val="19"/>
        </w:rPr>
        <w:t xml:space="preserve">	Jun 2015 – Sep 2016</w:t>
      </w:r>
    </w:p>
    <w:p>
      <w:pPr>
        <w:keepNext/>
        <w:spacing w:after="50"/>
      </w:pPr>
      <w:r>
        <w:rPr>
          <w:rFonts w:ascii="Calibri" w:cs="Calibri" w:eastAsia="Calibri" w:hAnsi="Calibri"/>
          <w:b/>
          <w:bCs/>
          <w:sz w:val="19"/>
          <w:szCs w:val="19"/>
        </w:rPr>
        <w:t xml:space="preserve">Totemic Group / PayPlan / PayLink Solutions</w:t>
      </w:r>
      <w:r>
        <w:rPr>
          <w:rFonts w:ascii="Calibri" w:cs="Calibri" w:eastAsia="Calibri" w:hAnsi="Calibri"/>
          <w:i/>
          <w:iCs/>
          <w:sz w:val="19"/>
          <w:szCs w:val="19"/>
        </w:rPr>
        <w:t xml:space="preserve"> · UK — financial services group; headless banking and B2B platforms</w:t>
      </w:r>
    </w:p>
    <w:p>
      <w:pPr>
        <w:spacing w:after="50" w:line="240"/>
      </w:pPr>
      <w:r>
        <w:rPr>
          <w:rFonts w:ascii="Calibri" w:cs="Calibri" w:eastAsia="Calibri" w:hAnsi="Calibri"/>
          <w:sz w:val="19"/>
          <w:szCs w:val="19"/>
        </w:rPr>
        <w:t xml:space="preserve">Group CTO for technology, product and delivery across regulated debt management, payments and B2B banking platforms.</w:t>
      </w:r>
    </w:p>
    <w:p>
      <w:pPr>
        <w:pStyle w:val="ListParagraph"/>
        <w:numPr>
          <w:ilvl w:val="0"/>
          <w:numId w:val="2"/>
        </w:numPr>
        <w:spacing w:after="30" w:line="236"/>
      </w:pPr>
      <w:r>
        <w:rPr>
          <w:rFonts w:ascii="Calibri" w:cs="Calibri" w:eastAsia="Calibri" w:hAnsi="Calibri"/>
          <w:b/>
          <w:bCs/>
          <w:sz w:val="19"/>
          <w:szCs w:val="19"/>
        </w:rPr>
        <w:t xml:space="preserve">B2B proposition:</w:t>
      </w:r>
      <w:r>
        <w:rPr>
          <w:rFonts w:ascii="Calibri" w:cs="Calibri" w:eastAsia="Calibri" w:hAnsi="Calibri"/>
          <w:sz w:val="19"/>
          <w:szCs w:val="19"/>
        </w:rPr>
        <w:t xml:space="preserve"> conceived and launched Embark™, an API suite of services for customer ledgers, collections, payment distribution, affordability, PFM and regulatory reporting, reused across multiple customer propositions; adopted by PayPal, NatWest, Santander, Tesco Bank, Zopa, Virgin Money and Hitachi Finance; EBITDA-positive in year one.</w:t>
      </w:r>
    </w:p>
    <w:p>
      <w:pPr>
        <w:pStyle w:val="ListParagraph"/>
        <w:numPr>
          <w:ilvl w:val="0"/>
          <w:numId w:val="2"/>
        </w:numPr>
        <w:spacing w:after="30" w:line="236"/>
      </w:pPr>
      <w:r>
        <w:rPr>
          <w:rFonts w:ascii="Calibri" w:cs="Calibri" w:eastAsia="Calibri" w:hAnsi="Calibri"/>
          <w:b/>
          <w:bCs/>
          <w:sz w:val="19"/>
          <w:szCs w:val="19"/>
        </w:rPr>
        <w:t xml:space="preserve">Automation and modernisation:</w:t>
      </w:r>
      <w:r>
        <w:rPr>
          <w:rFonts w:ascii="Calibri" w:cs="Calibri" w:eastAsia="Calibri" w:hAnsi="Calibri"/>
          <w:sz w:val="19"/>
          <w:szCs w:val="19"/>
        </w:rPr>
        <w:t xml:space="preserve"> early NLP, Kofax and OCR automated financial-data capture; replaced legacy Oracle Forms and Reports; delivered the PayPlanPlus companion app.</w:t>
      </w:r>
    </w:p>
    <w:p>
      <w:pPr>
        <w:pStyle w:val="ListParagraph"/>
        <w:numPr>
          <w:ilvl w:val="0"/>
          <w:numId w:val="2"/>
        </w:numPr>
        <w:spacing w:after="30" w:line="236"/>
      </w:pPr>
      <w:r>
        <w:rPr>
          <w:rFonts w:ascii="Calibri" w:cs="Calibri" w:eastAsia="Calibri" w:hAnsi="Calibri"/>
          <w:b/>
          <w:bCs/>
          <w:sz w:val="19"/>
          <w:szCs w:val="19"/>
        </w:rPr>
        <w:t xml:space="preserve">Governance and compliance:</w:t>
      </w:r>
      <w:r>
        <w:rPr>
          <w:rFonts w:ascii="Calibri" w:cs="Calibri" w:eastAsia="Calibri" w:hAnsi="Calibri"/>
          <w:sz w:val="19"/>
          <w:szCs w:val="19"/>
        </w:rPr>
        <w:t xml:space="preserve"> guided business units through FCA certification, ISO 27001 and PCI-DSS compliance.</w:t>
      </w:r>
    </w:p>
    <w:p>
      <w:pPr>
        <w:keepNext/>
        <w:tabs>
          <w:tab w:val="right" w:pos="10466"/>
        </w:tabs>
        <w:spacing w:after="0" w:before="90"/>
      </w:pPr>
      <w:r>
        <w:rPr>
          <w:rFonts w:ascii="Calibri" w:cs="Calibri" w:eastAsia="Calibri" w:hAnsi="Calibri"/>
          <w:b/>
          <w:bCs/>
          <w:color w:val="1F4E5F"/>
          <w:sz w:val="20"/>
          <w:szCs w:val="20"/>
        </w:rPr>
        <w:t xml:space="preserve">Group IT Development Director</w:t>
      </w:r>
      <w:r>
        <w:rPr>
          <w:rFonts w:ascii="Calibri" w:cs="Calibri" w:eastAsia="Calibri" w:hAnsi="Calibri"/>
          <w:b/>
          <w:bCs/>
          <w:sz w:val="19"/>
          <w:szCs w:val="19"/>
        </w:rPr>
        <w:t xml:space="preserve">	Oct 2013 – Jun 2015</w:t>
      </w:r>
    </w:p>
    <w:p>
      <w:pPr>
        <w:keepNext/>
        <w:spacing w:after="50"/>
      </w:pPr>
      <w:r>
        <w:rPr>
          <w:rFonts w:ascii="Calibri" w:cs="Calibri" w:eastAsia="Calibri" w:hAnsi="Calibri"/>
          <w:b/>
          <w:bCs/>
          <w:sz w:val="19"/>
          <w:szCs w:val="19"/>
        </w:rPr>
        <w:t xml:space="preserve">EMIS Group</w:t>
      </w:r>
      <w:r>
        <w:rPr>
          <w:rFonts w:ascii="Calibri" w:cs="Calibri" w:eastAsia="Calibri" w:hAnsi="Calibri"/>
          <w:i/>
          <w:iCs/>
          <w:sz w:val="19"/>
          <w:szCs w:val="19"/>
        </w:rPr>
        <w:t xml:space="preserve"> · UK / Poland / India — the UK's leading clinical software provider</w:t>
      </w:r>
    </w:p>
    <w:p>
      <w:pPr>
        <w:spacing w:after="50" w:line="240"/>
      </w:pPr>
      <w:r>
        <w:rPr>
          <w:rFonts w:ascii="Calibri" w:cs="Calibri" w:eastAsia="Calibri" w:hAnsi="Calibri"/>
          <w:sz w:val="19"/>
          <w:szCs w:val="19"/>
        </w:rPr>
        <w:t xml:space="preserve">Owned the strategic technology-product roadmap across EMIS Health, Ascribe, RX Systems and Patient.co.uk, supporting GPs, hospitals, community trusts and pharmacies across the NHS, Ministry of Defence, Europe, the Emirates and ANZ.</w:t>
      </w:r>
    </w:p>
    <w:p>
      <w:pPr>
        <w:pStyle w:val="ListParagraph"/>
        <w:numPr>
          <w:ilvl w:val="0"/>
          <w:numId w:val="2"/>
        </w:numPr>
        <w:spacing w:after="30" w:line="236"/>
      </w:pPr>
      <w:r>
        <w:rPr>
          <w:rFonts w:ascii="Calibri" w:cs="Calibri" w:eastAsia="Calibri" w:hAnsi="Calibri"/>
          <w:b/>
          <w:bCs/>
          <w:sz w:val="19"/>
          <w:szCs w:val="19"/>
        </w:rPr>
        <w:t xml:space="preserve">National-scale delivery:</w:t>
      </w:r>
      <w:r>
        <w:rPr>
          <w:rFonts w:ascii="Calibri" w:cs="Calibri" w:eastAsia="Calibri" w:hAnsi="Calibri"/>
          <w:sz w:val="19"/>
          <w:szCs w:val="19"/>
        </w:rPr>
        <w:t xml:space="preserve"> led the national RFP responses for, and delivered, EMIS's two largest contracts with the UK Government (NHS), working directly with the UK Minister of Health to hard statutory deadlines across a ~300 FTE portfolio.</w:t>
      </w:r>
    </w:p>
    <w:p>
      <w:pPr>
        <w:pStyle w:val="ListParagraph"/>
        <w:numPr>
          <w:ilvl w:val="0"/>
          <w:numId w:val="2"/>
        </w:numPr>
        <w:spacing w:after="30" w:line="236"/>
      </w:pPr>
      <w:r>
        <w:rPr>
          <w:rFonts w:ascii="Calibri" w:cs="Calibri" w:eastAsia="Calibri" w:hAnsi="Calibri"/>
          <w:b/>
          <w:bCs/>
          <w:sz w:val="19"/>
          <w:szCs w:val="19"/>
        </w:rPr>
        <w:t xml:space="preserve">Product and innovation:</w:t>
      </w:r>
      <w:r>
        <w:rPr>
          <w:rFonts w:ascii="Calibri" w:cs="Calibri" w:eastAsia="Calibri" w:hAnsi="Calibri"/>
          <w:sz w:val="19"/>
          <w:szCs w:val="19"/>
        </w:rPr>
        <w:t xml:space="preserve"> launched EMIS Mobile and PatientAccess as an Apple iOS 8 HealthKit launch partner; R&amp;D included Virtual GP, AR and RFID-assisted bedside care.</w:t>
      </w:r>
    </w:p>
    <w:p>
      <w:pPr>
        <w:pStyle w:val="ListParagraph"/>
        <w:numPr>
          <w:ilvl w:val="0"/>
          <w:numId w:val="2"/>
        </w:numPr>
        <w:spacing w:after="30" w:line="236"/>
      </w:pPr>
      <w:r>
        <w:rPr>
          <w:rFonts w:ascii="Calibri" w:cs="Calibri" w:eastAsia="Calibri" w:hAnsi="Calibri"/>
          <w:b/>
          <w:bCs/>
          <w:sz w:val="19"/>
          <w:szCs w:val="19"/>
        </w:rPr>
        <w:t xml:space="preserve">Global delivery:</w:t>
      </w:r>
      <w:r>
        <w:rPr>
          <w:rFonts w:ascii="Calibri" w:cs="Calibri" w:eastAsia="Calibri" w:hAnsi="Calibri"/>
          <w:sz w:val="19"/>
          <w:szCs w:val="19"/>
        </w:rPr>
        <w:t xml:space="preserve"> led distributed teams across the UK, Poland, India and Australia through matrix management.</w:t>
      </w:r>
    </w:p>
    <w:p>
      <w:pPr>
        <w:pStyle w:val="ListParagraph"/>
        <w:numPr>
          <w:ilvl w:val="0"/>
          <w:numId w:val="2"/>
        </w:numPr>
        <w:spacing w:after="30" w:line="236"/>
      </w:pPr>
      <w:r>
        <w:rPr>
          <w:rFonts w:ascii="Calibri" w:cs="Calibri" w:eastAsia="Calibri" w:hAnsi="Calibri"/>
          <w:b/>
          <w:bCs/>
          <w:sz w:val="19"/>
          <w:szCs w:val="19"/>
        </w:rPr>
        <w:t xml:space="preserve">Vendor and enterprise systems:</w:t>
      </w:r>
      <w:r>
        <w:rPr>
          <w:rFonts w:ascii="Calibri" w:cs="Calibri" w:eastAsia="Calibri" w:hAnsi="Calibri"/>
          <w:sz w:val="19"/>
          <w:szCs w:val="19"/>
        </w:rPr>
        <w:t xml:space="preserve"> led ERP and Finance system selection and replacement onto Microsoft Dynamics.</w:t>
      </w:r>
    </w:p>
    <w:p>
      <w:pPr>
        <w:keepNext/>
        <w:tabs>
          <w:tab w:val="right" w:pos="10466"/>
        </w:tabs>
        <w:spacing w:after="0" w:before="90"/>
      </w:pPr>
      <w:r>
        <w:rPr>
          <w:rFonts w:ascii="Calibri" w:cs="Calibri" w:eastAsia="Calibri" w:hAnsi="Calibri"/>
          <w:b/>
          <w:bCs/>
          <w:color w:val="1F4E5F"/>
          <w:sz w:val="20"/>
          <w:szCs w:val="20"/>
        </w:rPr>
        <w:t xml:space="preserve">Head of IT, Development and Delivery</w:t>
      </w:r>
      <w:r>
        <w:rPr>
          <w:rFonts w:ascii="Calibri" w:cs="Calibri" w:eastAsia="Calibri" w:hAnsi="Calibri"/>
          <w:b/>
          <w:bCs/>
          <w:sz w:val="19"/>
          <w:szCs w:val="19"/>
        </w:rPr>
        <w:t xml:space="preserve">	Jul 2010 – Oct 2013</w:t>
      </w:r>
    </w:p>
    <w:p>
      <w:pPr>
        <w:keepNext/>
        <w:spacing w:after="50"/>
      </w:pPr>
      <w:r>
        <w:rPr>
          <w:rFonts w:ascii="Calibri" w:cs="Calibri" w:eastAsia="Calibri" w:hAnsi="Calibri"/>
          <w:b/>
          <w:bCs/>
          <w:sz w:val="19"/>
          <w:szCs w:val="19"/>
        </w:rPr>
        <w:t xml:space="preserve">CallCredit / TransUnion UK</w:t>
      </w:r>
      <w:r>
        <w:rPr>
          <w:rFonts w:ascii="Calibri" w:cs="Calibri" w:eastAsia="Calibri" w:hAnsi="Calibri"/>
          <w:i/>
          <w:iCs/>
          <w:sz w:val="19"/>
          <w:szCs w:val="19"/>
        </w:rPr>
        <w:t xml:space="preserve"> · UK / Lithuania — credit reference agency</w:t>
      </w:r>
    </w:p>
    <w:p>
      <w:pPr>
        <w:spacing w:after="50" w:line="240"/>
      </w:pPr>
      <w:r>
        <w:rPr>
          <w:rFonts w:ascii="Calibri" w:cs="Calibri" w:eastAsia="Calibri" w:hAnsi="Calibri"/>
          <w:sz w:val="19"/>
          <w:szCs w:val="19"/>
        </w:rPr>
        <w:t xml:space="preserve">Led IT, development and delivery within one of the UK's three major credit-reference agencies and its data products.</w:t>
      </w:r>
    </w:p>
    <w:p>
      <w:pPr>
        <w:pStyle w:val="ListParagraph"/>
        <w:numPr>
          <w:ilvl w:val="0"/>
          <w:numId w:val="2"/>
        </w:numPr>
        <w:spacing w:after="30" w:line="236"/>
      </w:pPr>
      <w:r>
        <w:rPr>
          <w:rFonts w:ascii="Calibri" w:cs="Calibri" w:eastAsia="Calibri" w:hAnsi="Calibri"/>
          <w:b/>
          <w:bCs/>
          <w:sz w:val="19"/>
          <w:szCs w:val="19"/>
        </w:rPr>
        <w:t xml:space="preserve">Data products:</w:t>
      </w:r>
      <w:r>
        <w:rPr>
          <w:rFonts w:ascii="Calibri" w:cs="Calibri" w:eastAsia="Calibri" w:hAnsi="Calibri"/>
          <w:sz w:val="19"/>
          <w:szCs w:val="19"/>
        </w:rPr>
        <w:t xml:space="preserve"> led delivery across bureau-scale consumer and commercial datasets spanning credit, fraud, AML, affordability and identity; launched Noddle™, the UK's first free consumer credit report, now Credit Karma™ UK.</w:t>
      </w:r>
    </w:p>
    <w:p>
      <w:pPr>
        <w:pStyle w:val="ListParagraph"/>
        <w:numPr>
          <w:ilvl w:val="0"/>
          <w:numId w:val="2"/>
        </w:numPr>
        <w:spacing w:after="30" w:line="236"/>
      </w:pPr>
      <w:r>
        <w:rPr>
          <w:rFonts w:ascii="Calibri" w:cs="Calibri" w:eastAsia="Calibri" w:hAnsi="Calibri"/>
          <w:b/>
          <w:bCs/>
          <w:sz w:val="19"/>
          <w:szCs w:val="19"/>
        </w:rPr>
        <w:t xml:space="preserve">Service governance:</w:t>
      </w:r>
      <w:r>
        <w:rPr>
          <w:rFonts w:ascii="Calibri" w:cs="Calibri" w:eastAsia="Calibri" w:hAnsi="Calibri"/>
          <w:sz w:val="19"/>
          <w:szCs w:val="19"/>
        </w:rPr>
        <w:t xml:space="preserve"> established new KPIs and SLAs across 25+ concurrent projects spanning the regulated data estate.</w:t>
      </w:r>
    </w:p>
    <w:p>
      <w:pPr>
        <w:pStyle w:val="ListParagraph"/>
        <w:numPr>
          <w:ilvl w:val="0"/>
          <w:numId w:val="2"/>
        </w:numPr>
        <w:spacing w:after="30" w:line="236"/>
      </w:pPr>
      <w:r>
        <w:rPr>
          <w:rFonts w:ascii="Calibri" w:cs="Calibri" w:eastAsia="Calibri" w:hAnsi="Calibri"/>
          <w:b/>
          <w:bCs/>
          <w:sz w:val="19"/>
          <w:szCs w:val="19"/>
        </w:rPr>
        <w:t xml:space="preserve">Delivery capacity:</w:t>
      </w:r>
      <w:r>
        <w:rPr>
          <w:rFonts w:ascii="Calibri" w:cs="Calibri" w:eastAsia="Calibri" w:hAnsi="Calibri"/>
          <w:sz w:val="19"/>
          <w:szCs w:val="19"/>
        </w:rPr>
        <w:t xml:space="preserve"> led Agile/Lean/SAFe adoption across ~100 FTE; established Lithuanian engineering, increasing capacity by 35%.</w:t>
      </w:r>
    </w:p>
    <w:p>
      <w:pPr>
        <w:keepNext/>
        <w:tabs>
          <w:tab w:val="right" w:pos="10466"/>
        </w:tabs>
        <w:spacing w:after="50" w:before="90"/>
      </w:pPr>
      <w:r>
        <w:rPr>
          <w:rFonts w:ascii="Calibri" w:cs="Calibri" w:eastAsia="Calibri" w:hAnsi="Calibri"/>
          <w:b/>
          <w:bCs/>
          <w:color w:val="1F4E5F"/>
          <w:sz w:val="20"/>
          <w:szCs w:val="20"/>
        </w:rPr>
        <w:t xml:space="preserve">Earlier Career</w:t>
      </w:r>
      <w:r>
        <w:rPr>
          <w:rFonts w:ascii="Calibri" w:cs="Calibri" w:eastAsia="Calibri" w:hAnsi="Calibri"/>
          <w:b/>
          <w:bCs/>
          <w:sz w:val="19"/>
          <w:szCs w:val="19"/>
        </w:rPr>
        <w:t xml:space="preserve">	Dec 1995 – Jul 2010</w:t>
      </w:r>
    </w:p>
    <w:p>
      <w:pPr>
        <w:pStyle w:val="ListParagraph"/>
        <w:numPr>
          <w:ilvl w:val="0"/>
          <w:numId w:val="2"/>
        </w:numPr>
        <w:spacing w:after="30" w:line="236"/>
      </w:pPr>
      <w:r>
        <w:rPr>
          <w:rFonts w:ascii="Calibri" w:cs="Calibri" w:eastAsia="Calibri" w:hAnsi="Calibri"/>
          <w:b/>
          <w:bCs/>
          <w:sz w:val="19"/>
          <w:szCs w:val="19"/>
        </w:rPr>
        <w:t xml:space="preserve">BJSS — </w:t>
      </w:r>
      <w:r>
        <w:rPr>
          <w:rFonts w:ascii="Calibri" w:cs="Calibri" w:eastAsia="Calibri" w:hAnsi="Calibri"/>
          <w:sz w:val="19"/>
          <w:szCs w:val="19"/>
        </w:rPr>
        <w:t xml:space="preserve">Senior Consultant, Programme Manager / Enterprise Architect (2009-2010): lead role in the UK SPINE-2 replacement programme for national healthcare records; CTO/CIO-level consulting engagements for Trafigura, CPP and Tullett Prebon.</w:t>
      </w:r>
    </w:p>
    <w:p>
      <w:pPr>
        <w:pStyle w:val="ListParagraph"/>
        <w:numPr>
          <w:ilvl w:val="0"/>
          <w:numId w:val="2"/>
        </w:numPr>
        <w:spacing w:after="30" w:line="236"/>
      </w:pPr>
      <w:r>
        <w:rPr>
          <w:rFonts w:ascii="Calibri" w:cs="Calibri" w:eastAsia="Calibri" w:hAnsi="Calibri"/>
          <w:b/>
          <w:bCs/>
          <w:sz w:val="19"/>
          <w:szCs w:val="19"/>
        </w:rPr>
        <w:t xml:space="preserve">Spice PLC / Enserve — </w:t>
      </w:r>
      <w:r>
        <w:rPr>
          <w:rFonts w:ascii="Calibri" w:cs="Calibri" w:eastAsia="Calibri" w:hAnsi="Calibri"/>
          <w:sz w:val="19"/>
          <w:szCs w:val="19"/>
        </w:rPr>
        <w:t xml:space="preserve">Head of IT Solutions (2005-2009): Board-level accountability across utilities streams; managed software rollouts across CAD engineering and supporting systems for a utilities field workforce; delivered the JTE work-management platform, an industry standard securing multi-million-pound contracts.</w:t>
      </w:r>
    </w:p>
    <w:p>
      <w:pPr>
        <w:pStyle w:val="ListParagraph"/>
        <w:numPr>
          <w:ilvl w:val="0"/>
          <w:numId w:val="2"/>
        </w:numPr>
        <w:spacing w:after="30" w:line="236"/>
      </w:pPr>
      <w:r>
        <w:rPr>
          <w:rFonts w:ascii="Calibri" w:cs="Calibri" w:eastAsia="Calibri" w:hAnsi="Calibri"/>
          <w:b/>
          <w:bCs/>
          <w:sz w:val="19"/>
          <w:szCs w:val="19"/>
        </w:rPr>
        <w:t xml:space="preserve">Contract architecture and delivery (2002-2005):</w:t>
      </w:r>
      <w:r>
        <w:rPr>
          <w:rFonts w:ascii="Calibri" w:cs="Calibri" w:eastAsia="Calibri" w:hAnsi="Calibri"/>
          <w:sz w:val="19"/>
          <w:szCs w:val="19"/>
        </w:rPr>
        <w:t xml:space="preserve"> Euro RSCG Riley's, NCS Pearson, Manheim, Kah Systems and Fowles ANZ.</w:t>
      </w:r>
    </w:p>
    <w:p>
      <w:pPr>
        <w:pStyle w:val="ListParagraph"/>
        <w:numPr>
          <w:ilvl w:val="0"/>
          <w:numId w:val="2"/>
        </w:numPr>
        <w:spacing w:after="30" w:line="236"/>
      </w:pPr>
      <w:r>
        <w:rPr>
          <w:rFonts w:ascii="Calibri" w:cs="Calibri" w:eastAsia="Calibri" w:hAnsi="Calibri"/>
          <w:b/>
          <w:bCs/>
          <w:sz w:val="19"/>
          <w:szCs w:val="19"/>
        </w:rPr>
        <w:t xml:space="preserve">Halifax — </w:t>
      </w:r>
      <w:r>
        <w:rPr>
          <w:rFonts w:ascii="Calibri" w:cs="Calibri" w:eastAsia="Calibri" w:hAnsi="Calibri"/>
          <w:sz w:val="19"/>
          <w:szCs w:val="19"/>
        </w:rPr>
        <w:t xml:space="preserve">Senior Developer / Architect (1999-2002): Online Statement, Group Security Wrapper (SSO) and ISA programmes. William Hill — Test Engineer / Developer (1995-1999): launch of internet betting and Y2K programme.</w:t>
      </w:r>
    </w:p>
    <w:p>
      <w:pPr>
        <w:pBdr>
          <w:bottom w:val="single" w:color="1F4E5F" w:sz="6" w:space="2"/>
        </w:pBdr>
        <w:spacing w:after="60" w:before="120"/>
      </w:pPr>
      <w:r>
        <w:rPr>
          <w:rFonts w:ascii="Calibri" w:cs="Calibri" w:eastAsia="Calibri" w:hAnsi="Calibri"/>
          <w:b/>
          <w:bCs/>
          <w:color w:val="1F4E5F"/>
          <w:sz w:val="23"/>
          <w:szCs w:val="23"/>
        </w:rPr>
        <w:t xml:space="preserve">Technical Proficiencies</w:t>
      </w:r>
    </w:p>
    <w:p>
      <w:pPr>
        <w:spacing w:after="50" w:line="240"/>
      </w:pPr>
      <w:r>
        <w:rPr>
          <w:rFonts w:ascii="Calibri" w:cs="Calibri" w:eastAsia="Calibri" w:hAnsi="Calibri"/>
          <w:b/>
          <w:bCs/>
          <w:sz w:val="19"/>
          <w:szCs w:val="19"/>
        </w:rPr>
        <w:t xml:space="preserve">Product and insight tools:</w:t>
      </w:r>
      <w:r>
        <w:rPr>
          <w:rFonts w:ascii="Calibri" w:cs="Calibri" w:eastAsia="Calibri" w:hAnsi="Calibri"/>
          <w:sz w:val="19"/>
          <w:szCs w:val="19"/>
        </w:rPr>
        <w:t xml:space="preserve"> Jira · Azure DevOps · Figma · Pendo · Mixpanel · Hotjar · GA4 · Segment · Power BI · Snowflake</w:t>
      </w:r>
    </w:p>
    <w:p>
      <w:pPr>
        <w:spacing w:after="50" w:line="240"/>
      </w:pPr>
      <w:r>
        <w:rPr>
          <w:rFonts w:ascii="Calibri" w:cs="Calibri" w:eastAsia="Calibri" w:hAnsi="Calibri"/>
          <w:b/>
          <w:bCs/>
          <w:sz w:val="19"/>
          <w:szCs w:val="19"/>
        </w:rPr>
        <w:t xml:space="preserve">Business systems:</w:t>
      </w:r>
      <w:r>
        <w:rPr>
          <w:rFonts w:ascii="Calibri" w:cs="Calibri" w:eastAsia="Calibri" w:hAnsi="Calibri"/>
          <w:sz w:val="19"/>
          <w:szCs w:val="19"/>
        </w:rPr>
        <w:t xml:space="preserve"> Salesforce · Zoho · HubSpot · 3CX · MS Dynamics 365 · MS 365 · Power Platform · NetSuite · SAP · Xero · MYOB</w:t>
      </w:r>
    </w:p>
    <w:p>
      <w:pPr>
        <w:spacing w:after="80" w:line="240"/>
      </w:pPr>
      <w:r>
        <w:rPr>
          <w:rFonts w:ascii="Calibri" w:cs="Calibri" w:eastAsia="Calibri" w:hAnsi="Calibri"/>
          <w:b/>
          <w:bCs/>
          <w:sz w:val="19"/>
          <w:szCs w:val="19"/>
        </w:rPr>
        <w:t xml:space="preserve">Infrastructure and platforms:</w:t>
      </w:r>
      <w:r>
        <w:rPr>
          <w:rFonts w:ascii="Calibri" w:cs="Calibri" w:eastAsia="Calibri" w:hAnsi="Calibri"/>
          <w:sz w:val="19"/>
          <w:szCs w:val="19"/>
        </w:rPr>
        <w:t xml:space="preserve"> AWS · Azure IaaS/PaaS/SaaS · Docker · Kubernetes · New Relic · REST APIs · MCP · Kafka · .NET · Java · Node.js · React</w:t>
      </w:r>
    </w:p>
    <w:p>
      <w:pPr>
        <w:pBdr>
          <w:bottom w:val="single" w:color="1F4E5F" w:sz="6" w:space="2"/>
        </w:pBdr>
        <w:spacing w:after="60" w:before="120"/>
      </w:pPr>
      <w:r>
        <w:rPr>
          <w:rFonts w:ascii="Calibri" w:cs="Calibri" w:eastAsia="Calibri" w:hAnsi="Calibri"/>
          <w:b/>
          <w:bCs/>
          <w:color w:val="1F4E5F"/>
          <w:sz w:val="23"/>
          <w:szCs w:val="23"/>
        </w:rPr>
        <w:t xml:space="preserve">Education, Certifications &amp; Professional Development</w:t>
      </w:r>
    </w:p>
    <w:p>
      <w:pPr>
        <w:spacing w:after="30" w:line="240"/>
      </w:pPr>
      <w:r>
        <w:rPr>
          <w:rFonts w:ascii="Calibri" w:cs="Calibri" w:eastAsia="Calibri" w:hAnsi="Calibri"/>
          <w:b/>
          <w:bCs/>
          <w:sz w:val="19"/>
          <w:szCs w:val="19"/>
        </w:rPr>
        <w:t xml:space="preserve">BSc (Hons) Business Information Technology</w:t>
      </w:r>
      <w:r>
        <w:rPr>
          <w:rFonts w:ascii="Calibri" w:cs="Calibri" w:eastAsia="Calibri" w:hAnsi="Calibri"/>
          <w:sz w:val="19"/>
          <w:szCs w:val="19"/>
        </w:rPr>
        <w:t xml:space="preserve"> - Leeds Beckett University</w:t>
      </w:r>
    </w:p>
    <w:p>
      <w:pPr>
        <w:spacing w:after="60" w:line="240"/>
      </w:pPr>
      <w:r>
        <w:rPr>
          <w:rFonts w:ascii="Calibri" w:cs="Calibri" w:eastAsia="Calibri" w:hAnsi="Calibri"/>
          <w:b/>
          <w:bCs/>
          <w:sz w:val="19"/>
          <w:szCs w:val="19"/>
        </w:rPr>
        <w:t xml:space="preserve">Higher National Diploma, Mathematics</w:t>
      </w:r>
      <w:r>
        <w:rPr>
          <w:rFonts w:ascii="Calibri" w:cs="Calibri" w:eastAsia="Calibri" w:hAnsi="Calibri"/>
          <w:sz w:val="19"/>
          <w:szCs w:val="19"/>
        </w:rPr>
        <w:t xml:space="preserve"> - Leeds Beckett University</w:t>
      </w:r>
    </w:p>
    <w:tbl>
      <w:tblPr>
        <w:tblW w:type="dxa" w:w="10464"/>
        <w:tblBorders>
          <w:top w:val="none" w:color="FFFFFF" w:sz="0"/>
          <w:left w:val="none" w:color="FFFFFF" w:sz="0"/>
          <w:bottom w:val="none" w:color="FFFFFF" w:sz="0"/>
          <w:right w:val="none" w:color="FFFFFF" w:sz="0"/>
          <w:insideH w:val="none" w:color="FFFFFF" w:sz="0"/>
          <w:insideV w:val="none" w:color="FFFFFF" w:sz="0"/>
        </w:tblBorders>
      </w:tblPr>
      <w:tblGrid>
        <w:gridCol w:w="3488"/>
        <w:gridCol w:w="3488"/>
        <w:gridCol w:w="3488"/>
      </w:tblGrid>
      <w:tr>
        <w:tc>
          <w:tcPr>
            <w:tcW w:type="dxa" w:w="348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60" w:line="240"/>
            </w:pPr>
            <w:r>
              <w:rPr>
                <w:color w:val="1F4E5F"/>
                <w:sz w:val="19"/>
                <w:szCs w:val="19"/>
              </w:rPr>
              <w:sym w:char="F076" w:font="Wingdings"/>
            </w:r>
            <w:r>
              <w:rPr>
                <w:rFonts w:ascii="Calibri" w:cs="Calibri" w:eastAsia="Calibri" w:hAnsi="Calibri"/>
                <w:sz w:val="19"/>
                <w:szCs w:val="19"/>
              </w:rPr>
              <w:t xml:space="preserve"> </w:t>
            </w:r>
            <w:r>
              <w:rPr>
                <w:rFonts w:ascii="Calibri" w:cs="Calibri" w:eastAsia="Calibri" w:hAnsi="Calibri"/>
                <w:sz w:val="19"/>
                <w:szCs w:val="19"/>
              </w:rPr>
              <w:t xml:space="preserve">AI-DLC — Amazon Web Services (2026)</w:t>
            </w:r>
          </w:p>
          <w:p>
            <w:pPr>
              <w:spacing w:after="60" w:line="240"/>
            </w:pPr>
            <w:r>
              <w:rPr>
                <w:color w:val="1F4E5F"/>
                <w:sz w:val="19"/>
                <w:szCs w:val="19"/>
              </w:rPr>
              <w:sym w:char="F076" w:font="Wingdings"/>
            </w:r>
            <w:r>
              <w:rPr>
                <w:rFonts w:ascii="Calibri" w:cs="Calibri" w:eastAsia="Calibri" w:hAnsi="Calibri"/>
                <w:sz w:val="19"/>
                <w:szCs w:val="19"/>
              </w:rPr>
              <w:t xml:space="preserve"> </w:t>
            </w:r>
            <w:r>
              <w:rPr>
                <w:rFonts w:ascii="Calibri" w:cs="Calibri" w:eastAsia="Calibri" w:hAnsi="Calibri"/>
                <w:sz w:val="19"/>
                <w:szCs w:val="19"/>
              </w:rPr>
              <w:t xml:space="preserve">AWS AI-PDLC — Amazon Web Services (2026)</w:t>
            </w:r>
          </w:p>
          <w:p>
            <w:pPr>
              <w:spacing w:after="60" w:line="240"/>
            </w:pPr>
            <w:r>
              <w:rPr>
                <w:color w:val="1F4E5F"/>
                <w:sz w:val="19"/>
                <w:szCs w:val="19"/>
              </w:rPr>
              <w:sym w:char="F076" w:font="Wingdings"/>
            </w:r>
            <w:r>
              <w:rPr>
                <w:rFonts w:ascii="Calibri" w:cs="Calibri" w:eastAsia="Calibri" w:hAnsi="Calibri"/>
                <w:sz w:val="19"/>
                <w:szCs w:val="19"/>
              </w:rPr>
              <w:t xml:space="preserve"> </w:t>
            </w:r>
            <w:r>
              <w:rPr>
                <w:rFonts w:ascii="Calibri" w:cs="Calibri" w:eastAsia="Calibri" w:hAnsi="Calibri"/>
                <w:sz w:val="19"/>
                <w:szCs w:val="19"/>
              </w:rPr>
              <w:t xml:space="preserve">SAFe Release Train Engineer (RTE) &amp; Leading SAFe</w:t>
            </w:r>
          </w:p>
          <w:p>
            <w:pPr>
              <w:spacing w:after="60" w:line="240"/>
            </w:pPr>
            <w:r>
              <w:rPr>
                <w:color w:val="1F4E5F"/>
                <w:sz w:val="19"/>
                <w:szCs w:val="19"/>
              </w:rPr>
              <w:sym w:char="F076" w:font="Wingdings"/>
            </w:r>
            <w:r>
              <w:rPr>
                <w:rFonts w:ascii="Calibri" w:cs="Calibri" w:eastAsia="Calibri" w:hAnsi="Calibri"/>
                <w:sz w:val="19"/>
                <w:szCs w:val="19"/>
              </w:rPr>
              <w:t xml:space="preserve"> </w:t>
            </w:r>
            <w:r>
              <w:rPr>
                <w:rFonts w:ascii="Calibri" w:cs="Calibri" w:eastAsia="Calibri" w:hAnsi="Calibri"/>
                <w:sz w:val="19"/>
                <w:szCs w:val="19"/>
              </w:rPr>
              <w:t xml:space="preserve">Certified Scrum Master · Certified Scrum Product Owner</w:t>
            </w:r>
          </w:p>
        </w:tc>
        <w:tc>
          <w:tcPr>
            <w:tcW w:type="dxa" w:w="348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60" w:line="240"/>
            </w:pPr>
            <w:r>
              <w:rPr>
                <w:color w:val="1F4E5F"/>
                <w:sz w:val="19"/>
                <w:szCs w:val="19"/>
              </w:rPr>
              <w:sym w:char="F076" w:font="Wingdings"/>
            </w:r>
            <w:r>
              <w:rPr>
                <w:rFonts w:ascii="Calibri" w:cs="Calibri" w:eastAsia="Calibri" w:hAnsi="Calibri"/>
                <w:sz w:val="19"/>
                <w:szCs w:val="19"/>
              </w:rPr>
              <w:t xml:space="preserve"> </w:t>
            </w:r>
            <w:r>
              <w:rPr>
                <w:rFonts w:ascii="Calibri" w:cs="Calibri" w:eastAsia="Calibri" w:hAnsi="Calibri"/>
                <w:sz w:val="19"/>
                <w:szCs w:val="19"/>
              </w:rPr>
              <w:t xml:space="preserve">PRINCE2 Foundation and Practitioner</w:t>
            </w:r>
          </w:p>
          <w:p>
            <w:pPr>
              <w:spacing w:after="60" w:line="240"/>
            </w:pPr>
            <w:r>
              <w:rPr>
                <w:color w:val="1F4E5F"/>
                <w:sz w:val="19"/>
                <w:szCs w:val="19"/>
              </w:rPr>
              <w:sym w:char="F076" w:font="Wingdings"/>
            </w:r>
            <w:r>
              <w:rPr>
                <w:rFonts w:ascii="Calibri" w:cs="Calibri" w:eastAsia="Calibri" w:hAnsi="Calibri"/>
                <w:sz w:val="19"/>
                <w:szCs w:val="19"/>
              </w:rPr>
              <w:t xml:space="preserve"> </w:t>
            </w:r>
            <w:r>
              <w:rPr>
                <w:rFonts w:ascii="Calibri" w:cs="Calibri" w:eastAsia="Calibri" w:hAnsi="Calibri"/>
                <w:sz w:val="19"/>
                <w:szCs w:val="19"/>
              </w:rPr>
              <w:t xml:space="preserve">Management 3.0 Certified</w:t>
            </w:r>
          </w:p>
          <w:p>
            <w:pPr>
              <w:spacing w:after="60" w:line="240"/>
            </w:pPr>
            <w:r>
              <w:rPr>
                <w:color w:val="1F4E5F"/>
                <w:sz w:val="19"/>
                <w:szCs w:val="19"/>
              </w:rPr>
              <w:sym w:char="F076" w:font="Wingdings"/>
            </w:r>
            <w:r>
              <w:rPr>
                <w:rFonts w:ascii="Calibri" w:cs="Calibri" w:eastAsia="Calibri" w:hAnsi="Calibri"/>
                <w:sz w:val="19"/>
                <w:szCs w:val="19"/>
              </w:rPr>
              <w:t xml:space="preserve"> </w:t>
            </w:r>
            <w:r>
              <w:rPr>
                <w:rFonts w:ascii="Calibri" w:cs="Calibri" w:eastAsia="Calibri" w:hAnsi="Calibri"/>
                <w:sz w:val="19"/>
                <w:szCs w:val="19"/>
              </w:rPr>
              <w:t xml:space="preserve">TOGAF 9 Foundation · ITIL v3 Foundation</w:t>
            </w:r>
          </w:p>
          <w:p>
            <w:pPr>
              <w:spacing w:after="60" w:line="240"/>
            </w:pPr>
            <w:r>
              <w:rPr>
                <w:color w:val="1F4E5F"/>
                <w:sz w:val="19"/>
                <w:szCs w:val="19"/>
              </w:rPr>
              <w:sym w:char="F076" w:font="Wingdings"/>
            </w:r>
            <w:r>
              <w:rPr>
                <w:rFonts w:ascii="Calibri" w:cs="Calibri" w:eastAsia="Calibri" w:hAnsi="Calibri"/>
                <w:sz w:val="19"/>
                <w:szCs w:val="19"/>
              </w:rPr>
              <w:t xml:space="preserve"> </w:t>
            </w:r>
            <w:r>
              <w:rPr>
                <w:rFonts w:ascii="Calibri" w:cs="Calibri" w:eastAsia="Calibri" w:hAnsi="Calibri"/>
                <w:sz w:val="19"/>
                <w:szCs w:val="19"/>
              </w:rPr>
              <w:t xml:space="preserve">DSDM Foundation and Practitioner</w:t>
            </w:r>
          </w:p>
        </w:tc>
        <w:tc>
          <w:tcPr>
            <w:tcW w:type="dxa" w:w="348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60" w:line="240"/>
            </w:pPr>
            <w:r>
              <w:rPr>
                <w:color w:val="1F4E5F"/>
                <w:sz w:val="19"/>
                <w:szCs w:val="19"/>
              </w:rPr>
              <w:sym w:char="F076" w:font="Wingdings"/>
            </w:r>
            <w:r>
              <w:rPr>
                <w:rFonts w:ascii="Calibri" w:cs="Calibri" w:eastAsia="Calibri" w:hAnsi="Calibri"/>
                <w:sz w:val="19"/>
                <w:szCs w:val="19"/>
              </w:rPr>
              <w:t xml:space="preserve"> </w:t>
            </w:r>
            <w:r>
              <w:rPr>
                <w:rFonts w:ascii="Calibri" w:cs="Calibri" w:eastAsia="Calibri" w:hAnsi="Calibri"/>
                <w:sz w:val="19"/>
                <w:szCs w:val="19"/>
              </w:rPr>
              <w:t xml:space="preserve">Certified Six Sigma Black Belt</w:t>
            </w:r>
          </w:p>
          <w:p>
            <w:pPr>
              <w:spacing w:after="60" w:line="240"/>
            </w:pPr>
            <w:r>
              <w:rPr>
                <w:color w:val="1F4E5F"/>
                <w:sz w:val="19"/>
                <w:szCs w:val="19"/>
              </w:rPr>
              <w:sym w:char="F076" w:font="Wingdings"/>
            </w:r>
            <w:r>
              <w:rPr>
                <w:rFonts w:ascii="Calibri" w:cs="Calibri" w:eastAsia="Calibri" w:hAnsi="Calibri"/>
                <w:sz w:val="19"/>
                <w:szCs w:val="19"/>
              </w:rPr>
              <w:t xml:space="preserve"> </w:t>
            </w:r>
            <w:r>
              <w:rPr>
                <w:rFonts w:ascii="Calibri" w:cs="Calibri" w:eastAsia="Calibri" w:hAnsi="Calibri"/>
                <w:sz w:val="19"/>
                <w:szCs w:val="19"/>
              </w:rPr>
              <w:t xml:space="preserve">IOSH — Occupational Safety and Health</w:t>
            </w:r>
          </w:p>
          <w:p>
            <w:pPr>
              <w:spacing w:after="60" w:line="240"/>
            </w:pPr>
            <w:r>
              <w:rPr>
                <w:color w:val="1F4E5F"/>
                <w:sz w:val="19"/>
                <w:szCs w:val="19"/>
              </w:rPr>
              <w:sym w:char="F076" w:font="Wingdings"/>
            </w:r>
            <w:r>
              <w:rPr>
                <w:rFonts w:ascii="Calibri" w:cs="Calibri" w:eastAsia="Calibri" w:hAnsi="Calibri"/>
                <w:sz w:val="19"/>
                <w:szCs w:val="19"/>
              </w:rPr>
              <w:t xml:space="preserve"> </w:t>
            </w:r>
            <w:r>
              <w:rPr>
                <w:rFonts w:ascii="Calibri" w:cs="Calibri" w:eastAsia="Calibri" w:hAnsi="Calibri"/>
                <w:sz w:val="19"/>
                <w:szCs w:val="19"/>
              </w:rPr>
              <w:t xml:space="preserve">Professional Member, Chartered Institute for IT (MBCS)</w:t>
            </w:r>
          </w:p>
          <w:p>
            <w:pPr>
              <w:spacing w:after="60" w:line="240"/>
            </w:pPr>
            <w:r>
              <w:rPr>
                <w:color w:val="1F4E5F"/>
                <w:sz w:val="19"/>
                <w:szCs w:val="19"/>
              </w:rPr>
              <w:sym w:char="F076" w:font="Wingdings"/>
            </w:r>
            <w:r>
              <w:rPr>
                <w:rFonts w:ascii="Calibri" w:cs="Calibri" w:eastAsia="Calibri" w:hAnsi="Calibri"/>
                <w:sz w:val="19"/>
                <w:szCs w:val="19"/>
              </w:rPr>
              <w:t xml:space="preserve"> </w:t>
            </w:r>
            <w:r>
              <w:rPr>
                <w:rFonts w:ascii="Calibri" w:cs="Calibri" w:eastAsia="Calibri" w:hAnsi="Calibri"/>
                <w:sz w:val="19"/>
                <w:szCs w:val="19"/>
              </w:rPr>
              <w:t xml:space="preserve">10+ Microsoft Technical Certifications</w:t>
            </w:r>
          </w:p>
        </w:tc>
      </w:tr>
    </w:tbl>
    <w:sectPr>
      <w:pgSz w:w="11906" w:h="16838" w:orient="portrait"/>
      <w:pgMar w:top="640" w:right="720" w:bottom="64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00" w:hanging="220"/>
      </w:pPr>
      <w:rPr>
        <w:color w:val="1F4E5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6zoxj9aq7jv2ntj7qtkga" Type="http://schemas.openxmlformats.org/officeDocument/2006/relationships/hyperlink" Target="https://www.linkedin.com/in/david~weir/"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Weir CV — Datacom General Manager, Propositions</dc:title>
  <dc:creator>David Weir</dc:creator>
  <cp:lastModifiedBy>Un-named</cp:lastModifiedBy>
  <cp:revision>1</cp:revision>
  <dcterms:created xsi:type="dcterms:W3CDTF">2026-10-26T04:48:52.850Z</dcterms:created>
  <dcterms:modified xsi:type="dcterms:W3CDTF">2026-10-26T04:48:52.850Z</dcterms:modified>
</cp:coreProperties>
</file>

<file path=docProps/custom.xml><?xml version="1.0" encoding="utf-8"?>
<Properties xmlns="http://schemas.openxmlformats.org/officeDocument/2006/custom-properties" xmlns:vt="http://schemas.openxmlformats.org/officeDocument/2006/docPropsVTypes"/>
</file>