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Technology, data and AI executive leading digital transformation across education and regulated sectors — CIO · CTO · CPO remit.</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lztlshl7ljtvi0fhqwimt">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in CXO and Director roles across education, health, fintech and other regulated sectors, including executive technology leadership at EduCo International Group and the Australian Institute of Business. Retained CTO accountability for Cashflow Manager following its acquisition by Reckon (ASX: RKN), where I now serve as Head of Product with CPO remit, shaping platform, data and AI investment with the CEO, Group CTO and CFO. I directly manage the Product, Enterprise Data and Reporting teams, with broader leadership extending into Architecture, Research and Design.</w:t>
      </w:r>
    </w:p>
    <w:p>
      <w:pPr>
        <w:spacing w:after="80" w:line="240"/>
      </w:pPr>
      <w:r>
        <w:rPr>
          <w:rFonts w:ascii="Calibri" w:cs="Calibri" w:eastAsia="Calibri" w:hAnsi="Calibri"/>
          <w:sz w:val="19"/>
          <w:szCs w:val="19"/>
        </w:rPr>
        <w:t xml:space="preserve">I am leading Reckon’s AI transformation in partnership with AWS, introducing AI-PDLC, an AI-native delivery methodology that has accelerated end-to-end product delivery from months to weeks, and embedding AI into Reckon One for onboarding, bank reconciliation, and insights and anomaly detection. Established a Responsible and Secure AI Policy and governed AI adoption across business functions. Translate strategy into measurable outcomes, delivering within agreed time, scope and budget.</w:t>
      </w:r>
    </w:p>
    <w:p>
      <w:pPr>
        <w:spacing w:after="80" w:line="240"/>
      </w:pPr>
      <w:r>
        <w:rPr>
          <w:rFonts w:ascii="Calibri" w:cs="Calibri" w:eastAsia="Calibri" w:hAnsi="Calibri"/>
          <w:sz w:val="19"/>
          <w:szCs w:val="19"/>
        </w:rPr>
        <w:t xml:space="preserve">Led cross-functional teams from start-ups to delivery portfolios of approximately 300 FTE. I remain hands-on and technical across enterprise applications, infrastructure, cloud, cybersecurity and data, having delivered mission-critical platforms across international education, national patient records, credit bureaus, financial reporting and headless banking. Trusted by CEOs, Boards and executives to align technology investment, governance and risk with commercial outcomes.</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Technology strategy &amp; roadmap:</w:t>
            </w:r>
            <w:r>
              <w:rPr>
                <w:rFonts w:ascii="Calibri" w:cs="Calibri" w:eastAsia="Calibri" w:hAnsi="Calibri"/>
                <w:sz w:val="19"/>
                <w:szCs w:val="19"/>
              </w:rPr>
              <w:t xml:space="preserve"> group strategy, roadmap and investment; CEO, ELT and Board advisory; TOGAF</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Digital transformation:</w:t>
            </w:r>
            <w:r>
              <w:rPr>
                <w:rFonts w:ascii="Calibri" w:cs="Calibri" w:eastAsia="Calibri" w:hAnsi="Calibri"/>
                <w:sz w:val="19"/>
                <w:szCs w:val="19"/>
              </w:rPr>
              <w:t xml:space="preserve"> operating-model restructure; platform modernisation; M&amp;A due diligence and integration</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Education sector:</w:t>
            </w:r>
            <w:r>
              <w:rPr>
                <w:rFonts w:ascii="Calibri" w:cs="Calibri" w:eastAsia="Calibri" w:hAnsi="Calibri"/>
                <w:sz w:val="19"/>
                <w:szCs w:val="19"/>
              </w:rPr>
              <w:t xml:space="preserve"> TEQSA, FEE-HELP, TCSI; admissions, eligibility and visa assessment; acquired universities; online delivery</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Enterprise applications:</w:t>
            </w:r>
            <w:r>
              <w:rPr>
                <w:rFonts w:ascii="Calibri" w:cs="Calibri" w:eastAsia="Calibri" w:hAnsi="Calibri"/>
                <w:sz w:val="19"/>
                <w:szCs w:val="19"/>
              </w:rPr>
              <w:t xml:space="preserve"> Microsoft Dynamics 365, Salesforce, MS 365; CRM, ERP, finance and university systems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Infrastructure, cloud &amp; cyber:</w:t>
            </w:r>
            <w:r>
              <w:rPr>
                <w:rFonts w:ascii="Calibri" w:cs="Calibri" w:eastAsia="Calibri" w:hAnsi="Calibri"/>
                <w:sz w:val="19"/>
                <w:szCs w:val="19"/>
              </w:rPr>
              <w:t xml:space="preserve"> AWS and Azure; 100% cloud migration; ISO 27001:2022, PCI-DSS, ISMF</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automation &amp; emerging technology:</w:t>
            </w:r>
            <w:r>
              <w:rPr>
                <w:rFonts w:ascii="Calibri" w:cs="Calibri" w:eastAsia="Calibri" w:hAnsi="Calibri"/>
                <w:sz w:val="19"/>
                <w:szCs w:val="19"/>
              </w:rPr>
              <w:t xml:space="preserve"> AI-PDLC; in-product AI; responsible AI; applied AI since 2021</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BI &amp; information governance:</w:t>
            </w:r>
            <w:r>
              <w:rPr>
                <w:rFonts w:ascii="Calibri" w:cs="Calibri" w:eastAsia="Calibri" w:hAnsi="Calibri"/>
                <w:sz w:val="19"/>
                <w:szCs w:val="19"/>
              </w:rPr>
              <w:t xml:space="preserve"> shared-data platforms, governance, enterprise and Board reporting, analytics and insights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Team leadership:</w:t>
            </w:r>
            <w:r>
              <w:rPr>
                <w:rFonts w:ascii="Calibri" w:cs="Calibri" w:eastAsia="Calibri" w:hAnsi="Calibri"/>
                <w:sz w:val="19"/>
                <w:szCs w:val="19"/>
              </w:rPr>
              <w:t xml:space="preserve"> multidisciplinary teams to ~300 FTE; APAC, UK, Europe, India; distributed and offshore/nearshore</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Vendor &amp; commercial management:</w:t>
            </w:r>
            <w:r>
              <w:rPr>
                <w:rFonts w:ascii="Calibri" w:cs="Calibri" w:eastAsia="Calibri" w:hAnsi="Calibri"/>
                <w:sz w:val="19"/>
                <w:szCs w:val="19"/>
              </w:rPr>
              <w:t xml:space="preserve"> supplier consolidation; major programs; $1.3m recovered; 22% OPEX reduction</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Led AIB’s transformation into Australia’s #1 online higher-education provider, re-platforming the majority of key systems, aligning with TEQSA, FEE-HELP and TCSI, and completing a 100% cloud migration in under six months that kept the organisation operating through COVID-19.</w:t>
      </w:r>
    </w:p>
    <w:p>
      <w:pPr>
        <w:pStyle w:val="ListParagraph"/>
        <w:numPr>
          <w:ilvl w:val="0"/>
          <w:numId w:val="2"/>
        </w:numPr>
        <w:spacing w:after="30" w:line="236"/>
      </w:pPr>
      <w:r>
        <w:rPr>
          <w:rFonts w:ascii="Calibri" w:cs="Calibri" w:eastAsia="Calibri" w:hAnsi="Calibri"/>
          <w:sz w:val="19"/>
          <w:szCs w:val="19"/>
        </w:rPr>
        <w:t xml:space="preserve">As an executive board member at EduCo (BPEA EQT), pioneered applied AI in 2021 through the Accelerate™ platform, vetting and ranking student applications on eligibility, academic authenticity and visa likelihood; took it from inception to launch in under six months.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working directly with the UK Minister of Health. Led healthcare analytics product delivery spanning patient-data access, primary-care demand and capacity, and population-health planning.</w:t>
      </w:r>
    </w:p>
    <w:p>
      <w:pPr>
        <w:pStyle w:val="ListParagraph"/>
        <w:numPr>
          <w:ilvl w:val="0"/>
          <w:numId w:val="2"/>
        </w:numPr>
        <w:spacing w:after="30" w:line="236"/>
      </w:pPr>
      <w:r>
        <w:rPr>
          <w:rFonts w:ascii="Calibri" w:cs="Calibri" w:eastAsia="Calibri" w:hAnsi="Calibri"/>
          <w:sz w:val="19"/>
          <w:szCs w:val="19"/>
        </w:rPr>
        <w:t xml:space="preserve">Leading Reckon’s AI transformation with AWS: AI-PDLC has cut end-to-end delivery from months to weeks, and AI embedded in Reckon One supports onboarding, bank reconciliation, and insights and anomaly detection, governed under a Responsible and Secure AI Policy.</w:t>
      </w:r>
    </w:p>
    <w:p>
      <w:pPr>
        <w:pStyle w:val="ListParagraph"/>
        <w:numPr>
          <w:ilvl w:val="0"/>
          <w:numId w:val="2"/>
        </w:numPr>
        <w:spacing w:after="30" w:line="236"/>
      </w:pPr>
      <w:r>
        <w:rPr>
          <w:rFonts w:ascii="Calibri" w:cs="Calibri" w:eastAsia="Calibri" w:hAnsi="Calibri"/>
          <w:sz w:val="19"/>
          <w:szCs w:val="19"/>
        </w:rPr>
        <w:t xml:space="preserve">Two decades of compliance leadership across regulated environments: FCA and PCI-DSS at PayPlan, PayLink and CallCredit/TransUnion; ISO 27001 at Cashflow Manager, EduCo, Reckon and CallCredit/TransUnion; GDPR, TEQSA and ATO programs.</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shape platform, data and AI investment with the CEO, Group CTO and CFO, balancing value, risk, security and regulatory obligations; own the group roadmap and backlog.</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In-product AI:</w:t>
      </w:r>
      <w:r>
        <w:rPr>
          <w:rFonts w:ascii="Calibri" w:cs="Calibri" w:eastAsia="Calibri" w:hAnsi="Calibri"/>
          <w:sz w:val="19"/>
          <w:szCs w:val="19"/>
        </w:rPr>
        <w:t xml:space="preserve"> embedded AI into Reckon One for onboarding, bank reconciliation, and insights and anomaly detection, alongside an in-app AI assistant.</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Data platform:</w:t>
      </w:r>
      <w:r>
        <w:rPr>
          <w:rFonts w:ascii="Calibri" w:cs="Calibri" w:eastAsia="Calibri" w:hAnsi="Calibri"/>
          <w:sz w:val="19"/>
          <w:szCs w:val="19"/>
        </w:rPr>
        <w:t xml:space="preserve"> implemented shared-data platforms supporting customer reporting and governed third-party access through Power BI, Fabric, Snowflake and MCP.</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portfolio delivery across invoicing, payroll, payments, banking and workforce management.</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LOB platforms; migrated to MS365; consolidated technology suppliers.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keepNext/>
        <w:tabs>
          <w:tab w:val="right" w:pos="10466"/>
        </w:tabs>
        <w:spacing w:after="50" w:before="11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Salesforce · MS 365 · Power Platform · SAP · PeopleSoft · NetSuite · Zoho · HubSpot · Automation Anywhere · Kofax · Xero · MYOB · Stripe · Yodlee</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OpenAI Codex · Claude Designer · FHIR · MCP · OCR/NLP</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CloudFront) · Kafka · Docker · Kubernetes · New Relic · Git/GitHub · CI/CD · Azure DevOps</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lztlshl7ljtvi0fhqwimt"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Group CIO</dc:title>
  <dc:creator>David Weir</dc:creator>
  <cp:lastModifiedBy>Un-named</cp:lastModifiedBy>
  <cp:revision>1</cp:revision>
  <dcterms:created xsi:type="dcterms:W3CDTF">2026-10-20T02:22:54.059Z</dcterms:created>
  <dcterms:modified xsi:type="dcterms:W3CDTF">2026-10-20T02:22:54.059Z</dcterms:modified>
</cp:coreProperties>
</file>

<file path=docProps/custom.xml><?xml version="1.0" encoding="utf-8"?>
<Properties xmlns="http://schemas.openxmlformats.org/officeDocument/2006/custom-properties" xmlns:vt="http://schemas.openxmlformats.org/officeDocument/2006/docPropsVTypes"/>
</file>