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Data and AI leader building enterprise data strategy, architecture and governance that enable trusted analytics and AI across regulated sectors.</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fnm_whohjlckqoazpv25y">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15+ years leading enterprise data, analytics and technology across fintech, health, education and other regulated sectors. Currently Head of Product at Reckon (ASX: RKN), with CPO remit and continuing CTO accountability for Cashflow Manager, directly leading the Enterprise Data and Reporting teams: enterprise data platforms, internal and in-product reporting, analytics and controlled executive information.</w:t>
      </w:r>
    </w:p>
    <w:p>
      <w:pPr>
        <w:spacing w:after="80" w:line="240"/>
      </w:pPr>
      <w:r>
        <w:rPr>
          <w:rFonts w:ascii="Calibri" w:cs="Calibri" w:eastAsia="Calibri" w:hAnsi="Calibri"/>
          <w:sz w:val="19"/>
          <w:szCs w:val="19"/>
        </w:rPr>
        <w:t xml:space="preserve">Built data capabilities where none existed, including enterprise reporting and a data lake at AIB and a shared-data architecture at Reckon on Power BI, Microsoft Fabric and Snowflake, with governed access for approved AI services. Led data delivery across bureau-scale credit, national patient records, financial reporting and international education. Established a Responsible and Secure AI Policy, governed AI adoption across the business, and embedded AI into Reckon One for onboarding, bank reconciliation, and insights and anomaly detection.</w:t>
      </w:r>
    </w:p>
    <w:p>
      <w:pPr>
        <w:spacing w:after="80" w:line="240"/>
      </w:pPr>
      <w:r>
        <w:rPr>
          <w:rFonts w:ascii="Calibri" w:cs="Calibri" w:eastAsia="Calibri" w:hAnsi="Calibri"/>
          <w:sz w:val="19"/>
          <w:szCs w:val="19"/>
        </w:rPr>
        <w:t xml:space="preserve">Experienced influencing CEOs, CFOs, Boards and senior leaders on data, platform and AI investment, and leading distributed data, BI and engineering teams across APAC, the UK, Europe and India.</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strategy &amp; roadmap:</w:t>
            </w:r>
            <w:r>
              <w:rPr>
                <w:rFonts w:ascii="Calibri" w:cs="Calibri" w:eastAsia="Calibri" w:hAnsi="Calibri"/>
                <w:sz w:val="19"/>
                <w:szCs w:val="19"/>
              </w:rPr>
              <w:t xml:space="preserve"> enterprise data strategy, roadmap and investment priorities; data as a strategic asset</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architecture:</w:t>
            </w:r>
            <w:r>
              <w:rPr>
                <w:rFonts w:ascii="Calibri" w:cs="Calibri" w:eastAsia="Calibri" w:hAnsi="Calibri"/>
                <w:sz w:val="19"/>
                <w:szCs w:val="19"/>
              </w:rPr>
              <w:t xml:space="preserve"> TOGAF; shared and distributed data architecture; data lakes; high-availability, high-volume platforms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governance &amp; information management:</w:t>
            </w:r>
            <w:r>
              <w:rPr>
                <w:rFonts w:ascii="Calibri" w:cs="Calibri" w:eastAsia="Calibri" w:hAnsi="Calibri"/>
                <w:sz w:val="19"/>
                <w:szCs w:val="19"/>
              </w:rPr>
              <w:t xml:space="preserve"> governance frameworks, data quality, access controls; GDPR, ISO 27001:2022</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Modern data platforms:</w:t>
            </w:r>
            <w:r>
              <w:rPr>
                <w:rFonts w:ascii="Calibri" w:cs="Calibri" w:eastAsia="Calibri" w:hAnsi="Calibri"/>
                <w:sz w:val="19"/>
                <w:szCs w:val="19"/>
              </w:rPr>
              <w:t xml:space="preserve"> Snowflake, Microsoft Fabric, Power BI, Azure Data Factory, AWS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engineering &amp; analytics:</w:t>
            </w:r>
            <w:r>
              <w:rPr>
                <w:rFonts w:ascii="Calibri" w:cs="Calibri" w:eastAsia="Calibri" w:hAnsi="Calibri"/>
                <w:sz w:val="19"/>
                <w:szCs w:val="19"/>
              </w:rPr>
              <w:t xml:space="preserve"> SQL/SSIS/SSRS, Python, Pandas, XGBoost; enterprise, Board and IFRS reporting</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AI enablement:</w:t>
            </w:r>
            <w:r>
              <w:rPr>
                <w:rFonts w:ascii="Calibri" w:cs="Calibri" w:eastAsia="Calibri" w:hAnsi="Calibri"/>
                <w:sz w:val="19"/>
                <w:szCs w:val="19"/>
              </w:rPr>
              <w:t xml:space="preserve"> responsible AI; governed AI access via MCP; in-product AI; applied AI since 2021</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Executive influence:</w:t>
            </w:r>
            <w:r>
              <w:rPr>
                <w:rFonts w:ascii="Calibri" w:cs="Calibri" w:eastAsia="Calibri" w:hAnsi="Calibri"/>
                <w:sz w:val="19"/>
                <w:szCs w:val="19"/>
              </w:rPr>
              <w:t xml:space="preserve"> CEO, CFO, Board and senior leadership advisory; investment, governance and risk</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Regulated data environments:</w:t>
            </w:r>
            <w:r>
              <w:rPr>
                <w:rFonts w:ascii="Calibri" w:cs="Calibri" w:eastAsia="Calibri" w:hAnsi="Calibri"/>
                <w:sz w:val="19"/>
                <w:szCs w:val="19"/>
              </w:rPr>
              <w:t xml:space="preserve"> national patient records; credit bureau; NHS, FCA, ATO, TEQSA</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Team leadership:</w:t>
            </w:r>
            <w:r>
              <w:rPr>
                <w:rFonts w:ascii="Calibri" w:cs="Calibri" w:eastAsia="Calibri" w:hAnsi="Calibri"/>
                <w:sz w:val="19"/>
                <w:szCs w:val="19"/>
              </w:rPr>
              <w:t xml:space="preserve"> data, BI, engineering and analytics teams; APAC, UK, Europe, India</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Directed bureau-scale data delivery at CallCredit/TransUnion across credit, fraud, AML, affordability, identity and geospatial products; introduced high-volume data architecture and launched Noddle™, subsequently Credit Karma™ UK, now part of Intuit.</w:t>
      </w:r>
    </w:p>
    <w:p>
      <w:pPr>
        <w:pStyle w:val="ListParagraph"/>
        <w:numPr>
          <w:ilvl w:val="0"/>
          <w:numId w:val="2"/>
        </w:numPr>
        <w:spacing w:after="30" w:line="236"/>
      </w:pPr>
      <w:r>
        <w:rPr>
          <w:rFonts w:ascii="Calibri" w:cs="Calibri" w:eastAsia="Calibri" w:hAnsi="Calibri"/>
          <w:sz w:val="19"/>
          <w:szCs w:val="19"/>
        </w:rPr>
        <w:t xml:space="preserve">Led technology and product delivery for PDES, EMIS-X Analytics, Explorer and PHM Pathfinder Analytics, enabling secure SQL/FHIR access to real-time patient data within a highly secure national patient-record ecosystem, primary-care demand and capacity insight, and population-health planning.</w:t>
      </w:r>
    </w:p>
    <w:p>
      <w:pPr>
        <w:pStyle w:val="ListParagraph"/>
        <w:numPr>
          <w:ilvl w:val="0"/>
          <w:numId w:val="2"/>
        </w:numPr>
        <w:spacing w:after="30" w:line="236"/>
      </w:pPr>
      <w:r>
        <w:rPr>
          <w:rFonts w:ascii="Calibri" w:cs="Calibri" w:eastAsia="Calibri" w:hAnsi="Calibri"/>
          <w:sz w:val="19"/>
          <w:szCs w:val="19"/>
        </w:rPr>
        <w:t xml:space="preserve">Accountable for Reckon's Data and Reporting function; implemented its enterprise data lake, Power BI, Microsoft Fabric and Snowflake cross-book analytics, including IFRS and controlled Board and workforce reporting, with governed read-only access for approved AI services through an MCP server.</w:t>
      </w:r>
    </w:p>
    <w:p>
      <w:pPr>
        <w:pStyle w:val="ListParagraph"/>
        <w:numPr>
          <w:ilvl w:val="0"/>
          <w:numId w:val="2"/>
        </w:numPr>
        <w:spacing w:after="30" w:line="236"/>
      </w:pPr>
      <w:r>
        <w:rPr>
          <w:rFonts w:ascii="Calibri" w:cs="Calibri" w:eastAsia="Calibri" w:hAnsi="Calibri"/>
          <w:sz w:val="19"/>
          <w:szCs w:val="19"/>
        </w:rPr>
        <w:t xml:space="preserve">Established Reckon's Responsible and Secure AI Policy and governed AI adoption across the business, including AI embedded in Reckon One for onboarding, bank reconciliation, and insights and anomaly detection; earlier, Accelerate™ at EduCo vetted and ranked student applications on eligibility, academic authenticity and visa likelihood.</w:t>
      </w:r>
    </w:p>
    <w:p>
      <w:pPr>
        <w:pStyle w:val="ListParagraph"/>
        <w:numPr>
          <w:ilvl w:val="0"/>
          <w:numId w:val="2"/>
        </w:numPr>
        <w:spacing w:after="30" w:line="236"/>
      </w:pPr>
      <w:r>
        <w:rPr>
          <w:rFonts w:ascii="Calibri" w:cs="Calibri" w:eastAsia="Calibri" w:hAnsi="Calibri"/>
          <w:sz w:val="19"/>
          <w:szCs w:val="19"/>
        </w:rPr>
        <w:t xml:space="preserve">Introduced AIB's enterprise reporting, data-lake and analytics capability on Power BI, AWS and Salesforce Einstein, supporting executive insight, student analytics and operational decision-making.</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broader leadership extending into Architecture, Research, Content and Design. The remit spans the group’s accounting, payroll, POS and mobile portfolio.</w:t>
      </w:r>
    </w:p>
    <w:p>
      <w:pPr>
        <w:pStyle w:val="ListParagraph"/>
        <w:numPr>
          <w:ilvl w:val="0"/>
          <w:numId w:val="2"/>
        </w:numPr>
        <w:spacing w:after="30" w:line="236"/>
      </w:pPr>
      <w:r>
        <w:rPr>
          <w:rFonts w:ascii="Calibri" w:cs="Calibri" w:eastAsia="Calibri" w:hAnsi="Calibri"/>
          <w:b/>
          <w:bCs/>
          <w:sz w:val="19"/>
          <w:szCs w:val="19"/>
        </w:rPr>
        <w:t xml:space="preserve">Data leadership:</w:t>
      </w:r>
      <w:r>
        <w:rPr>
          <w:rFonts w:ascii="Calibri" w:cs="Calibri" w:eastAsia="Calibri" w:hAnsi="Calibri"/>
          <w:sz w:val="19"/>
          <w:szCs w:val="19"/>
        </w:rPr>
        <w:t xml:space="preserve"> accountable for internal reporting across sales, retention, product performance and customer insights, including controlled access to Board, remuneration and workforce reporting.</w:t>
      </w:r>
    </w:p>
    <w:p>
      <w:pPr>
        <w:pStyle w:val="ListParagraph"/>
        <w:numPr>
          <w:ilvl w:val="0"/>
          <w:numId w:val="2"/>
        </w:numPr>
        <w:spacing w:after="30" w:line="236"/>
      </w:pPr>
      <w:r>
        <w:rPr>
          <w:rFonts w:ascii="Calibri" w:cs="Calibri" w:eastAsia="Calibri" w:hAnsi="Calibri"/>
          <w:b/>
          <w:bCs/>
          <w:sz w:val="19"/>
          <w:szCs w:val="19"/>
        </w:rPr>
        <w:t xml:space="preserve">Data platform and products:</w:t>
      </w:r>
      <w:r>
        <w:rPr>
          <w:rFonts w:ascii="Calibri" w:cs="Calibri" w:eastAsia="Calibri" w:hAnsi="Calibri"/>
          <w:sz w:val="19"/>
          <w:szCs w:val="19"/>
        </w:rPr>
        <w:t xml:space="preserve"> implemented an enterprise data lake, Pendo product analytics and a distributed shared-data architecture supporting cross-product and cross-book reporting using Power BI, Microsoft Fabric and Snowflake; refreshed in-platform reporting, developed standard cross-book IFRS reports with Statbun, and established third-party connectors and governed read-only access for approved AI services through an MCP server.</w:t>
      </w:r>
    </w:p>
    <w:p>
      <w:pPr>
        <w:pStyle w:val="ListParagraph"/>
        <w:numPr>
          <w:ilvl w:val="0"/>
          <w:numId w:val="2"/>
        </w:numPr>
        <w:spacing w:after="30" w:line="236"/>
      </w:pPr>
      <w:r>
        <w:rPr>
          <w:rFonts w:ascii="Calibri" w:cs="Calibri" w:eastAsia="Calibri" w:hAnsi="Calibri"/>
          <w:b/>
          <w:bCs/>
          <w:sz w:val="19"/>
          <w:szCs w:val="19"/>
        </w:rPr>
        <w:t xml:space="preserve">Governance and investment:</w:t>
      </w:r>
      <w:r>
        <w:rPr>
          <w:rFonts w:ascii="Calibri" w:cs="Calibri" w:eastAsia="Calibri" w:hAnsi="Calibri"/>
          <w:sz w:val="19"/>
          <w:szCs w:val="19"/>
        </w:rPr>
        <w:t xml:space="preserve"> own the group roadmap and backlog; shape platform, data and AI investment priorities with the CEO, Group CTO and CFO, balancing value, risk, security and regulatory obligations.</w:t>
      </w:r>
    </w:p>
    <w:p>
      <w:pPr>
        <w:pStyle w:val="ListParagraph"/>
        <w:numPr>
          <w:ilvl w:val="0"/>
          <w:numId w:val="2"/>
        </w:numPr>
        <w:spacing w:after="30" w:line="236"/>
      </w:pPr>
      <w:r>
        <w:rPr>
          <w:rFonts w:ascii="Calibri" w:cs="Calibri" w:eastAsia="Calibri" w:hAnsi="Calibri"/>
          <w:b/>
          <w:bCs/>
          <w:sz w:val="19"/>
          <w:szCs w:val="19"/>
        </w:rPr>
        <w:t xml:space="preserve">AI transformation:</w:t>
      </w:r>
      <w:r>
        <w:rPr>
          <w:rFonts w:ascii="Calibri" w:cs="Calibri" w:eastAsia="Calibri" w:hAnsi="Calibri"/>
          <w:sz w:val="19"/>
          <w:szCs w:val="19"/>
        </w:rPr>
        <w:t xml:space="preserve"> partnered with AWS to introduce AI-PDLC across the portfolio, compressing end-to-end delivery from months to weeks; established a Responsible and Secure AI Policy and embedded governed, AI-assisted practices across product squads.</w:t>
      </w:r>
    </w:p>
    <w:p>
      <w:pPr>
        <w:pStyle w:val="ListParagraph"/>
        <w:numPr>
          <w:ilvl w:val="0"/>
          <w:numId w:val="2"/>
        </w:numPr>
        <w:spacing w:after="30" w:line="236"/>
      </w:pPr>
      <w:r>
        <w:rPr>
          <w:rFonts w:ascii="Calibri" w:cs="Calibri" w:eastAsia="Calibri" w:hAnsi="Calibri"/>
          <w:b/>
          <w:bCs/>
          <w:sz w:val="19"/>
          <w:szCs w:val="19"/>
        </w:rPr>
        <w:t xml:space="preserve">In-product AI:</w:t>
      </w:r>
      <w:r>
        <w:rPr>
          <w:rFonts w:ascii="Calibri" w:cs="Calibri" w:eastAsia="Calibri" w:hAnsi="Calibri"/>
          <w:sz w:val="19"/>
          <w:szCs w:val="19"/>
        </w:rPr>
        <w:t xml:space="preserve"> embedded AI into Reckon One for onboarding, bank reconciliation, and insights and anomaly detection.</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pStyle w:val="ListParagraph"/>
        <w:numPr>
          <w:ilvl w:val="0"/>
          <w:numId w:val="2"/>
        </w:numPr>
        <w:spacing w:after="30" w:line="236"/>
      </w:pPr>
      <w:r>
        <w:rPr>
          <w:rFonts w:ascii="Calibri" w:cs="Calibri" w:eastAsia="Calibri" w:hAnsi="Calibri"/>
          <w:b/>
          <w:bCs/>
          <w:sz w:val="19"/>
          <w:szCs w:val="19"/>
        </w:rPr>
        <w:t xml:space="preserve">Product strategy:</w:t>
      </w:r>
      <w:r>
        <w:rPr>
          <w:rFonts w:ascii="Calibri" w:cs="Calibri" w:eastAsia="Calibri" w:hAnsi="Calibri"/>
          <w:sz w:val="19"/>
          <w:szCs w:val="19"/>
        </w:rPr>
        <w:t xml:space="preserve"> shaped ReckonX, the group's multi-year platform strategy, consolidating ~70,000 customers onto the flagship Reckon One cloud platform and its supporting mobile products.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pStyle w:val="ListParagraph"/>
        <w:numPr>
          <w:ilvl w:val="0"/>
          <w:numId w:val="2"/>
        </w:numPr>
        <w:spacing w:after="30" w:line="236"/>
      </w:pPr>
      <w:r>
        <w:rPr>
          <w:rFonts w:ascii="Calibri" w:cs="Calibri" w:eastAsia="Calibri" w:hAnsi="Calibri"/>
          <w:b/>
          <w:bCs/>
          <w:sz w:val="19"/>
          <w:szCs w:val="19"/>
        </w:rPr>
        <w:t xml:space="preserve">Enterprise systems: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and Data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line-of-business platforms; migrated to Microsoft 365 and Dynamics 365; consolidated technology suppliers.</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Crisis resilience:</w:t>
      </w:r>
      <w:r>
        <w:rPr>
          <w:rFonts w:ascii="Calibri" w:cs="Calibri" w:eastAsia="Calibri" w:hAnsi="Calibri"/>
          <w:sz w:val="19"/>
          <w:szCs w:val="19"/>
        </w:rPr>
        <w:t xml:space="preserve"> 100% cloud migration in under 6 months, enabling company-wide WFH through COVID-19; full VOIP replacement with omni-channel, IVR, and ML/AI routing.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supporting customer ledgers, collections, payment distribution, affordability and regulatory reporting; adopted by PayPal, NatWest, Santander and other major institutions; EBITDA-positive in year one.</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PDES (which became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UK, now part of Intuit.</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and high-volume technologies across big-data, distributed-cloud and Open Banking environments.</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departmental audits in an environment where data accuracy, security and controlled access were fundamental.</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Australia; high-volume vehicle and operational data platforms.</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Azure Data Factory · SQL/SSIS/SSRS · PostgreSQL · Oracle · DynamoDB · Metabase · Tableau · Python/Pandas/XGBoost · FHIR · MCP · OCR/NLP · OpenAI Codex · Claude Designer</w:t>
      </w:r>
    </w:p>
    <w:p>
      <w:pPr>
        <w:spacing w:after="5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Salesforce · MS 365 · Power Platform · Segment · Pendo · Mixpanel · GA4 · SAP · PeopleSoft · NetSuite · Zoho · HubSpot</w:t>
      </w:r>
    </w:p>
    <w:p>
      <w:pPr>
        <w:spacing w:after="8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.NET · Java · C# · Node.js · Flutter · React · Azure IaaS/PaaS/SaaS · AWS (EC2, S3, Lambda, CloudWatch, CloudFront) · Kafka · Docker · Kubernetes · New Relic · Git/GitHub · CI/CD · Azure DevOps</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fnm_whohjlckqoazpv25y"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RAA Data Strategy &amp; Architecture</dc:title>
  <dc:creator>David Weir</dc:creator>
  <cp:lastModifiedBy>Un-named</cp:lastModifiedBy>
  <cp:revision>1</cp:revision>
  <dcterms:created xsi:type="dcterms:W3CDTF">2026-10-20T02:35:37.724Z</dcterms:created>
  <dcterms:modified xsi:type="dcterms:W3CDTF">2026-10-20T02:35:37.735Z</dcterms:modified>
</cp:coreProperties>
</file>

<file path=docProps/custom.xml><?xml version="1.0" encoding="utf-8"?>
<Properties xmlns="http://schemas.openxmlformats.org/officeDocument/2006/custom-properties" xmlns:vt="http://schemas.openxmlformats.org/officeDocument/2006/docPropsVTypes"/>
</file>