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0247714D" w14:textId="77777777" w:rsidTr="005B03EF">
        <w:tc>
          <w:tcPr>
            <w:tcW w:w="6946" w:type="dxa"/>
          </w:tcPr>
          <w:p w14:paraId="3D1FE0E4" w14:textId="77777777" w:rsidR="006F017C" w:rsidRDefault="00000000">
            <w:pPr>
              <w:spacing w:after="60"/>
            </w:pPr>
            <w:r>
              <w:rPr>
                <w:b/>
                <w:bCs/>
                <w:color w:val="3B3838"/>
                <w:sz w:val="64"/>
                <w:szCs w:val="64"/>
              </w:rPr>
              <w:t>David Weir</w:t>
            </w:r>
          </w:p>
          <w:p w14:paraId="0B035742" w14:textId="77777777" w:rsidR="006F017C" w:rsidRDefault="00000000">
            <w:pPr>
              <w:spacing w:after="40"/>
            </w:pPr>
            <w:r>
              <w:rPr>
                <w:i/>
                <w:color w:val="333333"/>
                <w:sz w:val="21"/>
              </w:rPr>
              <w:t>Technology, data &amp; AI executive delivering enterprise data strategy, governed analytics and AI-enabled transformation across regulated sectors.</w:t>
            </w:r>
          </w:p>
        </w:tc>
        <w:tc>
          <w:tcPr>
            <w:tcW w:w="3520" w:type="dxa"/>
          </w:tcPr>
          <w:p w14:paraId="1A373CF2" w14:textId="77777777" w:rsidR="006F017C" w:rsidRDefault="008928BE">
            <w:pPr>
              <w:spacing w:after="40"/>
              <w:jc w:val="right"/>
            </w:pPr>
            <w:hyperlink r:id="rId5" w:history="1">
              <w:r>
                <w:rPr>
                  <w:rStyle w:val="Hyperlink"/>
                  <w:sz w:val="19"/>
                  <w:szCs w:val="19"/>
                </w:rPr>
                <w:t>linkedin.com/in/david~weir/</w:t>
              </w:r>
            </w:hyperlink>
          </w:p>
          <w:p w14:paraId="5429CBB5" w14:textId="77777777" w:rsidR="006F017C" w:rsidRDefault="00000000">
            <w:pPr>
              <w:spacing w:after="40"/>
              <w:jc w:val="right"/>
            </w:pPr>
            <w:r>
              <w:rPr>
                <w:color w:val="1F4E79"/>
                <w:sz w:val="19"/>
                <w:szCs w:val="19"/>
              </w:rPr>
              <w:t>Adelaide, South Australia</w:t>
            </w:r>
          </w:p>
          <w:p w14:paraId="6278B6A5" w14:textId="77777777" w:rsidR="006F017C" w:rsidRDefault="00000000">
            <w:pPr>
              <w:spacing w:after="40"/>
              <w:jc w:val="right"/>
            </w:pPr>
            <w:r>
              <w:rPr>
                <w:color w:val="1F4E79"/>
                <w:sz w:val="19"/>
                <w:szCs w:val="19"/>
              </w:rPr>
              <w:t>Dave@weirsweb.com.au</w:t>
            </w:r>
          </w:p>
          <w:p w14:paraId="4C03B441" w14:textId="77777777" w:rsidR="006F017C" w:rsidRDefault="00000000">
            <w:pPr>
              <w:spacing w:after="40"/>
              <w:jc w:val="right"/>
            </w:pPr>
            <w:r>
              <w:rPr>
                <w:color w:val="1F4E79"/>
                <w:sz w:val="19"/>
                <w:szCs w:val="19"/>
              </w:rPr>
              <w:t>+61 (0)490 782 166</w:t>
            </w:r>
          </w:p>
          <w:p w14:paraId="4526F30F" w14:textId="77777777" w:rsidR="006F017C" w:rsidRDefault="00000000">
            <w:pPr>
              <w:spacing w:after="40"/>
              <w:jc w:val="right"/>
            </w:pPr>
            <w:r>
              <w:rPr>
                <w:color w:val="1F4E79"/>
                <w:sz w:val="19"/>
                <w:szCs w:val="19"/>
              </w:rPr>
              <w:t>Dual Citizen – Australian / British</w:t>
            </w:r>
          </w:p>
        </w:tc>
      </w:tr>
    </w:tbl>
    <w:p w14:paraId="09D24B34"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sidRPr="005220C7">
        <w:rPr>
          <w:rFonts w:ascii="Calibri Light" w:hAnsi="Calibri Light" w:cs="Calibri Light"/>
          <w:noProof/>
          <w:lang w:eastAsia="en-GB"/>
        </w:rPr>
        <w:drawing>
          <wp:anchor distT="0" distB="0" distL="114300" distR="114300" simplePos="0" relativeHeight="251662336" behindDoc="0" locked="0" layoutInCell="1" allowOverlap="1" wp14:anchorId="4462D06F" wp14:editId="685E29AB">
            <wp:simplePos x="0" y="0"/>
            <wp:positionH relativeFrom="rightMargin">
              <wp:align>left</wp:align>
            </wp:positionH>
            <wp:positionV relativeFrom="paragraph">
              <wp:posOffset>-860533</wp:posOffset>
            </wp:positionV>
            <wp:extent cx="114300" cy="114300"/>
            <wp:effectExtent l="0" t="0" r="0" b="0"/>
            <wp:wrapNone/>
            <wp:docPr id="1836607779" name="LinkedIn Icon" descr="4lic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kedIn Icon" descr="4licns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300" cy="114300"/>
                    </a:xfrm>
                    <a:prstGeom prst="rect">
                      <a:avLst/>
                    </a:prstGeom>
                  </pic:spPr>
                </pic:pic>
              </a:graphicData>
            </a:graphic>
          </wp:anchor>
        </w:drawing>
      </w:r>
      <w:r>
        <w:rPr>
          <w:noProof/>
          <w:color w:val="1F4E79"/>
          <w:sz w:val="19"/>
          <w:szCs w:val="19"/>
        </w:rPr>
        <w:drawing>
          <wp:anchor distT="0" distB="0" distL="114300" distR="114300" simplePos="0" relativeHeight="251661312" behindDoc="0" locked="0" layoutInCell="1" allowOverlap="1" wp14:anchorId="11914390" wp14:editId="38D1BCF5">
            <wp:simplePos x="0" y="0"/>
            <wp:positionH relativeFrom="column">
              <wp:posOffset>6657255</wp:posOffset>
            </wp:positionH>
            <wp:positionV relativeFrom="paragraph">
              <wp:posOffset>-690553</wp:posOffset>
            </wp:positionV>
            <wp:extent cx="115570" cy="115570"/>
            <wp:effectExtent l="0" t="0" r="0" b="0"/>
            <wp:wrapNone/>
            <wp:docPr id="16428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60288" behindDoc="0" locked="0" layoutInCell="1" allowOverlap="1" wp14:anchorId="594EFBFF" wp14:editId="6645F933">
            <wp:simplePos x="0" y="0"/>
            <wp:positionH relativeFrom="column">
              <wp:posOffset>6657255</wp:posOffset>
            </wp:positionH>
            <wp:positionV relativeFrom="paragraph">
              <wp:posOffset>-508217</wp:posOffset>
            </wp:positionV>
            <wp:extent cx="115570" cy="115570"/>
            <wp:effectExtent l="0" t="0" r="0" b="0"/>
            <wp:wrapNone/>
            <wp:docPr id="116771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59264" behindDoc="0" locked="0" layoutInCell="1" allowOverlap="1" wp14:anchorId="00E2B01A" wp14:editId="4DE52292">
            <wp:simplePos x="0" y="0"/>
            <wp:positionH relativeFrom="column">
              <wp:posOffset>6661355</wp:posOffset>
            </wp:positionH>
            <wp:positionV relativeFrom="paragraph">
              <wp:posOffset>-347943</wp:posOffset>
            </wp:positionV>
            <wp:extent cx="115570" cy="115570"/>
            <wp:effectExtent l="0" t="0" r="0" b="0"/>
            <wp:wrapNone/>
            <wp:docPr id="52055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222222"/>
        </w:rPr>
        <w:drawing>
          <wp:anchor distT="0" distB="0" distL="114300" distR="114300" simplePos="0" relativeHeight="251658240" behindDoc="0" locked="0" layoutInCell="1" allowOverlap="1" wp14:anchorId="1573EAF5" wp14:editId="3FDB1DA6">
            <wp:simplePos x="0" y="0"/>
            <wp:positionH relativeFrom="column">
              <wp:posOffset>6689593</wp:posOffset>
            </wp:positionH>
            <wp:positionV relativeFrom="paragraph">
              <wp:posOffset>-179862</wp:posOffset>
            </wp:positionV>
            <wp:extent cx="73025" cy="115570"/>
            <wp:effectExtent l="0" t="0" r="3175" b="0"/>
            <wp:wrapNone/>
            <wp:docPr id="91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25" cy="115570"/>
                    </a:xfrm>
                    <a:prstGeom prst="rect">
                      <a:avLst/>
                    </a:prstGeom>
                    <a:noFill/>
                  </pic:spPr>
                </pic:pic>
              </a:graphicData>
            </a:graphic>
          </wp:anchor>
        </w:drawing>
      </w:r>
      <w:r>
        <w:rPr>
          <w:b/>
          <w:bCs/>
          <w:color w:val="1F4E79"/>
          <w:sz w:val="24"/>
          <w:szCs w:val="24"/>
        </w:rPr>
        <w:t xml:space="preserve"> Executive Summary</w:t>
      </w:r>
    </w:p>
    <w:p w14:paraId="639BAE28" w14:textId="77777777" w:rsidR="006F017C" w:rsidRPr="008928BE" w:rsidRDefault="008928BE" w:rsidP="008928BE">
      <w:pPr>
        <w:spacing w:after="60"/>
        <w:rPr>
          <w:color w:val="222222"/>
        </w:rPr>
      </w:pPr>
      <w:r>
        <w:rPr>
          <w:color w:val="222222"/>
        </w:rPr>
        <w:t>15+ years of CXO and Director-level leadership across fintech, health, education and other regulated sectors. Currently Head of Product at Reckon (ASX: RKN), with CPO remit and continuing CTO accountability for Cashflow Manager. Leads Data and Reporting, enterprise data platforms, internal and in-product reporting, analytics and sensitive executive information.</w:t>
      </w:r>
    </w:p>
    <w:p w14:paraId="66752211" w14:textId="77777777" w:rsidR="006F3B0C" w:rsidRDefault="00000000">
      <w:pPr>
        <w:spacing w:after="60"/>
        <w:rPr>
          <w:color w:val="222222"/>
        </w:rPr>
      </w:pPr>
      <w:r>
        <w:rPr>
          <w:color w:val="222222"/>
        </w:rPr>
        <w:t>Led enterprise data and analytics capabilities across bureau-scale credit, national patient records, headless banking, financial reporting and international education. Most recently implemented an enterprise data lake and Snowflake cross-book analytics while leading Reckon's AI transformation with AWS AI-PDLC. Experienced advising Boards and executives on investment, governance and risk, and leading distributed offshore and nearshore teams across the UK, Europe, India and APAC for 15+ years.</w:t>
      </w:r>
    </w:p>
    <w:p w14:paraId="36A8C629"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600"/>
        <w:gridCol w:w="3378"/>
      </w:tblGrid>
      <w:tr w:rsidR="006F017C" w14:paraId="5919DB4A" w14:textId="77777777" w:rsidTr="005B03EF">
        <w:tc>
          <w:tcPr>
            <w:tcW w:w="3488" w:type="dxa"/>
          </w:tcPr>
          <w:p w14:paraId="03C6E086" w14:textId="33898201" w:rsidR="006F017C" w:rsidRDefault="00000000">
            <w:pPr>
              <w:spacing w:after="44"/>
            </w:pPr>
            <w:r>
              <w:rPr>
                <w:b/>
                <w:color w:val="0A004A"/>
                <w:sz w:val="18"/>
              </w:rPr>
              <w:t xml:space="preserve">❖ </w:t>
            </w:r>
            <w:r w:rsidR="000A3333" w:rsidRPr="000A3333">
              <w:rPr>
                <w:b/>
                <w:color w:val="0A004A"/>
                <w:sz w:val="18"/>
              </w:rPr>
              <w:t xml:space="preserve">Data &amp; AI strategy: </w:t>
            </w:r>
            <w:r w:rsidR="000A3333" w:rsidRPr="000A3333">
              <w:rPr>
                <w:bCs/>
                <w:color w:val="0A004A"/>
                <w:sz w:val="18"/>
              </w:rPr>
              <w:t xml:space="preserve">responsible and secure AI policy; </w:t>
            </w:r>
            <w:r w:rsidR="000A3333">
              <w:rPr>
                <w:bCs/>
                <w:color w:val="0A004A"/>
                <w:sz w:val="18"/>
              </w:rPr>
              <w:t>org</w:t>
            </w:r>
            <w:r w:rsidR="000A3333" w:rsidRPr="000A3333">
              <w:rPr>
                <w:bCs/>
                <w:color w:val="0A004A"/>
                <w:sz w:val="18"/>
              </w:rPr>
              <w:t xml:space="preserve"> adoption and value realisation</w:t>
            </w:r>
          </w:p>
          <w:p w14:paraId="7FA02F0C" w14:textId="77777777" w:rsidR="006F017C" w:rsidRDefault="00000000">
            <w:pPr>
              <w:spacing w:after="44"/>
            </w:pPr>
            <w:r>
              <w:rPr>
                <w:b/>
                <w:color w:val="0A004A"/>
                <w:sz w:val="18"/>
              </w:rPr>
              <w:t>❖ Product leadership:</w:t>
            </w:r>
            <w:r>
              <w:rPr>
                <w:color w:val="0A004A"/>
                <w:sz w:val="18"/>
              </w:rPr>
              <w:t xml:space="preserve"> strategy through delivery; products used by millions</w:t>
            </w:r>
          </w:p>
          <w:p w14:paraId="3F39CC4E" w14:textId="1F8310CD" w:rsidR="006F017C" w:rsidRDefault="00000000">
            <w:pPr>
              <w:spacing w:after="44"/>
            </w:pPr>
            <w:r>
              <w:rPr>
                <w:b/>
                <w:color w:val="0A004A"/>
                <w:sz w:val="18"/>
              </w:rPr>
              <w:t>❖ Enterprise change:</w:t>
            </w:r>
            <w:r>
              <w:rPr>
                <w:color w:val="0A004A"/>
                <w:sz w:val="18"/>
              </w:rPr>
              <w:t xml:space="preserve"> </w:t>
            </w:r>
            <w:r w:rsidR="000A3333" w:rsidRPr="000A3333">
              <w:rPr>
                <w:color w:val="0A004A"/>
                <w:sz w:val="18"/>
              </w:rPr>
              <w:t>operating-model transformation, M&amp;A integration and divestiture; Lean</w:t>
            </w:r>
            <w:r w:rsidR="000A3333">
              <w:rPr>
                <w:color w:val="0A004A"/>
                <w:sz w:val="18"/>
              </w:rPr>
              <w:t xml:space="preserve">, </w:t>
            </w:r>
            <w:r w:rsidR="000A3333" w:rsidRPr="000A3333">
              <w:rPr>
                <w:color w:val="0A004A"/>
                <w:sz w:val="18"/>
              </w:rPr>
              <w:t xml:space="preserve">Six Sigma, </w:t>
            </w:r>
            <w:r w:rsidR="000A3333">
              <w:rPr>
                <w:color w:val="0A004A"/>
                <w:sz w:val="18"/>
              </w:rPr>
              <w:t>Mgmt</w:t>
            </w:r>
            <w:r w:rsidR="000A3333" w:rsidRPr="000A3333">
              <w:rPr>
                <w:color w:val="0A004A"/>
                <w:sz w:val="18"/>
              </w:rPr>
              <w:t xml:space="preserve"> 3.0</w:t>
            </w:r>
          </w:p>
        </w:tc>
        <w:tc>
          <w:tcPr>
            <w:tcW w:w="3600" w:type="dxa"/>
          </w:tcPr>
          <w:p w14:paraId="275FAA5F" w14:textId="55542161" w:rsidR="006F017C" w:rsidRDefault="00000000" w:rsidP="00F723B0">
            <w:pPr>
              <w:spacing w:before="120" w:after="44"/>
            </w:pPr>
            <w:r>
              <w:rPr>
                <w:b/>
                <w:color w:val="0A004A"/>
                <w:sz w:val="18"/>
              </w:rPr>
              <w:t>❖ Portfolio management:</w:t>
            </w:r>
            <w:r w:rsidR="000A3333">
              <w:rPr>
                <w:b/>
                <w:color w:val="0A004A"/>
                <w:sz w:val="18"/>
              </w:rPr>
              <w:t xml:space="preserve"> </w:t>
            </w:r>
            <w:r w:rsidR="000A3333" w:rsidRPr="000A3333">
              <w:rPr>
                <w:color w:val="0A004A"/>
                <w:sz w:val="18"/>
              </w:rPr>
              <w:t>AI-DLC/AI-PDLC, SAFe, Scrum, ITIL, OKR, OGSM, TOGAF</w:t>
            </w:r>
          </w:p>
          <w:p w14:paraId="1C17D6C8" w14:textId="706A20A0" w:rsidR="006F017C" w:rsidRDefault="00000000">
            <w:pPr>
              <w:spacing w:after="44"/>
            </w:pPr>
            <w:r>
              <w:rPr>
                <w:b/>
                <w:color w:val="0A004A"/>
                <w:sz w:val="18"/>
              </w:rPr>
              <w:t>❖ Regulated delivery:</w:t>
            </w:r>
            <w:r>
              <w:rPr>
                <w:color w:val="0A004A"/>
                <w:sz w:val="18"/>
              </w:rPr>
              <w:t xml:space="preserve"> </w:t>
            </w:r>
            <w:r w:rsidR="000A3333" w:rsidRPr="000A3333">
              <w:rPr>
                <w:color w:val="0A004A"/>
                <w:sz w:val="18"/>
              </w:rPr>
              <w:t>NHS/MoD, FCA/AML, ATO/CDR, TEQSA/TCSI</w:t>
            </w:r>
          </w:p>
          <w:p w14:paraId="59976915" w14:textId="0D05FF28" w:rsidR="006F017C" w:rsidRDefault="00000000">
            <w:pPr>
              <w:spacing w:after="44"/>
            </w:pPr>
            <w:r>
              <w:rPr>
                <w:b/>
                <w:color w:val="0A004A"/>
                <w:sz w:val="18"/>
              </w:rPr>
              <w:t>❖ Cybersecurity &amp; data governance:</w:t>
            </w:r>
            <w:r>
              <w:rPr>
                <w:color w:val="0A004A"/>
                <w:sz w:val="18"/>
              </w:rPr>
              <w:t xml:space="preserve"> </w:t>
            </w:r>
            <w:r w:rsidR="000A3333" w:rsidRPr="000A3333">
              <w:rPr>
                <w:color w:val="0A004A"/>
                <w:sz w:val="18"/>
              </w:rPr>
              <w:t>ISO 27001:2022, PCI-DSS, ISMF, GDPR</w:t>
            </w:r>
          </w:p>
        </w:tc>
        <w:tc>
          <w:tcPr>
            <w:tcW w:w="3378" w:type="dxa"/>
          </w:tcPr>
          <w:p w14:paraId="20A72DD6" w14:textId="77777777" w:rsidR="006F017C" w:rsidRDefault="00000000">
            <w:pPr>
              <w:spacing w:after="44"/>
            </w:pPr>
            <w:r>
              <w:rPr>
                <w:b/>
                <w:color w:val="0A004A"/>
                <w:sz w:val="18"/>
              </w:rPr>
              <w:t>❖ Commercial results:</w:t>
            </w:r>
            <w:r>
              <w:rPr>
                <w:color w:val="0A004A"/>
                <w:sz w:val="18"/>
              </w:rPr>
              <w:t xml:space="preserve"> EBITDA-positive launches; 25% lower CoA; $1.3m recovered</w:t>
            </w:r>
          </w:p>
          <w:p w14:paraId="4896311A" w14:textId="77777777" w:rsidR="006F017C" w:rsidRDefault="00000000">
            <w:pPr>
              <w:spacing w:after="44"/>
            </w:pPr>
            <w:r>
              <w:rPr>
                <w:b/>
                <w:color w:val="0A004A"/>
                <w:sz w:val="18"/>
              </w:rPr>
              <w:t>❖ Global leadership:</w:t>
            </w:r>
            <w:r>
              <w:rPr>
                <w:color w:val="0A004A"/>
                <w:sz w:val="18"/>
              </w:rPr>
              <w:t xml:space="preserve"> distributed teams across UK, Europe, India, APAC; offshore/nearshore 15+ yrs</w:t>
            </w:r>
          </w:p>
          <w:p w14:paraId="44E67B6D" w14:textId="77777777" w:rsidR="000A2991" w:rsidRDefault="00000000">
            <w:pPr>
              <w:spacing w:after="44"/>
            </w:pPr>
            <w:r>
              <w:rPr>
                <w:b/>
                <w:color w:val="0A004A"/>
                <w:sz w:val="18"/>
              </w:rPr>
              <w:t>❖ Executive influence:</w:t>
            </w:r>
            <w:r>
              <w:rPr>
                <w:color w:val="0A004A"/>
                <w:sz w:val="18"/>
              </w:rPr>
              <w:t xml:space="preserve"> Board and executive advisory; investment, governance and risk</w:t>
            </w:r>
          </w:p>
        </w:tc>
      </w:tr>
    </w:tbl>
    <w:p w14:paraId="4FFE85C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725F8367" w14:textId="77777777" w:rsidR="008928BE" w:rsidRPr="008928BE" w:rsidRDefault="008928BE" w:rsidP="008928BE">
      <w:pPr>
        <w:pStyle w:val="ListParagraph"/>
        <w:numPr>
          <w:ilvl w:val="0"/>
          <w:numId w:val="2"/>
        </w:numPr>
        <w:spacing w:after="24"/>
        <w:rPr>
          <w:color w:val="222222"/>
        </w:rPr>
      </w:pPr>
      <w:r>
        <w:rPr>
          <w:color w:val="222222"/>
        </w:rPr>
        <w:t>Led technology and product delivery for EMIS-X Analytics and Explorer, Apex and PHM Pathfinder Analytics, enabling secure SQL/FHIR access to real-time patient data, primary-care demand and capacity insight, and population-health planning.</w:t>
      </w:r>
    </w:p>
    <w:p w14:paraId="5540EB45" w14:textId="77777777" w:rsidR="008928BE" w:rsidRPr="008928BE" w:rsidRDefault="008928BE" w:rsidP="008928BE">
      <w:pPr>
        <w:pStyle w:val="ListParagraph"/>
        <w:numPr>
          <w:ilvl w:val="0"/>
          <w:numId w:val="2"/>
        </w:numPr>
        <w:spacing w:after="24"/>
        <w:rPr>
          <w:color w:val="222222"/>
        </w:rPr>
      </w:pPr>
      <w:r>
        <w:rPr>
          <w:color w:val="222222"/>
        </w:rPr>
        <w:t>Driving Reckon's AWS AI-PDLC transformation and portfolio-wide AI-assisted product delivery, building on earlier applied AI leadership at EduCo, where Accelerate automated eligibility, academic authenticity and visa-likelihood assessment.</w:t>
      </w:r>
    </w:p>
    <w:p w14:paraId="368EA2CA" w14:textId="77777777" w:rsidR="008928BE" w:rsidRPr="008928BE" w:rsidRDefault="008928BE" w:rsidP="008928BE">
      <w:pPr>
        <w:pStyle w:val="ListParagraph"/>
        <w:numPr>
          <w:ilvl w:val="0"/>
          <w:numId w:val="2"/>
        </w:numPr>
        <w:spacing w:after="24"/>
        <w:rPr>
          <w:color w:val="222222"/>
        </w:rPr>
      </w:pPr>
      <w:r>
        <w:rPr>
          <w:color w:val="222222"/>
        </w:rPr>
        <w:t>Directed bureau-scale data delivery at CallCredit/TransUnion across credit, fraud, AML, affordability, identity and geospatial products; introduced high-volume architecture and launched Noddle, acquired by Credit Karma UK, now owned by Intuit.</w:t>
      </w:r>
    </w:p>
    <w:p w14:paraId="1907E85E"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5F6A0E7A" w14:textId="77777777" w:rsidR="006F017C" w:rsidRDefault="008928BE" w:rsidP="008928BE">
      <w:pPr>
        <w:pStyle w:val="ListParagraph"/>
        <w:numPr>
          <w:ilvl w:val="0"/>
          <w:numId w:val="2"/>
        </w:numPr>
        <w:spacing w:after="24"/>
      </w:pPr>
      <w:r>
        <w:rPr>
          <w:color w:val="222222"/>
        </w:rPr>
        <w:t>Accountable for Reckon's Data and Reporting function; implemented its enterprise data lake, Pendo, Power BI, Microsoft Fabric and Snowflake cross-book analytics, including IFRS and controlled Board and workforce reporting.</w:t>
      </w:r>
    </w:p>
    <w:p w14:paraId="02BA3E3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3DF22417"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0D5F6B3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20A0D3D5" w14:textId="49C36749" w:rsidR="006F017C" w:rsidRDefault="002978E8">
      <w:pPr>
        <w:spacing w:after="60"/>
      </w:pPr>
      <w:r w:rsidRPr="002978E8">
        <w:rPr>
          <w:color w:val="222222"/>
        </w:rPr>
        <w:t>Appointed Head of Product with CPO remit following Reckon’s acquisition of Cashflow Manager, while retaining CTO accountability for CFM. Own strategy and delivery across the full product portfolio, with accountability for all product squads. Directly lead Product Managers and Enterprise Data and Reporting, while providing portfolio-wide leadership across Architecture, Research, Content and Design. The remit spans the group’s accounting, payroll, POS and mobile portfolio</w:t>
      </w:r>
      <w:r>
        <w:rPr>
          <w:color w:val="222222"/>
        </w:rPr>
        <w:t>.</w:t>
      </w:r>
    </w:p>
    <w:p w14:paraId="54EB445B" w14:textId="2A99D9DF" w:rsidR="006F017C" w:rsidRDefault="00000000" w:rsidP="00CD4FC4">
      <w:pPr>
        <w:pStyle w:val="ListParagraph"/>
        <w:numPr>
          <w:ilvl w:val="0"/>
          <w:numId w:val="5"/>
        </w:numPr>
        <w:spacing w:after="24"/>
      </w:pPr>
      <w:r>
        <w:rPr>
          <w:b/>
          <w:color w:val="222222"/>
        </w:rPr>
        <w:t>AI transformation and products:</w:t>
      </w:r>
      <w:r>
        <w:rPr>
          <w:color w:val="222222"/>
        </w:rPr>
        <w:t xml:space="preserve"> </w:t>
      </w:r>
      <w:r w:rsidR="00357135" w:rsidRPr="00357135">
        <w:rPr>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r>
        <w:rPr>
          <w:color w:val="222222"/>
        </w:rPr>
        <w:t>.</w:t>
      </w:r>
    </w:p>
    <w:p w14:paraId="60AA36D1"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ReckonX, the group's multi-year platform strategy, consolidating ~70,000 customers onto the flagship Reckon One cloud platform and its supporting mobile products.</w:t>
      </w:r>
    </w:p>
    <w:p w14:paraId="7D05CF02" w14:textId="1ED50F83" w:rsidR="006F3B0C" w:rsidRDefault="00000000">
      <w:pPr>
        <w:pStyle w:val="ListParagraph"/>
        <w:numPr>
          <w:ilvl w:val="0"/>
          <w:numId w:val="5"/>
        </w:numPr>
        <w:spacing w:after="24"/>
      </w:pPr>
      <w:r>
        <w:rPr>
          <w:b/>
          <w:color w:val="222222"/>
        </w:rPr>
        <w:t>Data-driven growth:</w:t>
      </w:r>
      <w:r>
        <w:rPr>
          <w:color w:val="222222"/>
        </w:rPr>
        <w:t xml:space="preserve"> </w:t>
      </w:r>
      <w:r w:rsidR="002978E8" w:rsidRPr="002978E8">
        <w:rPr>
          <w:color w:val="222222"/>
        </w:rPr>
        <w:t>combine customer research, content and design with Pendo analytics and conversion modelling to prioritise the roadmap, reduce churn and strengthen acquisition, activation and retention.</w:t>
      </w:r>
    </w:p>
    <w:p w14:paraId="62E36CD2" w14:textId="77777777" w:rsidR="006F017C" w:rsidRDefault="00000000" w:rsidP="00CD4FC4">
      <w:pPr>
        <w:pStyle w:val="ListParagraph"/>
        <w:numPr>
          <w:ilvl w:val="0"/>
          <w:numId w:val="5"/>
        </w:numPr>
        <w:spacing w:after="24"/>
      </w:pPr>
      <w:r>
        <w:rPr>
          <w:b/>
          <w:color w:val="222222"/>
        </w:rPr>
        <w:t>Data leadership:</w:t>
      </w:r>
      <w:r>
        <w:rPr>
          <w:color w:val="222222"/>
        </w:rPr>
        <w:t xml:space="preserve"> accountable for internal reporting across sales, retention, product performance and customer insights, including controlled access to Board, remuneration and workforce reporting.</w:t>
      </w:r>
    </w:p>
    <w:p w14:paraId="49D2A01C" w14:textId="77777777" w:rsidR="006F017C" w:rsidRDefault="00000000" w:rsidP="00CD4FC4">
      <w:pPr>
        <w:pStyle w:val="ListParagraph"/>
        <w:numPr>
          <w:ilvl w:val="0"/>
          <w:numId w:val="5"/>
        </w:numPr>
        <w:spacing w:after="24"/>
      </w:pPr>
      <w:r>
        <w:rPr>
          <w:b/>
          <w:color w:val="222222"/>
        </w:rPr>
        <w:t>Data platform and products:</w:t>
      </w:r>
      <w:r>
        <w:rPr>
          <w:color w:val="222222"/>
        </w:rPr>
        <w:t xml:space="preserve"> implemented an enterprise data lake, Pendo product analytics and a distributed shared-data architecture supporting cross-product and cross-book reporting using Power BI, Microsoft Fabric and Snowflake; refreshed in-platform reporting, developed standard cross-book IFRS reports with Statbun, and established third-party connectors and governed read-only access for approved AI services through an MCP server.</w:t>
      </w:r>
    </w:p>
    <w:p w14:paraId="30553AA0" w14:textId="77777777" w:rsidR="006F017C" w:rsidRDefault="00000000" w:rsidP="00CD4FC4">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 priorities with the CEO, Group CTO and CFO, balancing value, risk, security and regulatory obligations.</w:t>
      </w:r>
    </w:p>
    <w:p w14:paraId="50B6C78B"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0F11FAE9"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lastRenderedPageBreak/>
        <w:t>CTO | Chief Technology Officer</w:t>
      </w:r>
      <w:r w:rsidRPr="000744E5">
        <w:rPr>
          <w:color w:val="1F4E79"/>
          <w:sz w:val="19"/>
          <w:szCs w:val="19"/>
        </w:rPr>
        <w:tab/>
      </w:r>
      <w:r w:rsidR="00CD4FC4" w:rsidRPr="000744E5">
        <w:rPr>
          <w:b/>
          <w:bCs/>
          <w:color w:val="1F4E79"/>
          <w:sz w:val="19"/>
          <w:szCs w:val="19"/>
        </w:rPr>
        <w:t>Dec 2023 – Dec 2024</w:t>
      </w:r>
    </w:p>
    <w:p w14:paraId="3FD38733"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0F67F1A"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7B76DE89"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1A4422A9"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42F26EA8"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698C04E3"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3BA45AD9"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B3DFD44"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429E9A8"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6F57E3D" w14:textId="77777777" w:rsidR="006F017C" w:rsidRDefault="00000000">
      <w:pPr>
        <w:spacing w:after="60"/>
      </w:pPr>
      <w:r>
        <w:rPr>
          <w:color w:val="222222"/>
        </w:rPr>
        <w:t>Executive board member reporting to the CEO and BPEA EQT board, accountable for Technology and Data across EduCo and its acquired universities, including BI, data engineering, analytics, cloud infrastructure and AI-enabled products.</w:t>
      </w:r>
    </w:p>
    <w:p w14:paraId="22F8CA72"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3D7B3A8D" w14:textId="77777777" w:rsidR="006F3B0C"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3B820379"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05CC010B"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line-of-business platforms; migrated to Microsoft 365 and Dynamics 365; consolidated technology suppliers.</w:t>
      </w:r>
    </w:p>
    <w:p w14:paraId="7E50AC6E" w14:textId="77777777" w:rsidR="006F017C" w:rsidRDefault="00000000" w:rsidP="00CD4FC4">
      <w:pPr>
        <w:pStyle w:val="ListParagraph"/>
        <w:numPr>
          <w:ilvl w:val="0"/>
          <w:numId w:val="7"/>
        </w:numPr>
        <w:spacing w:after="24"/>
      </w:pPr>
      <w:r>
        <w:rPr>
          <w:b/>
          <w:color w:val="222222"/>
        </w:rPr>
        <w:t>M&amp;A and strategy:</w:t>
      </w:r>
      <w:r>
        <w:rPr>
          <w:color w:val="222222"/>
        </w:rPr>
        <w:t xml:space="preserve"> applied a common IT Blueprint to technology and data due diligence, integration and divestiture across ANZ, the UK, Canada and USA.</w:t>
      </w:r>
    </w:p>
    <w:p w14:paraId="77F3E2F5"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6256B987"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341858DE"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25161AE9"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5C132373" w14:textId="77777777" w:rsidR="006F3B0C" w:rsidRDefault="00000000">
      <w:pPr>
        <w:spacing w:after="60"/>
      </w:pPr>
      <w:r>
        <w:rPr>
          <w:color w:val="222222"/>
        </w:rPr>
        <w:t>Executive team accountability for technology, data, cyber security and transformation across a national online university.</w:t>
      </w:r>
    </w:p>
    <w:p w14:paraId="6543E591"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78CAD000" w14:textId="77777777" w:rsidR="006F3B0C"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79A9886"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20D9FE5C"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65FFD34E"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225A46E8"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7C5EF783"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624A567F"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8E5345B"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6C166850"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32ACBC6D" w14:textId="77777777" w:rsidR="006F3B0C" w:rsidRDefault="00000000">
      <w:pPr>
        <w:spacing w:after="60"/>
      </w:pPr>
      <w:r>
        <w:rPr>
          <w:color w:val="222222"/>
        </w:rPr>
        <w:t>Group CIO/CTO for technology, product and delivery across regulated debt management, payments and B2B banking platforms.</w:t>
      </w:r>
    </w:p>
    <w:p w14:paraId="27C562B6"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5A68B409"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7DCFA7E4" w14:textId="77777777" w:rsidR="006F3B0C"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while delivering the PayPlanPlus companion application alongside the Embark platform.</w:t>
      </w:r>
    </w:p>
    <w:p w14:paraId="2268C1E0"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27E28585" w14:textId="77777777" w:rsidR="006F017C" w:rsidRPr="00CD4FC4" w:rsidRDefault="00000000">
      <w:pPr>
        <w:keepNext/>
        <w:tabs>
          <w:tab w:val="right" w:pos="10466"/>
        </w:tabs>
        <w:spacing w:before="100" w:after="20"/>
        <w:rPr>
          <w:color w:val="1F4E79"/>
        </w:rPr>
      </w:pPr>
      <w:r w:rsidRPr="00CD4FC4">
        <w:rPr>
          <w:b/>
          <w:bCs/>
          <w:color w:val="1F4E79"/>
          <w:sz w:val="21"/>
          <w:szCs w:val="21"/>
        </w:rPr>
        <w:lastRenderedPageBreak/>
        <w:t>Group IT Development Director</w:t>
      </w:r>
      <w:r w:rsidRPr="00CD4FC4">
        <w:rPr>
          <w:color w:val="1F4E79"/>
          <w:sz w:val="19"/>
          <w:szCs w:val="19"/>
        </w:rPr>
        <w:tab/>
      </w:r>
      <w:r w:rsidRPr="00CD4FC4">
        <w:rPr>
          <w:b/>
          <w:bCs/>
          <w:color w:val="1F4E79"/>
          <w:sz w:val="19"/>
          <w:szCs w:val="19"/>
        </w:rPr>
        <w:t>Oct 2013 – Jun 2015</w:t>
      </w:r>
    </w:p>
    <w:p w14:paraId="3828FC4F"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176436FF"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7A9E955F" w14:textId="77777777" w:rsidR="006F017C" w:rsidRDefault="00000000" w:rsidP="00CD4FC4">
      <w:pPr>
        <w:pStyle w:val="ListParagraph"/>
        <w:numPr>
          <w:ilvl w:val="0"/>
          <w:numId w:val="12"/>
        </w:numPr>
        <w:spacing w:after="24"/>
      </w:pPr>
      <w:r>
        <w:rPr>
          <w:b/>
          <w:color w:val="222222"/>
        </w:rPr>
        <w:t>Data and analytics products:</w:t>
      </w:r>
      <w:r>
        <w:rPr>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30D55B51"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041D0B5F" w14:textId="77777777" w:rsidR="006F3B0C"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6949DFED"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52206B93"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40CBD67F" w14:textId="77777777" w:rsidR="006F3B0C"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66F095C9"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6AF1D15"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76FB7908" w14:textId="77777777" w:rsidR="006F3B0C" w:rsidRDefault="00000000">
      <w:pPr>
        <w:spacing w:after="60"/>
      </w:pPr>
      <w:r>
        <w:rPr>
          <w:color w:val="222222"/>
        </w:rPr>
        <w:t>Led IT, development and delivery within one of the UK's three major credit-reference agencies and its data products.</w:t>
      </w:r>
    </w:p>
    <w:p w14:paraId="285F0FE9" w14:textId="77777777" w:rsidR="006F017C" w:rsidRDefault="00000000" w:rsidP="00CD4FC4">
      <w:pPr>
        <w:pStyle w:val="ListParagraph"/>
        <w:numPr>
          <w:ilvl w:val="0"/>
          <w:numId w:val="11"/>
        </w:numPr>
        <w:spacing w:after="24"/>
      </w:pPr>
      <w:r>
        <w:rPr>
          <w:b/>
          <w:color w:val="222222"/>
        </w:rPr>
        <w:t>Data platforms and products:</w:t>
      </w:r>
      <w:r>
        <w:rPr>
          <w:color w:val="222222"/>
        </w:rPr>
        <w:t xml:space="preserve"> led delivery across bureau-scale consumer and commercial datasets spanning credit, fraud, AML, affordability, identity, PFM, demographic/geospatial and financial products; launched Noddle, the UK's first free consumer credit report, acquired by Credit Karma UK, now owned by Intuit.</w:t>
      </w:r>
    </w:p>
    <w:p w14:paraId="61F2159D" w14:textId="77777777" w:rsidR="006F3B0C" w:rsidRDefault="00000000">
      <w:pPr>
        <w:pStyle w:val="ListParagraph"/>
        <w:numPr>
          <w:ilvl w:val="0"/>
          <w:numId w:val="11"/>
        </w:numPr>
        <w:spacing w:after="24"/>
      </w:pPr>
      <w:r>
        <w:rPr>
          <w:b/>
          <w:color w:val="222222"/>
        </w:rPr>
        <w:t>Data architecture:</w:t>
      </w:r>
      <w:r>
        <w:rPr>
          <w:color w:val="222222"/>
        </w:rPr>
        <w:t xml:space="preserve"> introduced high-availability and high-volume technologies across big-data, distributed-cloud and Open Banking environments.</w:t>
      </w:r>
    </w:p>
    <w:p w14:paraId="1F341C2D"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2D29B2A8"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and ~100 FTE; established a Lithuanian engineering capability that increased capacity by 35%.</w:t>
      </w:r>
    </w:p>
    <w:p w14:paraId="33B7955F"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24EA3C26"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49124117" w14:textId="7DDDAD5D"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UK SPINE-2 replacement programme involving national healthcare records, interoperability and information-management requirements; additional CTO/CIO-level engagements across Trafigura, CPP and Tullett Prebon.</w:t>
      </w:r>
    </w:p>
    <w:p w14:paraId="5C57ED8A"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3440AD56"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30468CCB"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1D940557"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3916159F" w14:textId="5B26838D" w:rsidR="00EA3057" w:rsidRDefault="00590B21" w:rsidP="00590B21">
      <w:pPr>
        <w:spacing w:after="60"/>
        <w:rPr>
          <w:color w:val="222222"/>
        </w:rPr>
      </w:pPr>
      <w:r>
        <w:rPr>
          <w:b/>
          <w:color w:val="222222"/>
        </w:rPr>
        <w:t xml:space="preserve">Key systems: </w:t>
      </w:r>
      <w:r w:rsidR="00E63F1C">
        <w:rPr>
          <w:color w:val="222222"/>
        </w:rPr>
        <w:t>MS</w:t>
      </w:r>
      <w:r w:rsidR="00C74F27" w:rsidRPr="00C74F27">
        <w:rPr>
          <w:color w:val="222222"/>
        </w:rPr>
        <w:t xml:space="preserve"> Dynamics 365 · </w:t>
      </w:r>
      <w:r w:rsidR="00E63F1C">
        <w:rPr>
          <w:color w:val="222222"/>
        </w:rPr>
        <w:t>MS</w:t>
      </w:r>
      <w:r w:rsidR="00C74F27" w:rsidRPr="00C74F27">
        <w:rPr>
          <w:color w:val="222222"/>
        </w:rPr>
        <w:t xml:space="preserve"> 365 · Power Platform · Salesforce · Zoho · HubSpot · PeopleSoft · Figma · Pendo · Mixpanel · Hotjar · GA4 · Data Action · Yodlee · </w:t>
      </w:r>
      <w:r w:rsidR="00E63F1C" w:rsidRPr="00E63F1C">
        <w:rPr>
          <w:color w:val="222222"/>
        </w:rPr>
        <w:t>ACSISS</w:t>
      </w:r>
      <w:r w:rsidR="00E63F1C" w:rsidRPr="00C74F27">
        <w:rPr>
          <w:color w:val="222222"/>
        </w:rPr>
        <w:t xml:space="preserve"> · </w:t>
      </w:r>
      <w:r w:rsidR="00C74F27" w:rsidRPr="00C74F27">
        <w:rPr>
          <w:color w:val="222222"/>
        </w:rPr>
        <w:t>Stripe · Segment · Kofax · Automation Anywhere · Xero · SAP · MYOB · NetSuite</w:t>
      </w:r>
    </w:p>
    <w:p w14:paraId="66E6C0E2" w14:textId="1AAC8286" w:rsidR="00EA3057" w:rsidRPr="00EA3057" w:rsidRDefault="00590B21" w:rsidP="00EA3057">
      <w:pPr>
        <w:spacing w:after="60"/>
        <w:rPr>
          <w:color w:val="222222"/>
        </w:rPr>
      </w:pPr>
      <w:r>
        <w:rPr>
          <w:b/>
          <w:color w:val="222222"/>
        </w:rPr>
        <w:t>Data, AI and analytics:</w:t>
      </w:r>
      <w:r>
        <w:rPr>
          <w:color w:val="222222"/>
        </w:rPr>
        <w:t xml:space="preserve"> </w:t>
      </w:r>
      <w:r w:rsidR="00C74F27" w:rsidRPr="00C74F27">
        <w:rPr>
          <w:color w:val="222222"/>
        </w:rPr>
        <w:t xml:space="preserve">Snowflake · </w:t>
      </w:r>
      <w:r w:rsidR="00C74F27">
        <w:rPr>
          <w:color w:val="222222"/>
        </w:rPr>
        <w:t>MS</w:t>
      </w:r>
      <w:r w:rsidR="00C74F27" w:rsidRPr="00C74F27">
        <w:rPr>
          <w:color w:val="222222"/>
        </w:rPr>
        <w:t xml:space="preserve"> Fabric · Data lakes · Power BI · SQL/SSIS/SSRS · PostgreSQL · Oracle · DynamoDB · Metabase · Tableau · Azure Data Factory · Python/Pandas/XGBoost · OpenAI Codex · Claude Designer · FHIR · MCP · OCR/NLP</w:t>
      </w:r>
    </w:p>
    <w:p w14:paraId="7F8EF715" w14:textId="3A24C1AB" w:rsidR="00590B21" w:rsidRPr="00EA3057" w:rsidRDefault="00590B21" w:rsidP="00590B21">
      <w:pPr>
        <w:spacing w:after="60"/>
        <w:rPr>
          <w:color w:val="222222"/>
        </w:rPr>
      </w:pPr>
      <w:r>
        <w:rPr>
          <w:b/>
          <w:color w:val="222222"/>
        </w:rPr>
        <w:t xml:space="preserve">Technologies: </w:t>
      </w:r>
      <w:r w:rsidR="00C74F27" w:rsidRPr="00C74F27">
        <w:rPr>
          <w:color w:val="222222"/>
        </w:rPr>
        <w:t>.NET · Java · C# · Node.js · Flutter · React · Azure IaaS/PaaS/SaaS · AWS (EC2, S3, Lambda, CloudWatch, CloudFront) · Kafka · Docker · Kubernetes · New Relic · Git/GitHub · CI/CD · Azure DevOps</w:t>
      </w:r>
    </w:p>
    <w:p w14:paraId="2AA9EA0D"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5384C439" w14:textId="77777777" w:rsidR="00590B21" w:rsidRDefault="00590B21" w:rsidP="009E2E21">
      <w:pPr>
        <w:spacing w:after="60"/>
      </w:pPr>
      <w:r w:rsidRPr="00F33539">
        <w:rPr>
          <w:b/>
          <w:bCs/>
        </w:rPr>
        <w:t>BSc (Hons) Business Information Technology</w:t>
      </w:r>
      <w:r>
        <w:t xml:space="preserve"> - Leeds Beckett University</w:t>
      </w:r>
    </w:p>
    <w:p w14:paraId="27688DD5"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9F964C3" w14:textId="77777777">
        <w:tc>
          <w:tcPr>
            <w:tcW w:w="5233" w:type="dxa"/>
          </w:tcPr>
          <w:p w14:paraId="7115F706" w14:textId="77777777" w:rsidR="006F017C" w:rsidRDefault="00000000">
            <w:pPr>
              <w:spacing w:after="16"/>
            </w:pPr>
            <w:r>
              <w:rPr>
                <w:sz w:val="17"/>
              </w:rPr>
              <w:t>❖ AI-DLC — Amazon Web Services (2026)</w:t>
            </w:r>
          </w:p>
          <w:p w14:paraId="72B2886E" w14:textId="77777777" w:rsidR="006F017C" w:rsidRDefault="00000000">
            <w:pPr>
              <w:spacing w:after="16"/>
            </w:pPr>
            <w:r>
              <w:rPr>
                <w:sz w:val="17"/>
              </w:rPr>
              <w:t>❖ AWS AI-PDLC — Amazon Web Services (2026)</w:t>
            </w:r>
          </w:p>
          <w:p w14:paraId="4628C97D" w14:textId="77777777" w:rsidR="006F017C" w:rsidRDefault="00000000">
            <w:pPr>
              <w:spacing w:after="16"/>
            </w:pPr>
            <w:r>
              <w:rPr>
                <w:sz w:val="17"/>
              </w:rPr>
              <w:t>❖ SAFe Release Train Engineer (RTE) &amp; Leading SAFe</w:t>
            </w:r>
          </w:p>
          <w:p w14:paraId="25C69F0C" w14:textId="77777777" w:rsidR="006F017C" w:rsidRDefault="00000000">
            <w:pPr>
              <w:spacing w:after="16"/>
            </w:pPr>
            <w:r>
              <w:rPr>
                <w:sz w:val="17"/>
              </w:rPr>
              <w:t>❖ Certified Scrum Master · Certified Scrum Product Owner</w:t>
            </w:r>
          </w:p>
          <w:p w14:paraId="4FD052A5" w14:textId="77777777" w:rsidR="006F017C" w:rsidRDefault="00000000">
            <w:pPr>
              <w:spacing w:after="16"/>
            </w:pPr>
            <w:r>
              <w:rPr>
                <w:sz w:val="17"/>
              </w:rPr>
              <w:t>❖ PRINCE2 Foundation and Practitioner</w:t>
            </w:r>
          </w:p>
          <w:p w14:paraId="05FF6221" w14:textId="77777777" w:rsidR="006F017C" w:rsidRDefault="00000000">
            <w:pPr>
              <w:spacing w:after="16"/>
            </w:pPr>
            <w:r>
              <w:rPr>
                <w:sz w:val="17"/>
              </w:rPr>
              <w:t>❖ Management 3.0 Certified</w:t>
            </w:r>
          </w:p>
        </w:tc>
        <w:tc>
          <w:tcPr>
            <w:tcW w:w="5233" w:type="dxa"/>
          </w:tcPr>
          <w:p w14:paraId="31644BD4" w14:textId="77777777" w:rsidR="006F017C" w:rsidRDefault="00000000">
            <w:pPr>
              <w:spacing w:after="16"/>
            </w:pPr>
            <w:r>
              <w:rPr>
                <w:sz w:val="17"/>
              </w:rPr>
              <w:t>❖ TOGAF 9 Foundation · ITIL v3 Foundation</w:t>
            </w:r>
          </w:p>
          <w:p w14:paraId="6FBDD490" w14:textId="77777777" w:rsidR="006F017C" w:rsidRDefault="00000000">
            <w:pPr>
              <w:spacing w:after="16"/>
            </w:pPr>
            <w:r>
              <w:rPr>
                <w:sz w:val="17"/>
              </w:rPr>
              <w:t>❖ DSDM Foundation and Practitioner</w:t>
            </w:r>
          </w:p>
          <w:p w14:paraId="60907C44" w14:textId="77777777" w:rsidR="006F017C" w:rsidRDefault="00000000">
            <w:pPr>
              <w:spacing w:after="16"/>
            </w:pPr>
            <w:r>
              <w:rPr>
                <w:sz w:val="17"/>
              </w:rPr>
              <w:t>❖ Certified Six Sigma Black Belt</w:t>
            </w:r>
          </w:p>
          <w:p w14:paraId="21FC2288" w14:textId="77777777" w:rsidR="006F017C" w:rsidRDefault="00000000">
            <w:pPr>
              <w:spacing w:after="16"/>
            </w:pPr>
            <w:r>
              <w:rPr>
                <w:sz w:val="17"/>
              </w:rPr>
              <w:t>❖ IOSH — Occupational Safety and Health</w:t>
            </w:r>
          </w:p>
          <w:p w14:paraId="60C58F79" w14:textId="77777777" w:rsidR="006F017C" w:rsidRDefault="00000000">
            <w:pPr>
              <w:spacing w:after="16"/>
            </w:pPr>
            <w:r>
              <w:rPr>
                <w:sz w:val="17"/>
              </w:rPr>
              <w:t>❖ Professional Member, Chartered Institute for IT (MBCS)</w:t>
            </w:r>
          </w:p>
          <w:p w14:paraId="161E0D85" w14:textId="77777777" w:rsidR="006F017C" w:rsidRDefault="00000000">
            <w:pPr>
              <w:spacing w:after="16"/>
            </w:pPr>
            <w:r>
              <w:rPr>
                <w:sz w:val="17"/>
              </w:rPr>
              <w:t>❖ 10+ Microsoft Technical Certifications</w:t>
            </w:r>
          </w:p>
        </w:tc>
      </w:tr>
    </w:tbl>
    <w:p w14:paraId="0F9B3E39"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50FB1"/>
    <w:rsid w:val="000744E5"/>
    <w:rsid w:val="000A2991"/>
    <w:rsid w:val="000A3333"/>
    <w:rsid w:val="00221E60"/>
    <w:rsid w:val="002978E8"/>
    <w:rsid w:val="002C1115"/>
    <w:rsid w:val="00357135"/>
    <w:rsid w:val="003A354D"/>
    <w:rsid w:val="003A5589"/>
    <w:rsid w:val="00400530"/>
    <w:rsid w:val="00590B21"/>
    <w:rsid w:val="005B03EF"/>
    <w:rsid w:val="005D53B7"/>
    <w:rsid w:val="006F017C"/>
    <w:rsid w:val="006F3B0C"/>
    <w:rsid w:val="008928BE"/>
    <w:rsid w:val="008C0314"/>
    <w:rsid w:val="00902160"/>
    <w:rsid w:val="00A72606"/>
    <w:rsid w:val="00B37097"/>
    <w:rsid w:val="00B865FE"/>
    <w:rsid w:val="00C74F27"/>
    <w:rsid w:val="00CD4FC4"/>
    <w:rsid w:val="00DE7B75"/>
    <w:rsid w:val="00E63F1C"/>
    <w:rsid w:val="00EA3057"/>
    <w:rsid w:val="00F723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1BD4"/>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 w:type="paragraph" w:styleId="NormalWeb">
    <w:name w:val="Normal (Web)"/>
    <w:basedOn w:val="Normal"/>
    <w:uiPriority w:val="99"/>
    <w:semiHidden/>
    <w:unhideWhenUsed/>
    <w:rsid w:val="00EA30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linkedin.com/in/david~wei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2144</Words>
  <Characters>13638</Characters>
  <Application>Microsoft Office Word</Application>
  <DocSecurity>0</DocSecurity>
  <Lines>194</Lines>
  <Paragraphs>129</Paragraphs>
  <ScaleCrop>false</ScaleCrop>
  <HeadingPairs>
    <vt:vector size="2" baseType="variant">
      <vt:variant>
        <vt:lpstr>Title</vt:lpstr>
      </vt:variant>
      <vt:variant>
        <vt:i4>1</vt:i4>
      </vt:variant>
    </vt:vector>
  </HeadingPairs>
  <TitlesOfParts>
    <vt:vector size="1" baseType="lpstr">
      <vt:lpstr>David Weir - SA Water CDAO Resume</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SA Water CDAO Resume</dc:title>
  <dc:subject>Application for Senior Manager Data, AI and Analytics (Chief Data and AI Officer), reference 502358</dc:subject>
  <dc:creator>Un-named</dc:creator>
  <cp:lastModifiedBy>David Weir</cp:lastModifiedBy>
  <cp:revision>16</cp:revision>
  <dcterms:created xsi:type="dcterms:W3CDTF">2026-08-28T03:58:00Z</dcterms:created>
  <dcterms:modified xsi:type="dcterms:W3CDTF">2026-09-08T10:06:00Z</dcterms:modified>
</cp:coreProperties>
</file>