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7200"/>
        <w:gridCol w:w="3266"/>
      </w:tblGrid>
      <w:tr>
        <w:tc>
          <w:tcPr>
            <w:tcW w:type="dxa" w:w="7200"/>
            <w:tcBorders>
              <w:top w:val="none" w:color="FFFFFF" w:sz="0"/>
              <w:left w:val="none" w:color="FFFFFF" w:sz="0"/>
              <w:bottom w:val="none" w:color="FFFFFF" w:sz="0"/>
              <w:right w:val="none" w:color="FFFFFF" w:sz="0"/>
            </w:tcBorders>
            <w:tcMar>
              <w:top w:type="dxa" w:w="20"/>
              <w:left w:type="dxa" w:w="0"/>
              <w:bottom w:type="dxa" w:w="20"/>
              <w:right w:type="dxa" w:w="60"/>
            </w:tcMar>
            <w:vAlign w:val="center"/>
          </w:tcPr>
          <w:p>
            <w:pPr>
              <w:spacing w:after="40"/>
            </w:pPr>
            <w:r>
              <w:rPr>
                <w:rFonts w:ascii="Calibri" w:cs="Calibri" w:eastAsia="Calibri" w:hAnsi="Calibri"/>
                <w:b/>
                <w:bCs/>
                <w:color w:val="1F4E5F"/>
                <w:sz w:val="44"/>
                <w:szCs w:val="44"/>
              </w:rPr>
              <w:t xml:space="preserve">David Weir</w:t>
            </w:r>
          </w:p>
          <w:p>
            <w:r>
              <w:rPr>
                <w:rFonts w:ascii="Calibri" w:cs="Calibri" w:eastAsia="Calibri" w:hAnsi="Calibri"/>
                <w:i/>
                <w:iCs/>
                <w:sz w:val="20"/>
                <w:szCs w:val="20"/>
              </w:rPr>
              <w:t xml:space="preserve">Product and technology leader building shared platforms, data and AI capabilities that product teams build on, across SMB accounting, fintech and regulated sectors — Head of Product · CTO.</w:t>
            </w:r>
          </w:p>
        </w:tc>
        <w:tc>
          <w:tcPr>
            <w:tcW w:type="dxa" w:w="3266"/>
            <w:tcBorders>
              <w:top w:val="none" w:color="FFFFFF" w:sz="0"/>
              <w:left w:val="none" w:color="FFFFFF" w:sz="0"/>
              <w:bottom w:val="none" w:color="FFFFFF" w:sz="0"/>
              <w:right w:val="none" w:color="FFFFFF" w:sz="0"/>
            </w:tcBorders>
            <w:tcMar>
              <w:top w:type="dxa" w:w="20"/>
              <w:left w:type="dxa" w:w="60"/>
              <w:bottom w:type="dxa" w:w="20"/>
              <w:right w:type="dxa" w:w="0"/>
            </w:tcMar>
            <w:vAlign w:val="center"/>
          </w:tcPr>
          <w:p>
            <w:pPr>
              <w:jc w:val="right"/>
            </w:pPr>
            <w:hyperlink w:history="1" r:id="rIdp76z0fsdlpqdk2j-fw-b4">
              <w:r>
                <w:rPr>
                  <w:rFonts w:ascii="Calibri" w:cs="Calibri" w:eastAsia="Calibri" w:hAnsi="Calibri"/>
                  <w:color w:val="1F4E5F"/>
                  <w:sz w:val="18"/>
                  <w:szCs w:val="18"/>
                  <w:u w:val="single"/>
                </w:rPr>
                <w:t xml:space="preserve">linkedin.com/in/david~weir/</w:t>
              </w:r>
            </w:hyperlink>
          </w:p>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r>
              <w:rPr>
                <w:rFonts w:ascii="Calibri" w:cs="Calibri" w:eastAsia="Calibri" w:hAnsi="Calibri"/>
                <w:sz w:val="18"/>
                <w:szCs w:val="18"/>
              </w:rPr>
              <w:t xml:space="preserve">Dual Citizen – Australian / British</w:t>
            </w:r>
          </w:p>
        </w:tc>
      </w:tr>
    </w:tbl>
    <w:p>
      <w:pPr>
        <w:pBdr>
          <w:bottom w:val="single" w:color="1F4E5F" w:sz="6" w:space="2"/>
        </w:pBdr>
        <w:spacing w:after="60" w:before="120"/>
      </w:pPr>
      <w:r>
        <w:rPr>
          <w:rFonts w:ascii="Calibri" w:cs="Calibri" w:eastAsia="Calibri" w:hAnsi="Calibri"/>
          <w:b/>
          <w:bCs/>
          <w:color w:val="1F4E5F"/>
          <w:sz w:val="23"/>
          <w:szCs w:val="23"/>
        </w:rPr>
        <w:t xml:space="preserve">Executive Summary</w:t>
      </w:r>
    </w:p>
    <w:p>
      <w:pPr>
        <w:spacing w:after="80" w:line="240"/>
      </w:pPr>
      <w:r>
        <w:rPr>
          <w:rFonts w:ascii="Calibri" w:cs="Calibri" w:eastAsia="Calibri" w:hAnsi="Calibri"/>
          <w:sz w:val="19"/>
          <w:szCs w:val="19"/>
        </w:rPr>
        <w:t xml:space="preserve">Over 15 years in CXO and Director roles across SMB accounting software, fintech, health, education and other regulated sectors. Head of Product with CPO remit at Reckon (ASX: RKN), having retained CTO accountability for Cashflow Manager following its acquisition. I own product strategy and the roadmap across a portfolio of interdependent accounting, payroll, POS, web and mobile products, and directly manage the Product, Enterprise Data and Reporting teams, with broader leadership extending into Architecture, Research and Design.</w:t>
      </w:r>
    </w:p>
    <w:p>
      <w:pPr>
        <w:spacing w:after="80" w:line="240"/>
      </w:pPr>
      <w:r>
        <w:rPr>
          <w:rFonts w:ascii="Calibri" w:cs="Calibri" w:eastAsia="Calibri" w:hAnsi="Calibri"/>
          <w:sz w:val="19"/>
          <w:szCs w:val="19"/>
        </w:rPr>
        <w:t xml:space="preserve">I am leading Reckon’s AI transformation in partnership with AWS, introducing AI-PDLC, an AI-native delivery methodology that has accelerated end-to-end product delivery from months to weeks, and driving its adoption across every product squad. Established a Responsible and Secure AI Policy and built the shared-data platform that internal teams and third parties access through APIs and an MCP layer.</w:t>
      </w:r>
    </w:p>
    <w:p>
      <w:pPr>
        <w:spacing w:after="80" w:line="240"/>
      </w:pPr>
      <w:r>
        <w:rPr>
          <w:rFonts w:ascii="Calibri" w:cs="Calibri" w:eastAsia="Calibri" w:hAnsi="Calibri"/>
          <w:sz w:val="19"/>
          <w:szCs w:val="19"/>
        </w:rPr>
        <w:t xml:space="preserve">My strongest work has been turning fragmented systems into reusable platforms: Embark™, a headless banking API suite reused across multiple propositions and adopted by PayPal, NatWest and Santander; and bureau-scale data platforms at CallCredit/TransUnion. I remain hands-on and technically fluent across distributed systems, data platforms and cloud, and have led teams from start-ups to portfolios of approximately 300 FTE. Trusted by CEOs, CFOs and Boards to make the commercial case for shared investment.</w:t>
      </w:r>
    </w:p>
    <w:p>
      <w:pPr>
        <w:pBdr>
          <w:bottom w:val="single" w:color="1F4E5F" w:sz="6" w:space="2"/>
        </w:pBdr>
        <w:spacing w:after="60" w:before="120"/>
      </w:pPr>
      <w:r>
        <w:rPr>
          <w:rFonts w:ascii="Calibri" w:cs="Calibri" w:eastAsia="Calibri" w:hAnsi="Calibri"/>
          <w:b/>
          <w:bCs/>
          <w:color w:val="1F4E5F"/>
          <w:sz w:val="23"/>
          <w:szCs w:val="23"/>
        </w:rPr>
        <w:t xml:space="preserve">Core Competencies</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Product leadership:</w:t>
            </w:r>
            <w:r>
              <w:rPr>
                <w:rFonts w:ascii="Calibri" w:cs="Calibri" w:eastAsia="Calibri" w:hAnsi="Calibri"/>
                <w:sz w:val="19"/>
                <w:szCs w:val="19"/>
              </w:rPr>
              <w:t xml:space="preserve"> strategy through delivery; Head of Product for an SMB accounting portfolio; products used by millions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Platform products:</w:t>
            </w:r>
            <w:r>
              <w:rPr>
                <w:rFonts w:ascii="Calibri" w:cs="Calibri" w:eastAsia="Calibri" w:hAnsi="Calibri"/>
                <w:sz w:val="19"/>
                <w:szCs w:val="19"/>
              </w:rPr>
              <w:t xml:space="preserve"> shared services and API suites reused across product lines; MCP and API access; developer and partner adoption</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AI strategy &amp; adoption:</w:t>
            </w:r>
            <w:r>
              <w:rPr>
                <w:rFonts w:ascii="Calibri" w:cs="Calibri" w:eastAsia="Calibri" w:hAnsi="Calibri"/>
                <w:sz w:val="19"/>
                <w:szCs w:val="19"/>
              </w:rPr>
              <w:t xml:space="preserve"> AI-PDLC; AI-native delivery; adoption across every squad; responsible AI; in-product AI</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Portfolio management:</w:t>
            </w:r>
            <w:r>
              <w:rPr>
                <w:rFonts w:ascii="Calibri" w:cs="Calibri" w:eastAsia="Calibri" w:hAnsi="Calibri"/>
                <w:sz w:val="19"/>
                <w:szCs w:val="19"/>
              </w:rPr>
              <w:t xml:space="preserve"> interdependent products and dependencies; roadmaps; SAFe, Scrum; OKR, OGSM, TOGAF</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Data strategy:</w:t>
            </w:r>
            <w:r>
              <w:rPr>
                <w:rFonts w:ascii="Calibri" w:cs="Calibri" w:eastAsia="Calibri" w:hAnsi="Calibri"/>
                <w:sz w:val="19"/>
                <w:szCs w:val="19"/>
              </w:rPr>
              <w:t xml:space="preserve"> shared-data platforms, governance, product metrics and dashboards, analytics and customer insights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Technical fluency:</w:t>
            </w:r>
            <w:r>
              <w:rPr>
                <w:rFonts w:ascii="Calibri" w:cs="Calibri" w:eastAsia="Calibri" w:hAnsi="Calibri"/>
                <w:sz w:val="19"/>
                <w:szCs w:val="19"/>
              </w:rPr>
              <w:t xml:space="preserve"> distributed systems, eventing (Kafka), data platforms, AWS and Azure</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Commercial outcomes:</w:t>
            </w:r>
            <w:r>
              <w:rPr>
                <w:rFonts w:ascii="Calibri" w:cs="Calibri" w:eastAsia="Calibri" w:hAnsi="Calibri"/>
                <w:sz w:val="19"/>
                <w:szCs w:val="19"/>
              </w:rPr>
              <w:t xml:space="preserve"> investment cases with CEO and CFO; EBITDA-positive launches; ~25% lower CoA</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Global leadership:</w:t>
            </w:r>
            <w:r>
              <w:rPr>
                <w:rFonts w:ascii="Calibri" w:cs="Calibri" w:eastAsia="Calibri" w:hAnsi="Calibri"/>
                <w:sz w:val="19"/>
                <w:szCs w:val="19"/>
              </w:rPr>
              <w:t xml:space="preserve"> APAC, UK, Europe, India; distributed teams; growing product leaders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Security and compliance:</w:t>
            </w:r>
            <w:r>
              <w:rPr>
                <w:rFonts w:ascii="Calibri" w:cs="Calibri" w:eastAsia="Calibri" w:hAnsi="Calibri"/>
                <w:sz w:val="19"/>
                <w:szCs w:val="19"/>
              </w:rPr>
              <w:t xml:space="preserve"> ISO 27001:2022, PCI-DSS, ATO, FCA, GDPR</w:t>
            </w:r>
          </w:p>
        </w:tc>
      </w:tr>
    </w:tbl>
    <w:p>
      <w:pPr>
        <w:pBdr>
          <w:bottom w:val="single" w:color="1F4E5F" w:sz="6" w:space="2"/>
        </w:pBdr>
        <w:spacing w:after="60" w:before="120"/>
      </w:pPr>
      <w:r>
        <w:rPr>
          <w:rFonts w:ascii="Calibri" w:cs="Calibri" w:eastAsia="Calibri" w:hAnsi="Calibri"/>
          <w:b/>
          <w:bCs/>
          <w:color w:val="1F4E5F"/>
          <w:sz w:val="23"/>
          <w:szCs w:val="23"/>
        </w:rPr>
        <w:t xml:space="preserve">Key Accomplishments</w:t>
      </w:r>
    </w:p>
    <w:p>
      <w:pPr>
        <w:pStyle w:val="ListParagraph"/>
        <w:numPr>
          <w:ilvl w:val="0"/>
          <w:numId w:val="2"/>
        </w:numPr>
        <w:spacing w:after="30" w:line="236"/>
      </w:pPr>
      <w:r>
        <w:rPr>
          <w:rFonts w:ascii="Calibri" w:cs="Calibri" w:eastAsia="Calibri" w:hAnsi="Calibri"/>
          <w:sz w:val="19"/>
          <w:szCs w:val="19"/>
        </w:rPr>
        <w:t xml:space="preserve">Conceived Totemic's Embark™, an API suite of shared services for ledgers, payments, affordability, PFM and regulatory reporting, reused across multiple customer propositions; adopted by PayPal, NatWest, Santander and other major institutions, and EBITDA-positive in year one.</w:t>
      </w:r>
    </w:p>
    <w:p>
      <w:pPr>
        <w:pStyle w:val="ListParagraph"/>
        <w:numPr>
          <w:ilvl w:val="0"/>
          <w:numId w:val="2"/>
        </w:numPr>
        <w:spacing w:after="30" w:line="236"/>
      </w:pPr>
      <w:r>
        <w:rPr>
          <w:rFonts w:ascii="Calibri" w:cs="Calibri" w:eastAsia="Calibri" w:hAnsi="Calibri"/>
          <w:sz w:val="19"/>
          <w:szCs w:val="19"/>
        </w:rPr>
        <w:t xml:space="preserve">Leading AI-PDLC adoption across all Reckon product squads with AWS, cutting end-to-end delivery from months to weeks; embedded AI into Reckon One for onboarding, bank reconciliation, and insights and anomaly detection.</w:t>
      </w:r>
    </w:p>
    <w:p>
      <w:pPr>
        <w:pStyle w:val="ListParagraph"/>
        <w:numPr>
          <w:ilvl w:val="0"/>
          <w:numId w:val="2"/>
        </w:numPr>
        <w:spacing w:after="30" w:line="236"/>
      </w:pPr>
      <w:r>
        <w:rPr>
          <w:rFonts w:ascii="Calibri" w:cs="Calibri" w:eastAsia="Calibri" w:hAnsi="Calibri"/>
          <w:sz w:val="19"/>
          <w:szCs w:val="19"/>
        </w:rPr>
        <w:t xml:space="preserve">Implemented &amp; launched Noddle™, the UK's first free consumer credit report, built on bureau-scale shared data platforms; subsequently Credit Karma™, acquired by Intuit.</w:t>
      </w:r>
    </w:p>
    <w:p>
      <w:pPr>
        <w:pStyle w:val="ListParagraph"/>
        <w:numPr>
          <w:ilvl w:val="0"/>
          <w:numId w:val="2"/>
        </w:numPr>
        <w:spacing w:after="30" w:line="236"/>
      </w:pPr>
      <w:r>
        <w:rPr>
          <w:rFonts w:ascii="Calibri" w:cs="Calibri" w:eastAsia="Calibri" w:hAnsi="Calibri"/>
          <w:sz w:val="19"/>
          <w:szCs w:val="19"/>
        </w:rPr>
        <w:t xml:space="preserve">Pioneered applied AI at EduCo (in 2021) through the Accelerate™ platform, vetting and ranking student applications on eligibility, academic authenticity and visa likelihood.</w:t>
      </w:r>
    </w:p>
    <w:p>
      <w:pPr>
        <w:pStyle w:val="ListParagraph"/>
        <w:numPr>
          <w:ilvl w:val="0"/>
          <w:numId w:val="2"/>
        </w:numPr>
        <w:spacing w:after="30" w:line="236"/>
      </w:pPr>
      <w:r>
        <w:rPr>
          <w:rFonts w:ascii="Calibri" w:cs="Calibri" w:eastAsia="Calibri" w:hAnsi="Calibri"/>
          <w:sz w:val="19"/>
          <w:szCs w:val="19"/>
        </w:rPr>
        <w:t xml:space="preserve">Shaped ReckonX, the multi-year platform strategy to consolidate ~70k customers onto Reckon One and its mobile products.</w:t>
      </w:r>
    </w:p>
    <w:p>
      <w:pPr>
        <w:pStyle w:val="ListParagraph"/>
        <w:numPr>
          <w:ilvl w:val="0"/>
          <w:numId w:val="2"/>
        </w:numPr>
        <w:spacing w:after="30" w:line="236"/>
      </w:pPr>
      <w:r>
        <w:rPr>
          <w:rFonts w:ascii="Calibri" w:cs="Calibri" w:eastAsia="Calibri" w:hAnsi="Calibri"/>
          <w:sz w:val="19"/>
          <w:szCs w:val="19"/>
        </w:rPr>
        <w:t xml:space="preserve">Delivered the two largest contracts in EMIS history for the UK Government (NHS), working directly with the UK Minister of Health.</w:t>
      </w:r>
    </w:p>
    <w:p>
      <w:pPr>
        <w:pBdr>
          <w:bottom w:val="single" w:color="1F4E5F" w:sz="6" w:space="2"/>
        </w:pBdr>
        <w:spacing w:after="60" w:before="120"/>
      </w:pPr>
      <w:r>
        <w:rPr>
          <w:rFonts w:ascii="Calibri" w:cs="Calibri" w:eastAsia="Calibri" w:hAnsi="Calibri"/>
          <w:b/>
          <w:bCs/>
          <w:color w:val="1F4E5F"/>
          <w:sz w:val="23"/>
          <w:szCs w:val="23"/>
        </w:rPr>
        <w:t xml:space="preserve">Professional Experience</w:t>
      </w:r>
    </w:p>
    <w:p>
      <w:pPr>
        <w:keepNext/>
        <w:tabs>
          <w:tab w:val="right" w:pos="10466"/>
        </w:tabs>
        <w:spacing w:after="0" w:before="90"/>
      </w:pPr>
      <w:r>
        <w:rPr>
          <w:rFonts w:ascii="Calibri" w:cs="Calibri" w:eastAsia="Calibri" w:hAnsi="Calibri"/>
          <w:b/>
          <w:bCs/>
          <w:color w:val="1F4E5F"/>
          <w:sz w:val="20"/>
          <w:szCs w:val="20"/>
        </w:rPr>
        <w:t xml:space="preserve">Head of Product – CPO Remit | CTO for CFM</w:t>
      </w:r>
      <w:r>
        <w:rPr>
          <w:rFonts w:ascii="Calibri" w:cs="Calibri" w:eastAsia="Calibri" w:hAnsi="Calibri"/>
          <w:b/>
          <w:bCs/>
          <w:sz w:val="19"/>
          <w:szCs w:val="19"/>
        </w:rPr>
        <w:t xml:space="preserve">	Dec 2024 – Present</w:t>
      </w:r>
    </w:p>
    <w:p>
      <w:pPr>
        <w:keepNext/>
        <w:spacing w:after="50"/>
      </w:pPr>
      <w:r>
        <w:rPr>
          <w:rFonts w:ascii="Calibri" w:cs="Calibri" w:eastAsia="Calibri" w:hAnsi="Calibri"/>
          <w:b/>
          <w:bCs/>
          <w:sz w:val="19"/>
          <w:szCs w:val="19"/>
        </w:rPr>
        <w:t xml:space="preserve">Reckon (ASX: RKN)</w:t>
      </w:r>
      <w:r>
        <w:rPr>
          <w:rFonts w:ascii="Calibri" w:cs="Calibri" w:eastAsia="Calibri" w:hAnsi="Calibri"/>
          <w:i/>
          <w:iCs/>
          <w:sz w:val="19"/>
          <w:szCs w:val="19"/>
        </w:rPr>
        <w:t xml:space="preserve"> · Adelaide, Sydney — ASX-listed accounting software group</w:t>
      </w:r>
    </w:p>
    <w:p>
      <w:pPr>
        <w:spacing w:after="50" w:line="240"/>
      </w:pPr>
      <w:r>
        <w:rPr>
          <w:rFonts w:ascii="Calibri" w:cs="Calibri" w:eastAsia="Calibri" w:hAnsi="Calibri"/>
          <w:sz w:val="19"/>
          <w:szCs w:val="19"/>
        </w:rPr>
        <w:t xml:space="preserve">Appointed Head of Product with CPO remit following Reckon's acquisition of Cashflow Manager, while retaining CTO accountability for CFM. Own strategy and delivery across the full product portfolio, with accountability for all product squads. Direct leadership of the Product, Enterprise Data and Reporting teams, with portfolio-wide leadership extending into Architecture, Research, Content and Design. The remit spans the group's accounting, payroll, POS, web and mobile portfolio.</w:t>
      </w:r>
    </w:p>
    <w:p>
      <w:pPr>
        <w:pStyle w:val="ListParagraph"/>
        <w:numPr>
          <w:ilvl w:val="0"/>
          <w:numId w:val="2"/>
        </w:numPr>
        <w:spacing w:after="30" w:line="236"/>
      </w:pPr>
      <w:r>
        <w:rPr>
          <w:rFonts w:ascii="Calibri" w:cs="Calibri" w:eastAsia="Calibri" w:hAnsi="Calibri"/>
          <w:b/>
          <w:bCs/>
          <w:sz w:val="19"/>
          <w:szCs w:val="19"/>
        </w:rPr>
        <w:t xml:space="preserve">Shared platform:</w:t>
      </w:r>
      <w:r>
        <w:rPr>
          <w:rFonts w:ascii="Calibri" w:cs="Calibri" w:eastAsia="Calibri" w:hAnsi="Calibri"/>
          <w:sz w:val="19"/>
          <w:szCs w:val="19"/>
        </w:rPr>
        <w:t xml:space="preserve"> implemented the shared-data platform on Power BI, Microsoft Fabric and Snowflake, used by product, finance and executive teams, with governed third-party access through APIs and an MCP layer built on them.</w:t>
      </w:r>
    </w:p>
    <w:p>
      <w:pPr>
        <w:pStyle w:val="ListParagraph"/>
        <w:numPr>
          <w:ilvl w:val="0"/>
          <w:numId w:val="2"/>
        </w:numPr>
        <w:spacing w:after="30" w:line="236"/>
      </w:pPr>
      <w:r>
        <w:rPr>
          <w:rFonts w:ascii="Calibri" w:cs="Calibri" w:eastAsia="Calibri" w:hAnsi="Calibri"/>
          <w:b/>
          <w:bCs/>
          <w:sz w:val="19"/>
          <w:szCs w:val="19"/>
        </w:rPr>
        <w:t xml:space="preserve">AI transformation:</w:t>
      </w:r>
      <w:r>
        <w:rPr>
          <w:rFonts w:ascii="Calibri" w:cs="Calibri" w:eastAsia="Calibri" w:hAnsi="Calibri"/>
          <w:sz w:val="19"/>
          <w:szCs w:val="19"/>
        </w:rPr>
        <w:t xml:space="preserve"> leading AWS AI-PDLC adoption, cutting end-to-end delivery from months to weeks; established a Responsible and Secure AI Policy and grew adoption squad by squad across the portfolio.</w:t>
      </w:r>
    </w:p>
    <w:p>
      <w:pPr>
        <w:pStyle w:val="ListParagraph"/>
        <w:numPr>
          <w:ilvl w:val="0"/>
          <w:numId w:val="2"/>
        </w:numPr>
        <w:spacing w:after="30" w:line="236"/>
      </w:pPr>
      <w:r>
        <w:rPr>
          <w:rFonts w:ascii="Calibri" w:cs="Calibri" w:eastAsia="Calibri" w:hAnsi="Calibri"/>
          <w:b/>
          <w:bCs/>
          <w:sz w:val="19"/>
          <w:szCs w:val="19"/>
        </w:rPr>
        <w:t xml:space="preserve">In-product AI:</w:t>
      </w:r>
      <w:r>
        <w:rPr>
          <w:rFonts w:ascii="Calibri" w:cs="Calibri" w:eastAsia="Calibri" w:hAnsi="Calibri"/>
          <w:sz w:val="19"/>
          <w:szCs w:val="19"/>
        </w:rPr>
        <w:t xml:space="preserve"> embedded AI into Reckon One for onboarding, bank reconciliation, and insights and anomaly detection, alongside an in-app AI assistant.</w:t>
      </w:r>
    </w:p>
    <w:p>
      <w:pPr>
        <w:pStyle w:val="ListParagraph"/>
        <w:numPr>
          <w:ilvl w:val="0"/>
          <w:numId w:val="2"/>
        </w:numPr>
        <w:spacing w:after="30" w:line="236"/>
      </w:pPr>
      <w:r>
        <w:rPr>
          <w:rFonts w:ascii="Calibri" w:cs="Calibri" w:eastAsia="Calibri" w:hAnsi="Calibri"/>
          <w:b/>
          <w:bCs/>
          <w:sz w:val="19"/>
          <w:szCs w:val="19"/>
        </w:rPr>
        <w:t xml:space="preserve">Governance and investment:</w:t>
      </w:r>
      <w:r>
        <w:rPr>
          <w:rFonts w:ascii="Calibri" w:cs="Calibri" w:eastAsia="Calibri" w:hAnsi="Calibri"/>
          <w:sz w:val="19"/>
          <w:szCs w:val="19"/>
        </w:rPr>
        <w:t xml:space="preserve"> own the group roadmap and backlog across interdependent products; make the investment case for platform, data and AI with the CEO, Group CTO and CFO, balancing value, risk, security and regulatory obligations.</w:t>
      </w:r>
    </w:p>
    <w:p>
      <w:pPr>
        <w:pStyle w:val="ListParagraph"/>
        <w:numPr>
          <w:ilvl w:val="0"/>
          <w:numId w:val="2"/>
        </w:numPr>
        <w:spacing w:after="30" w:line="236"/>
      </w:pPr>
      <w:r>
        <w:rPr>
          <w:rFonts w:ascii="Calibri" w:cs="Calibri" w:eastAsia="Calibri" w:hAnsi="Calibri"/>
          <w:b/>
          <w:bCs/>
          <w:sz w:val="19"/>
          <w:szCs w:val="19"/>
        </w:rPr>
        <w:t xml:space="preserve">Metrics:</w:t>
      </w:r>
      <w:r>
        <w:rPr>
          <w:rFonts w:ascii="Calibri" w:cs="Calibri" w:eastAsia="Calibri" w:hAnsi="Calibri"/>
          <w:sz w:val="19"/>
          <w:szCs w:val="19"/>
        </w:rPr>
        <w:t xml:space="preserve"> accountable for Enterprise Data and Reporting and product metrics across sales, retention, product performance and customer insights, including Pendo behavioural analytics and controlled Board reporting.</w:t>
      </w:r>
    </w:p>
    <w:p>
      <w:pPr>
        <w:pStyle w:val="ListParagraph"/>
        <w:numPr>
          <w:ilvl w:val="0"/>
          <w:numId w:val="2"/>
        </w:numPr>
        <w:spacing w:after="30" w:line="236"/>
      </w:pPr>
      <w:r>
        <w:rPr>
          <w:rFonts w:ascii="Calibri" w:cs="Calibri" w:eastAsia="Calibri" w:hAnsi="Calibri"/>
          <w:b/>
          <w:bCs/>
          <w:sz w:val="19"/>
          <w:szCs w:val="19"/>
        </w:rPr>
        <w:t xml:space="preserve">Product strategy:</w:t>
      </w:r>
      <w:r>
        <w:rPr>
          <w:rFonts w:ascii="Calibri" w:cs="Calibri" w:eastAsia="Calibri" w:hAnsi="Calibri"/>
          <w:sz w:val="19"/>
          <w:szCs w:val="19"/>
        </w:rPr>
        <w:t xml:space="preserve"> shaped ReckonX, the multi-year strategy consolidating ~70k customers onto Reckon One and mobile apps.</w:t>
      </w:r>
    </w:p>
    <w:p>
      <w:pPr>
        <w:pStyle w:val="ListParagraph"/>
        <w:numPr>
          <w:ilvl w:val="0"/>
          <w:numId w:val="2"/>
        </w:numPr>
        <w:spacing w:after="30" w:line="236"/>
      </w:pPr>
      <w:r>
        <w:rPr>
          <w:rFonts w:ascii="Calibri" w:cs="Calibri" w:eastAsia="Calibri" w:hAnsi="Calibri"/>
          <w:b/>
          <w:bCs/>
          <w:sz w:val="19"/>
          <w:szCs w:val="19"/>
        </w:rPr>
        <w:t xml:space="preserve">Product and compliance:</w:t>
      </w:r>
      <w:r>
        <w:rPr>
          <w:rFonts w:ascii="Calibri" w:cs="Calibri" w:eastAsia="Calibri" w:hAnsi="Calibri"/>
          <w:sz w:val="19"/>
          <w:szCs w:val="19"/>
        </w:rPr>
        <w:t xml:space="preserve"> invoicing, payroll integrations, banking and reconciliation, payments, onboarding, timesheets and rostering; ATO compliance across STP2, Payday Super, PayTo, Peppol and NPP; ISO 27001:2022.</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Dec 2023 – Dec 2024</w:t>
      </w:r>
    </w:p>
    <w:p>
      <w:pPr>
        <w:keepNext/>
        <w:spacing w:after="50"/>
      </w:pPr>
      <w:r>
        <w:rPr>
          <w:rFonts w:ascii="Calibri" w:cs="Calibri" w:eastAsia="Calibri" w:hAnsi="Calibri"/>
          <w:b/>
          <w:bCs/>
          <w:sz w:val="19"/>
          <w:szCs w:val="19"/>
        </w:rPr>
        <w:t xml:space="preserve">Cashflow Manager</w:t>
      </w:r>
      <w:r>
        <w:rPr>
          <w:rFonts w:ascii="Calibri" w:cs="Calibri" w:eastAsia="Calibri" w:hAnsi="Calibri"/>
          <w:i/>
          <w:iCs/>
          <w:sz w:val="19"/>
          <w:szCs w:val="19"/>
        </w:rPr>
        <w:t xml:space="preserve"> · Adelaide, SA — accounting SaaS 400,000+ units sold worldwide</w:t>
      </w:r>
    </w:p>
    <w:p>
      <w:pPr>
        <w:spacing w:after="50" w:line="240"/>
      </w:pPr>
      <w:r>
        <w:rPr>
          <w:rFonts w:ascii="Calibri" w:cs="Calibri" w:eastAsia="Calibri" w:hAnsi="Calibri"/>
          <w:sz w:val="19"/>
          <w:szCs w:val="19"/>
        </w:rPr>
        <w:t xml:space="preserve">Led technology, product, service, marketing and operational teams (~45 FTE) across Cashflow Manager, Wages Manager, Inner Circle and okke, culminating in Reckon's acquisition of the business and appointment to group product leadership.</w:t>
      </w:r>
    </w:p>
    <w:p>
      <w:pPr>
        <w:pStyle w:val="ListParagraph"/>
        <w:numPr>
          <w:ilvl w:val="0"/>
          <w:numId w:val="2"/>
        </w:numPr>
        <w:spacing w:after="30" w:line="236"/>
      </w:pPr>
      <w:r>
        <w:rPr>
          <w:rFonts w:ascii="Calibri" w:cs="Calibri" w:eastAsia="Calibri" w:hAnsi="Calibri"/>
          <w:b/>
          <w:bCs/>
          <w:sz w:val="19"/>
          <w:szCs w:val="19"/>
        </w:rPr>
        <w:t xml:space="preserve">Product:</w:t>
      </w:r>
      <w:r>
        <w:rPr>
          <w:rFonts w:ascii="Calibri" w:cs="Calibri" w:eastAsia="Calibri" w:hAnsi="Calibri"/>
          <w:sz w:val="19"/>
          <w:szCs w:val="19"/>
        </w:rPr>
        <w:t xml:space="preserve"> launched the okke mobile app and white-labelled Companion App; reset product vision around market demand and subscriber behaviour using OKRs and OGSM.</w:t>
      </w:r>
    </w:p>
    <w:p>
      <w:pPr>
        <w:pStyle w:val="ListParagraph"/>
        <w:numPr>
          <w:ilvl w:val="0"/>
          <w:numId w:val="2"/>
        </w:numPr>
        <w:spacing w:after="30" w:line="236"/>
      </w:pPr>
      <w:r>
        <w:rPr>
          <w:rFonts w:ascii="Calibri" w:cs="Calibri" w:eastAsia="Calibri" w:hAnsi="Calibri"/>
          <w:b/>
          <w:bCs/>
          <w:sz w:val="19"/>
          <w:szCs w:val="19"/>
        </w:rPr>
        <w:t xml:space="preserve">Communications platforms:</w:t>
      </w:r>
      <w:r>
        <w:rPr>
          <w:rFonts w:ascii="Calibri" w:cs="Calibri" w:eastAsia="Calibri" w:hAnsi="Calibri"/>
          <w:sz w:val="19"/>
          <w:szCs w:val="19"/>
        </w:rPr>
        <w:t xml:space="preserve"> rapid CRM migration from Salesforce to Zoho with 3CX unified communications, bookings and chat shared across all product lines.</w:t>
      </w:r>
    </w:p>
    <w:p>
      <w:pPr>
        <w:pStyle w:val="ListParagraph"/>
        <w:numPr>
          <w:ilvl w:val="0"/>
          <w:numId w:val="2"/>
        </w:numPr>
        <w:spacing w:after="30" w:line="236"/>
      </w:pPr>
      <w:r>
        <w:rPr>
          <w:rFonts w:ascii="Calibri" w:cs="Calibri" w:eastAsia="Calibri" w:hAnsi="Calibri"/>
          <w:b/>
          <w:bCs/>
          <w:sz w:val="19"/>
          <w:szCs w:val="19"/>
        </w:rPr>
        <w:t xml:space="preserve">AI and analytics:</w:t>
      </w:r>
      <w:r>
        <w:rPr>
          <w:rFonts w:ascii="Calibri" w:cs="Calibri" w:eastAsia="Calibri" w:hAnsi="Calibri"/>
          <w:sz w:val="19"/>
          <w:szCs w:val="19"/>
        </w:rPr>
        <w:t xml:space="preserve"> introduced analytics for digital marketing spend using Twilio Segment, reducing cost of acquisition by ~25%.</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repositioned and consolidated operational teams, materially reducing overheads; renegotiated key contracts and strengthened delivery accountability.</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alignment for Open Banking and uplift of ISO 27001 to the 2022 cyber security standard.</w:t>
      </w:r>
    </w:p>
    <w:p>
      <w:pPr>
        <w:keepNext/>
        <w:tabs>
          <w:tab w:val="right" w:pos="10466"/>
        </w:tabs>
        <w:spacing w:after="0" w:before="90"/>
      </w:pPr>
      <w:r>
        <w:rPr>
          <w:rFonts w:ascii="Calibri" w:cs="Calibri" w:eastAsia="Calibri" w:hAnsi="Calibri"/>
          <w:b/>
          <w:bCs/>
          <w:color w:val="1F4E5F"/>
          <w:sz w:val="20"/>
          <w:szCs w:val="20"/>
        </w:rPr>
        <w:t xml:space="preserve">CTO / Senior Vice President Information Technology</w:t>
      </w:r>
      <w:r>
        <w:rPr>
          <w:rFonts w:ascii="Calibri" w:cs="Calibri" w:eastAsia="Calibri" w:hAnsi="Calibri"/>
          <w:b/>
          <w:bCs/>
          <w:sz w:val="19"/>
          <w:szCs w:val="19"/>
        </w:rPr>
        <w:t xml:space="preserve">	Jan 2021 – Dec 2023</w:t>
      </w:r>
    </w:p>
    <w:p>
      <w:pPr>
        <w:keepNext/>
        <w:spacing w:after="50"/>
      </w:pPr>
      <w:r>
        <w:rPr>
          <w:rFonts w:ascii="Calibri" w:cs="Calibri" w:eastAsia="Calibri" w:hAnsi="Calibri"/>
          <w:b/>
          <w:bCs/>
          <w:sz w:val="19"/>
          <w:szCs w:val="19"/>
        </w:rPr>
        <w:t xml:space="preserve">EduCo International Group</w:t>
      </w:r>
      <w:r>
        <w:rPr>
          <w:rFonts w:ascii="Calibri" w:cs="Calibri" w:eastAsia="Calibri" w:hAnsi="Calibri"/>
          <w:i/>
          <w:iCs/>
          <w:sz w:val="19"/>
          <w:szCs w:val="19"/>
        </w:rPr>
        <w:t xml:space="preserve"> · Australia / global — Education group (BPEA EQT); BPO &amp; payments</w:t>
      </w:r>
    </w:p>
    <w:p>
      <w:pPr>
        <w:spacing w:after="50" w:line="240"/>
      </w:pPr>
      <w:r>
        <w:rPr>
          <w:rFonts w:ascii="Calibri" w:cs="Calibri" w:eastAsia="Calibri" w:hAnsi="Calibri"/>
          <w:sz w:val="19"/>
          <w:szCs w:val="19"/>
        </w:rPr>
        <w:t xml:space="preserve">Executive board member reporting to the CEO and BPEA EQT board, accountable for Technology, Data and Marketing across EduCo and its acquired universities, including BI, data engineering, analytics, cloud infrastructure and AI-enabled products.</w:t>
      </w:r>
    </w:p>
    <w:p>
      <w:pPr>
        <w:pStyle w:val="ListParagraph"/>
        <w:numPr>
          <w:ilvl w:val="0"/>
          <w:numId w:val="2"/>
        </w:numPr>
        <w:spacing w:after="30" w:line="236"/>
      </w:pPr>
      <w:r>
        <w:rPr>
          <w:rFonts w:ascii="Calibri" w:cs="Calibri" w:eastAsia="Calibri" w:hAnsi="Calibri"/>
          <w:b/>
          <w:bCs/>
          <w:sz w:val="19"/>
          <w:szCs w:val="19"/>
        </w:rPr>
        <w:t xml:space="preserve">Accelerate platform:</w:t>
      </w:r>
      <w:r>
        <w:rPr>
          <w:rFonts w:ascii="Calibri" w:cs="Calibri" w:eastAsia="Calibri" w:hAnsi="Calibri"/>
          <w:sz w:val="19"/>
          <w:szCs w:val="19"/>
        </w:rPr>
        <w:t xml:space="preserve"> launched a high-volume data and AI platform that vetted and ranked student applications on eligibility, academic authenticity and visa likelihood, with integrated payments, escrow, commissions and BPO workflows.</w:t>
      </w:r>
    </w:p>
    <w:p>
      <w:pPr>
        <w:pStyle w:val="ListParagraph"/>
        <w:numPr>
          <w:ilvl w:val="0"/>
          <w:numId w:val="2"/>
        </w:numPr>
        <w:spacing w:after="30" w:line="236"/>
      </w:pPr>
      <w:r>
        <w:rPr>
          <w:rFonts w:ascii="Calibri" w:cs="Calibri" w:eastAsia="Calibri" w:hAnsi="Calibri"/>
          <w:b/>
          <w:bCs/>
          <w:sz w:val="19"/>
          <w:szCs w:val="19"/>
        </w:rPr>
        <w:t xml:space="preserve">Platform delivery:</w:t>
      </w:r>
      <w:r>
        <w:rPr>
          <w:rFonts w:ascii="Calibri" w:cs="Calibri" w:eastAsia="Calibri" w:hAnsi="Calibri"/>
          <w:sz w:val="19"/>
          <w:szCs w:val="19"/>
        </w:rPr>
        <w:t xml:space="preserve"> took Accelerate from inception to launch in under six months as a shared platform for EduCo and its acquired universities, integrating with CRM, ERP, finance and university systems.</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modernised core and line-of-business platforms; migrated to Microsoft 365 and Dynamics 365; consolidated technology suppliers.</w:t>
      </w:r>
    </w:p>
    <w:p>
      <w:pPr>
        <w:pStyle w:val="ListParagraph"/>
        <w:numPr>
          <w:ilvl w:val="0"/>
          <w:numId w:val="2"/>
        </w:numPr>
        <w:spacing w:after="30" w:line="236"/>
      </w:pPr>
      <w:r>
        <w:rPr>
          <w:rFonts w:ascii="Calibri" w:cs="Calibri" w:eastAsia="Calibri" w:hAnsi="Calibri"/>
          <w:b/>
          <w:bCs/>
          <w:sz w:val="19"/>
          <w:szCs w:val="19"/>
        </w:rPr>
        <w:t xml:space="preserve">Data and commercial:</w:t>
      </w:r>
      <w:r>
        <w:rPr>
          <w:rFonts w:ascii="Calibri" w:cs="Calibri" w:eastAsia="Calibri" w:hAnsi="Calibri"/>
          <w:sz w:val="19"/>
          <w:szCs w:val="19"/>
        </w:rPr>
        <w:t xml:space="preserve"> implemented next-generation AI, BI and Data Insights capabilities, contributing to a 22% reduction in OPEX and customer-acquisition costs.</w:t>
      </w:r>
    </w:p>
    <w:p>
      <w:pPr>
        <w:pStyle w:val="ListParagraph"/>
        <w:numPr>
          <w:ilvl w:val="0"/>
          <w:numId w:val="2"/>
        </w:numPr>
        <w:spacing w:after="30" w:line="236"/>
      </w:pPr>
      <w:r>
        <w:rPr>
          <w:rFonts w:ascii="Calibri" w:cs="Calibri" w:eastAsia="Calibri" w:hAnsi="Calibri"/>
          <w:b/>
          <w:bCs/>
          <w:sz w:val="19"/>
          <w:szCs w:val="19"/>
        </w:rPr>
        <w:t xml:space="preserve">M&amp;A and strategy:</w:t>
      </w:r>
      <w:r>
        <w:rPr>
          <w:rFonts w:ascii="Calibri" w:cs="Calibri" w:eastAsia="Calibri" w:hAnsi="Calibri"/>
          <w:sz w:val="19"/>
          <w:szCs w:val="19"/>
        </w:rPr>
        <w:t xml:space="preserve"> used IT Blueprint for tech &amp; data due diligence, integration and divestiture across ANZ, UK, CAN and USA.</w:t>
      </w:r>
    </w:p>
    <w:p>
      <w:pPr>
        <w:pStyle w:val="ListParagraph"/>
        <w:numPr>
          <w:ilvl w:val="0"/>
          <w:numId w:val="2"/>
        </w:numPr>
        <w:spacing w:after="30" w:line="236"/>
      </w:pPr>
      <w:r>
        <w:rPr>
          <w:rFonts w:ascii="Calibri" w:cs="Calibri" w:eastAsia="Calibri" w:hAnsi="Calibri"/>
          <w:b/>
          <w:bCs/>
          <w:sz w:val="19"/>
          <w:szCs w:val="19"/>
        </w:rPr>
        <w:t xml:space="preserve">Governance and security:</w:t>
      </w:r>
      <w:r>
        <w:rPr>
          <w:rFonts w:ascii="Calibri" w:cs="Calibri" w:eastAsia="Calibri" w:hAnsi="Calibri"/>
          <w:sz w:val="19"/>
          <w:szCs w:val="19"/>
        </w:rPr>
        <w:t xml:space="preserve"> managed sensitive identity, academic and financial data across jurisdictions under GDPR and ISO 27001 controls; established an ISMF spanning cyber security, risk and incident management.</w:t>
      </w:r>
    </w:p>
    <w:p>
      <w:pPr>
        <w:pStyle w:val="ListParagraph"/>
        <w:numPr>
          <w:ilvl w:val="0"/>
          <w:numId w:val="2"/>
        </w:numPr>
        <w:spacing w:after="30" w:line="236"/>
      </w:pPr>
      <w:r>
        <w:rPr>
          <w:rFonts w:ascii="Calibri" w:cs="Calibri" w:eastAsia="Calibri" w:hAnsi="Calibri"/>
          <w:b/>
          <w:bCs/>
          <w:sz w:val="19"/>
          <w:szCs w:val="19"/>
        </w:rPr>
        <w:t xml:space="preserve">Global leadership:</w:t>
      </w:r>
      <w:r>
        <w:rPr>
          <w:rFonts w:ascii="Calibri" w:cs="Calibri" w:eastAsia="Calibri" w:hAnsi="Calibri"/>
          <w:sz w:val="19"/>
          <w:szCs w:val="19"/>
        </w:rPr>
        <w:t xml:space="preserve"> distributed team (~40-60 FTE) spanning product development, BI, cloud infrastructure and cyber security.</w:t>
      </w:r>
    </w:p>
    <w:p>
      <w:pPr>
        <w:keepNext/>
        <w:tabs>
          <w:tab w:val="right" w:pos="10466"/>
        </w:tabs>
        <w:spacing w:after="0" w:before="90"/>
      </w:pPr>
      <w:r>
        <w:rPr>
          <w:rFonts w:ascii="Calibri" w:cs="Calibri" w:eastAsia="Calibri" w:hAnsi="Calibri"/>
          <w:b/>
          <w:bCs/>
          <w:color w:val="1F4E5F"/>
          <w:sz w:val="20"/>
          <w:szCs w:val="20"/>
        </w:rPr>
        <w:t xml:space="preserve">Director of Information Service and Technologies</w:t>
      </w:r>
      <w:r>
        <w:rPr>
          <w:rFonts w:ascii="Calibri" w:cs="Calibri" w:eastAsia="Calibri" w:hAnsi="Calibri"/>
          <w:b/>
          <w:bCs/>
          <w:sz w:val="19"/>
          <w:szCs w:val="19"/>
        </w:rPr>
        <w:t xml:space="preserve">	Apr 2017 – Jan 2021</w:t>
      </w:r>
    </w:p>
    <w:p>
      <w:pPr>
        <w:keepNext/>
        <w:spacing w:after="50"/>
      </w:pPr>
      <w:r>
        <w:rPr>
          <w:rFonts w:ascii="Calibri" w:cs="Calibri" w:eastAsia="Calibri" w:hAnsi="Calibri"/>
          <w:b/>
          <w:bCs/>
          <w:sz w:val="19"/>
          <w:szCs w:val="19"/>
        </w:rPr>
        <w:t xml:space="preserve">Australian Institute of Business</w:t>
      </w:r>
      <w:r>
        <w:rPr>
          <w:rFonts w:ascii="Calibri" w:cs="Calibri" w:eastAsia="Calibri" w:hAnsi="Calibri"/>
          <w:i/>
          <w:iCs/>
          <w:sz w:val="19"/>
          <w:szCs w:val="19"/>
        </w:rPr>
        <w:t xml:space="preserve"> · Adelaide, SA — Australia's #1 MBA provider, 100% online</w:t>
      </w:r>
    </w:p>
    <w:p>
      <w:pPr>
        <w:spacing w:after="50" w:line="240"/>
      </w:pPr>
      <w:r>
        <w:rPr>
          <w:rFonts w:ascii="Calibri" w:cs="Calibri" w:eastAsia="Calibri" w:hAnsi="Calibri"/>
          <w:sz w:val="19"/>
          <w:szCs w:val="19"/>
        </w:rPr>
        <w:t xml:space="preserve">Executive team accountability for technology, data, cyber security and transformation across a national online university.</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AIB's transformation from teaching centre / distance learning to Australia's #1 online Higher-Ed provider — re-platforming the majority of key systems.</w:t>
      </w:r>
    </w:p>
    <w:p>
      <w:pPr>
        <w:pStyle w:val="ListParagraph"/>
        <w:numPr>
          <w:ilvl w:val="0"/>
          <w:numId w:val="2"/>
        </w:numPr>
        <w:spacing w:after="30" w:line="236"/>
      </w:pPr>
      <w:r>
        <w:rPr>
          <w:rFonts w:ascii="Calibri" w:cs="Calibri" w:eastAsia="Calibri" w:hAnsi="Calibri"/>
          <w:b/>
          <w:bCs/>
          <w:sz w:val="19"/>
          <w:szCs w:val="19"/>
        </w:rPr>
        <w:t xml:space="preserve">Cloud and communications:</w:t>
      </w:r>
      <w:r>
        <w:rPr>
          <w:rFonts w:ascii="Calibri" w:cs="Calibri" w:eastAsia="Calibri" w:hAnsi="Calibri"/>
          <w:sz w:val="19"/>
          <w:szCs w:val="19"/>
        </w:rPr>
        <w:t xml:space="preserve"> 100% cloud migration in under 6 months, enabling company-wide WFH through COVID-19; replaced the communications platform with omni-channel VOIP, IVR and ML/AI routing.</w:t>
      </w:r>
    </w:p>
    <w:p>
      <w:pPr>
        <w:pStyle w:val="ListParagraph"/>
        <w:numPr>
          <w:ilvl w:val="0"/>
          <w:numId w:val="2"/>
        </w:numPr>
        <w:spacing w:after="30" w:line="236"/>
      </w:pPr>
      <w:r>
        <w:rPr>
          <w:rFonts w:ascii="Calibri" w:cs="Calibri" w:eastAsia="Calibri" w:hAnsi="Calibri"/>
          <w:b/>
          <w:bCs/>
          <w:sz w:val="19"/>
          <w:szCs w:val="19"/>
        </w:rPr>
        <w:t xml:space="preserve">Data and analytics:</w:t>
      </w:r>
      <w:r>
        <w:rPr>
          <w:rFonts w:ascii="Calibri" w:cs="Calibri" w:eastAsia="Calibri" w:hAnsi="Calibri"/>
          <w:sz w:val="19"/>
          <w:szCs w:val="19"/>
        </w:rPr>
        <w:t xml:space="preserve"> introduced enterprise reporting, data-lake and analytics capability using Power BI, AWS and Salesforce Einstein, supporting executive insight, student analytics and operational decision-making.</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aligned with TEQSA, FEE-HELP and TCSI; delivered compliant online proctoring and a full Finance System replacement with five-year reconciliation.</w:t>
      </w:r>
    </w:p>
    <w:p>
      <w:pPr>
        <w:pStyle w:val="ListParagraph"/>
        <w:numPr>
          <w:ilvl w:val="0"/>
          <w:numId w:val="2"/>
        </w:numPr>
        <w:spacing w:after="30" w:line="236"/>
      </w:pPr>
      <w:r>
        <w:rPr>
          <w:rFonts w:ascii="Calibri" w:cs="Calibri" w:eastAsia="Calibri" w:hAnsi="Calibri"/>
          <w:b/>
          <w:bCs/>
          <w:sz w:val="19"/>
          <w:szCs w:val="19"/>
        </w:rPr>
        <w:t xml:space="preserve">Commercial:</w:t>
      </w:r>
      <w:r>
        <w:rPr>
          <w:rFonts w:ascii="Calibri" w:cs="Calibri" w:eastAsia="Calibri" w:hAnsi="Calibri"/>
          <w:sz w:val="19"/>
          <w:szCs w:val="19"/>
        </w:rPr>
        <w:t xml:space="preserve"> significantly reduced operating cost and risk, including recovering $1.3m through supplier renegotiation.</w:t>
      </w:r>
    </w:p>
    <w:p>
      <w:pPr>
        <w:keepNext/>
        <w:tabs>
          <w:tab w:val="right" w:pos="10466"/>
        </w:tabs>
        <w:spacing w:after="0" w:before="90"/>
      </w:pPr>
      <w:r>
        <w:rPr>
          <w:rFonts w:ascii="Calibri" w:cs="Calibri" w:eastAsia="Calibri" w:hAnsi="Calibri"/>
          <w:b/>
          <w:bCs/>
          <w:color w:val="1F4E5F"/>
          <w:sz w:val="20"/>
          <w:szCs w:val="20"/>
        </w:rPr>
        <w:t xml:space="preserve">Interim – APAC IT, Delivery and Implementation</w:t>
      </w:r>
      <w:r>
        <w:rPr>
          <w:rFonts w:ascii="Calibri" w:cs="Calibri" w:eastAsia="Calibri" w:hAnsi="Calibri"/>
          <w:b/>
          <w:bCs/>
          <w:sz w:val="19"/>
          <w:szCs w:val="19"/>
        </w:rPr>
        <w:t xml:space="preserve">	Sep 2016 – Apr 2017</w:t>
      </w:r>
    </w:p>
    <w:p>
      <w:pPr>
        <w:keepNext/>
        <w:spacing w:after="50"/>
      </w:pPr>
      <w:r>
        <w:rPr>
          <w:rFonts w:ascii="Calibri" w:cs="Calibri" w:eastAsia="Calibri" w:hAnsi="Calibri"/>
          <w:b/>
          <w:bCs/>
          <w:sz w:val="19"/>
          <w:szCs w:val="19"/>
        </w:rPr>
        <w:t xml:space="preserve">Infonetica</w:t>
      </w:r>
      <w:r>
        <w:rPr>
          <w:rFonts w:ascii="Calibri" w:cs="Calibri" w:eastAsia="Calibri" w:hAnsi="Calibri"/>
          <w:i/>
          <w:iCs/>
          <w:sz w:val="19"/>
          <w:szCs w:val="19"/>
        </w:rPr>
        <w:t xml:space="preserve"> · Sydney / Toronto / London — research, ethics approval &amp; compliance software</w:t>
      </w:r>
    </w:p>
    <w:p>
      <w:pPr>
        <w:spacing w:after="80" w:line="240"/>
      </w:pPr>
      <w:r>
        <w:rPr>
          <w:rFonts w:ascii="Calibri" w:cs="Calibri" w:eastAsia="Calibri" w:hAnsi="Calibri"/>
          <w:sz w:val="19"/>
          <w:szCs w:val="19"/>
        </w:rPr>
        <w:t xml:space="preserve">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Jun 2015 – Sep 2016</w:t>
      </w:r>
    </w:p>
    <w:p>
      <w:pPr>
        <w:keepNext/>
        <w:spacing w:after="50"/>
      </w:pPr>
      <w:r>
        <w:rPr>
          <w:rFonts w:ascii="Calibri" w:cs="Calibri" w:eastAsia="Calibri" w:hAnsi="Calibri"/>
          <w:b/>
          <w:bCs/>
          <w:sz w:val="19"/>
          <w:szCs w:val="19"/>
        </w:rPr>
        <w:t xml:space="preserve">Totemic Group / PayPlan / PayLink Solutions</w:t>
      </w:r>
      <w:r>
        <w:rPr>
          <w:rFonts w:ascii="Calibri" w:cs="Calibri" w:eastAsia="Calibri" w:hAnsi="Calibri"/>
          <w:i/>
          <w:iCs/>
          <w:sz w:val="19"/>
          <w:szCs w:val="19"/>
        </w:rPr>
        <w:t xml:space="preserve"> · UK — financial services group; headless banking and B2B platforms</w:t>
      </w:r>
    </w:p>
    <w:p>
      <w:pPr>
        <w:spacing w:after="50" w:line="240"/>
      </w:pPr>
      <w:r>
        <w:rPr>
          <w:rFonts w:ascii="Calibri" w:cs="Calibri" w:eastAsia="Calibri" w:hAnsi="Calibri"/>
          <w:sz w:val="19"/>
          <w:szCs w:val="19"/>
        </w:rPr>
        <w:t xml:space="preserve">Group CTO for technology, product and delivery across regulated debt management, payments and B2B banking platforms.</w:t>
      </w:r>
    </w:p>
    <w:p>
      <w:pPr>
        <w:pStyle w:val="ListParagraph"/>
        <w:numPr>
          <w:ilvl w:val="0"/>
          <w:numId w:val="2"/>
        </w:numPr>
        <w:spacing w:after="30" w:line="236"/>
      </w:pPr>
      <w:r>
        <w:rPr>
          <w:rFonts w:ascii="Calibri" w:cs="Calibri" w:eastAsia="Calibri" w:hAnsi="Calibri"/>
          <w:b/>
          <w:bCs/>
          <w:sz w:val="19"/>
          <w:szCs w:val="19"/>
        </w:rPr>
        <w:t xml:space="preserve">Platform product:</w:t>
      </w:r>
      <w:r>
        <w:rPr>
          <w:rFonts w:ascii="Calibri" w:cs="Calibri" w:eastAsia="Calibri" w:hAnsi="Calibri"/>
          <w:sz w:val="19"/>
          <w:szCs w:val="19"/>
        </w:rPr>
        <w:t xml:space="preserve"> conceived and launched Embark™, an API suite of services for customer ledgers, collections, payment distribution, affordability, PFM and regulatory reporting, reused across multiple customer propositions rather than rebuilt for each; adopted by PayPal, NatWest, Santander, Tesco Bank, Zopa, Virgin Money and Hitachi Finance; EBITDA-positive in year one.</w:t>
      </w:r>
    </w:p>
    <w:p>
      <w:pPr>
        <w:pStyle w:val="ListParagraph"/>
        <w:numPr>
          <w:ilvl w:val="0"/>
          <w:numId w:val="2"/>
        </w:numPr>
        <w:spacing w:after="30" w:line="236"/>
      </w:pPr>
      <w:r>
        <w:rPr>
          <w:rFonts w:ascii="Calibri" w:cs="Calibri" w:eastAsia="Calibri" w:hAnsi="Calibri"/>
          <w:b/>
          <w:bCs/>
          <w:sz w:val="19"/>
          <w:szCs w:val="19"/>
        </w:rPr>
        <w:t xml:space="preserve">AI and automation:</w:t>
      </w:r>
      <w:r>
        <w:rPr>
          <w:rFonts w:ascii="Calibri" w:cs="Calibri" w:eastAsia="Calibri" w:hAnsi="Calibri"/>
          <w:sz w:val="19"/>
          <w:szCs w:val="19"/>
        </w:rPr>
        <w:t xml:space="preserve"> early NLP for correspondence tone and urgency detection; Kofax bank-statement interpretation; OCR and Open Banking feeds automated financial-data capture and assessment.</w:t>
      </w:r>
    </w:p>
    <w:p>
      <w:pPr>
        <w:pStyle w:val="ListParagraph"/>
        <w:numPr>
          <w:ilvl w:val="0"/>
          <w:numId w:val="2"/>
        </w:numPr>
        <w:spacing w:after="30" w:line="236"/>
      </w:pPr>
      <w:r>
        <w:rPr>
          <w:rFonts w:ascii="Calibri" w:cs="Calibri" w:eastAsia="Calibri" w:hAnsi="Calibri"/>
          <w:b/>
          <w:bCs/>
          <w:sz w:val="19"/>
          <w:szCs w:val="19"/>
        </w:rPr>
        <w:t xml:space="preserve">Platform modernisation:</w:t>
      </w:r>
      <w:r>
        <w:rPr>
          <w:rFonts w:ascii="Calibri" w:cs="Calibri" w:eastAsia="Calibri" w:hAnsi="Calibri"/>
          <w:sz w:val="19"/>
          <w:szCs w:val="19"/>
        </w:rPr>
        <w:t xml:space="preserve"> replaced legacy Oracle Forms and Reports; delivered the PayPlanPlus companion app.</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guided business units through FCA certification, ISO 27001 and PCI-DSS compliance.</w:t>
      </w:r>
    </w:p>
    <w:p>
      <w:pPr>
        <w:keepNext/>
        <w:tabs>
          <w:tab w:val="right" w:pos="10466"/>
        </w:tabs>
        <w:spacing w:after="0" w:before="90"/>
      </w:pPr>
      <w:r>
        <w:rPr>
          <w:rFonts w:ascii="Calibri" w:cs="Calibri" w:eastAsia="Calibri" w:hAnsi="Calibri"/>
          <w:b/>
          <w:bCs/>
          <w:color w:val="1F4E5F"/>
          <w:sz w:val="20"/>
          <w:szCs w:val="20"/>
        </w:rPr>
        <w:t xml:space="preserve">Group IT Development Director</w:t>
      </w:r>
      <w:r>
        <w:rPr>
          <w:rFonts w:ascii="Calibri" w:cs="Calibri" w:eastAsia="Calibri" w:hAnsi="Calibri"/>
          <w:b/>
          <w:bCs/>
          <w:sz w:val="19"/>
          <w:szCs w:val="19"/>
        </w:rPr>
        <w:t xml:space="preserve">	Oct 2013 – Jun 2015</w:t>
      </w:r>
    </w:p>
    <w:p>
      <w:pPr>
        <w:keepNext/>
        <w:spacing w:after="50"/>
      </w:pPr>
      <w:r>
        <w:rPr>
          <w:rFonts w:ascii="Calibri" w:cs="Calibri" w:eastAsia="Calibri" w:hAnsi="Calibri"/>
          <w:b/>
          <w:bCs/>
          <w:sz w:val="19"/>
          <w:szCs w:val="19"/>
        </w:rPr>
        <w:t xml:space="preserve">EMIS Group</w:t>
      </w:r>
      <w:r>
        <w:rPr>
          <w:rFonts w:ascii="Calibri" w:cs="Calibri" w:eastAsia="Calibri" w:hAnsi="Calibri"/>
          <w:i/>
          <w:iCs/>
          <w:sz w:val="19"/>
          <w:szCs w:val="19"/>
        </w:rPr>
        <w:t xml:space="preserve"> · UK / Poland / India — the UK's leading clinical software provider</w:t>
      </w:r>
    </w:p>
    <w:p>
      <w:pPr>
        <w:spacing w:after="50" w:line="240"/>
      </w:pPr>
      <w:r>
        <w:rPr>
          <w:rFonts w:ascii="Calibri" w:cs="Calibri" w:eastAsia="Calibri" w:hAnsi="Calibri"/>
          <w:sz w:val="19"/>
          <w:szCs w:val="19"/>
        </w:rPr>
        <w:t xml:space="preserve">Owned the strategic technology-product roadmap across EMIS Health, Ascribe, RX Systems and Patient.co.uk, supporting GPs, hospitals, community trusts and pharmacies across the NHS, Ministry of Defence, Europe, the Emirates and ANZ.</w:t>
      </w:r>
    </w:p>
    <w:p>
      <w:pPr>
        <w:pStyle w:val="ListParagraph"/>
        <w:numPr>
          <w:ilvl w:val="0"/>
          <w:numId w:val="2"/>
        </w:numPr>
        <w:spacing w:after="30" w:line="236"/>
      </w:pPr>
      <w:r>
        <w:rPr>
          <w:rFonts w:ascii="Calibri" w:cs="Calibri" w:eastAsia="Calibri" w:hAnsi="Calibri"/>
          <w:b/>
          <w:bCs/>
          <w:sz w:val="19"/>
          <w:szCs w:val="19"/>
        </w:rPr>
        <w:t xml:space="preserve">National-scale delivery:</w:t>
      </w:r>
      <w:r>
        <w:rPr>
          <w:rFonts w:ascii="Calibri" w:cs="Calibri" w:eastAsia="Calibri" w:hAnsi="Calibri"/>
          <w:sz w:val="19"/>
          <w:szCs w:val="19"/>
        </w:rPr>
        <w:t xml:space="preserve"> delivered EMIS's two largest contracts to the UK Government (NHS), working directly with the UK Minister of Health to hard statutory deadlines; expanded delivery capacity across a ~300 FTE portfolio.</w:t>
      </w:r>
    </w:p>
    <w:p>
      <w:pPr>
        <w:pStyle w:val="ListParagraph"/>
        <w:numPr>
          <w:ilvl w:val="0"/>
          <w:numId w:val="2"/>
        </w:numPr>
        <w:spacing w:after="30" w:line="236"/>
      </w:pPr>
      <w:r>
        <w:rPr>
          <w:rFonts w:ascii="Calibri" w:cs="Calibri" w:eastAsia="Calibri" w:hAnsi="Calibri"/>
          <w:b/>
          <w:bCs/>
          <w:sz w:val="19"/>
          <w:szCs w:val="19"/>
        </w:rPr>
        <w:t xml:space="preserve">Data and analytics products:</w:t>
      </w:r>
      <w:r>
        <w:rPr>
          <w:rFonts w:ascii="Calibri" w:cs="Calibri" w:eastAsia="Calibri" w:hAnsi="Calibri"/>
          <w:sz w:val="19"/>
          <w:szCs w:val="19"/>
        </w:rPr>
        <w:t xml:space="preserve"> delivered EMIS-X Analytics and Explorer, giving product teams and customers secure SQL/FHIR access to real-time patient data; PHM Pathfinder Analytics for population-health planning.</w:t>
      </w:r>
    </w:p>
    <w:p>
      <w:pPr>
        <w:pStyle w:val="ListParagraph"/>
        <w:numPr>
          <w:ilvl w:val="0"/>
          <w:numId w:val="2"/>
        </w:numPr>
        <w:spacing w:after="30" w:line="236"/>
      </w:pPr>
      <w:r>
        <w:rPr>
          <w:rFonts w:ascii="Calibri" w:cs="Calibri" w:eastAsia="Calibri" w:hAnsi="Calibri"/>
          <w:b/>
          <w:bCs/>
          <w:sz w:val="19"/>
          <w:szCs w:val="19"/>
        </w:rPr>
        <w:t xml:space="preserve">Global delivery:</w:t>
      </w:r>
      <w:r>
        <w:rPr>
          <w:rFonts w:ascii="Calibri" w:cs="Calibri" w:eastAsia="Calibri" w:hAnsi="Calibri"/>
          <w:sz w:val="19"/>
          <w:szCs w:val="19"/>
        </w:rPr>
        <w:t xml:space="preserve"> led distributed teams across the UK, Poland, India and Australia through matrix management, embedding domain expertise and continuous improvement across delivery centres.</w:t>
      </w:r>
    </w:p>
    <w:p>
      <w:pPr>
        <w:pStyle w:val="ListParagraph"/>
        <w:numPr>
          <w:ilvl w:val="0"/>
          <w:numId w:val="2"/>
        </w:numPr>
        <w:spacing w:after="30" w:line="236"/>
      </w:pPr>
      <w:r>
        <w:rPr>
          <w:rFonts w:ascii="Calibri" w:cs="Calibri" w:eastAsia="Calibri" w:hAnsi="Calibri"/>
          <w:b/>
          <w:bCs/>
          <w:sz w:val="19"/>
          <w:szCs w:val="19"/>
        </w:rPr>
        <w:t xml:space="preserve">Product and innovation:</w:t>
      </w:r>
      <w:r>
        <w:rPr>
          <w:rFonts w:ascii="Calibri" w:cs="Calibri" w:eastAsia="Calibri" w:hAnsi="Calibri"/>
          <w:sz w:val="19"/>
          <w:szCs w:val="19"/>
        </w:rPr>
        <w:t xml:space="preserve"> launched EMIS Mobile and PatientAccess as an Apple iOS 8 HealthKit launch partner; R&amp;D included Virtual GP, AR and RFID-assisted bedside care.</w:t>
      </w:r>
    </w:p>
    <w:p>
      <w:pPr>
        <w:pStyle w:val="ListParagraph"/>
        <w:numPr>
          <w:ilvl w:val="0"/>
          <w:numId w:val="2"/>
        </w:numPr>
        <w:spacing w:after="30" w:line="236"/>
      </w:pPr>
      <w:r>
        <w:rPr>
          <w:rFonts w:ascii="Calibri" w:cs="Calibri" w:eastAsia="Calibri" w:hAnsi="Calibri"/>
          <w:b/>
          <w:bCs/>
          <w:sz w:val="19"/>
          <w:szCs w:val="19"/>
        </w:rPr>
        <w:t xml:space="preserve">Clinical data governance:</w:t>
      </w:r>
      <w:r>
        <w:rPr>
          <w:rFonts w:ascii="Calibri" w:cs="Calibri" w:eastAsia="Calibri" w:hAnsi="Calibri"/>
          <w:sz w:val="19"/>
          <w:szCs w:val="19"/>
        </w:rPr>
        <w:t xml:space="preserve"> led within a highly secure national patient-record ecosystem requiring rigorous interoperability, access controls, information security, data quality and safety-critical delivery.</w:t>
      </w:r>
    </w:p>
    <w:p>
      <w:pPr>
        <w:keepNext/>
        <w:tabs>
          <w:tab w:val="right" w:pos="10466"/>
        </w:tabs>
        <w:spacing w:after="0" w:before="90"/>
      </w:pPr>
      <w:r>
        <w:rPr>
          <w:rFonts w:ascii="Calibri" w:cs="Calibri" w:eastAsia="Calibri" w:hAnsi="Calibri"/>
          <w:b/>
          <w:bCs/>
          <w:color w:val="1F4E5F"/>
          <w:sz w:val="20"/>
          <w:szCs w:val="20"/>
        </w:rPr>
        <w:t xml:space="preserve">Head of IT, Development and Delivery</w:t>
      </w:r>
      <w:r>
        <w:rPr>
          <w:rFonts w:ascii="Calibri" w:cs="Calibri" w:eastAsia="Calibri" w:hAnsi="Calibri"/>
          <w:b/>
          <w:bCs/>
          <w:sz w:val="19"/>
          <w:szCs w:val="19"/>
        </w:rPr>
        <w:t xml:space="preserve">	Jul 2010 – Oct 2013</w:t>
      </w:r>
    </w:p>
    <w:p>
      <w:pPr>
        <w:keepNext/>
        <w:spacing w:after="50"/>
      </w:pPr>
      <w:r>
        <w:rPr>
          <w:rFonts w:ascii="Calibri" w:cs="Calibri" w:eastAsia="Calibri" w:hAnsi="Calibri"/>
          <w:b/>
          <w:bCs/>
          <w:sz w:val="19"/>
          <w:szCs w:val="19"/>
        </w:rPr>
        <w:t xml:space="preserve">CallCredit / TransUnion UK</w:t>
      </w:r>
      <w:r>
        <w:rPr>
          <w:rFonts w:ascii="Calibri" w:cs="Calibri" w:eastAsia="Calibri" w:hAnsi="Calibri"/>
          <w:i/>
          <w:iCs/>
          <w:sz w:val="19"/>
          <w:szCs w:val="19"/>
        </w:rPr>
        <w:t xml:space="preserve"> · UK / Lithuania — credit reference agency</w:t>
      </w:r>
    </w:p>
    <w:p>
      <w:pPr>
        <w:spacing w:after="50" w:line="240"/>
      </w:pPr>
      <w:r>
        <w:rPr>
          <w:rFonts w:ascii="Calibri" w:cs="Calibri" w:eastAsia="Calibri" w:hAnsi="Calibri"/>
          <w:sz w:val="19"/>
          <w:szCs w:val="19"/>
        </w:rPr>
        <w:t xml:space="preserve">Led IT, development and delivery within one of the UK's three major credit-reference agencies and its data products.</w:t>
      </w:r>
    </w:p>
    <w:p>
      <w:pPr>
        <w:pStyle w:val="ListParagraph"/>
        <w:numPr>
          <w:ilvl w:val="0"/>
          <w:numId w:val="2"/>
        </w:numPr>
        <w:spacing w:after="30" w:line="236"/>
      </w:pPr>
      <w:r>
        <w:rPr>
          <w:rFonts w:ascii="Calibri" w:cs="Calibri" w:eastAsia="Calibri" w:hAnsi="Calibri"/>
          <w:b/>
          <w:bCs/>
          <w:sz w:val="19"/>
          <w:szCs w:val="19"/>
        </w:rPr>
        <w:t xml:space="preserve">Data platforms and products:</w:t>
      </w:r>
      <w:r>
        <w:rPr>
          <w:rFonts w:ascii="Calibri" w:cs="Calibri" w:eastAsia="Calibri" w:hAnsi="Calibri"/>
          <w:sz w:val="19"/>
          <w:szCs w:val="19"/>
        </w:rPr>
        <w:t xml:space="preserve"> led delivery across bureau-scale consumer and commercial datasets spanning credit, fraud, AML, affordability, identity, PFM, demographic/geospatial and financial products; launched Noddle™, the UK's first free consumer credit report, subsequently Credit Karma™ and now part of Intuit.</w:t>
      </w:r>
    </w:p>
    <w:p>
      <w:pPr>
        <w:pStyle w:val="ListParagraph"/>
        <w:numPr>
          <w:ilvl w:val="0"/>
          <w:numId w:val="2"/>
        </w:numPr>
        <w:spacing w:after="30" w:line="236"/>
      </w:pPr>
      <w:r>
        <w:rPr>
          <w:rFonts w:ascii="Calibri" w:cs="Calibri" w:eastAsia="Calibri" w:hAnsi="Calibri"/>
          <w:b/>
          <w:bCs/>
          <w:sz w:val="19"/>
          <w:szCs w:val="19"/>
        </w:rPr>
        <w:t xml:space="preserve">Data architecture:</w:t>
      </w:r>
      <w:r>
        <w:rPr>
          <w:rFonts w:ascii="Calibri" w:cs="Calibri" w:eastAsia="Calibri" w:hAnsi="Calibri"/>
          <w:sz w:val="19"/>
          <w:szCs w:val="19"/>
        </w:rPr>
        <w:t xml:space="preserve"> introduced high-availability / high-volume technologies using big-data, cloud and Open Banking.</w:t>
      </w:r>
    </w:p>
    <w:p>
      <w:pPr>
        <w:pStyle w:val="ListParagraph"/>
        <w:numPr>
          <w:ilvl w:val="0"/>
          <w:numId w:val="2"/>
        </w:numPr>
        <w:spacing w:after="30" w:line="236"/>
      </w:pPr>
      <w:r>
        <w:rPr>
          <w:rFonts w:ascii="Calibri" w:cs="Calibri" w:eastAsia="Calibri" w:hAnsi="Calibri"/>
          <w:b/>
          <w:bCs/>
          <w:sz w:val="19"/>
          <w:szCs w:val="19"/>
        </w:rPr>
        <w:t xml:space="preserve">Portfolio governance:</w:t>
      </w:r>
      <w:r>
        <w:rPr>
          <w:rFonts w:ascii="Calibri" w:cs="Calibri" w:eastAsia="Calibri" w:hAnsi="Calibri"/>
          <w:sz w:val="19"/>
          <w:szCs w:val="19"/>
        </w:rPr>
        <w:t xml:space="preserve"> established new KPIs and SLAs across 25+ concurrent projects spanning the regulated data estate.</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Agile/Lean/SAFe adoption across ~100 FTE; established Lithuanian engineering capacity, increasing capacity by 35%.</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ISO 9001, 14001, 27001, PCI-DSS and IOSH audits across the regulated data estate.</w:t>
      </w:r>
    </w:p>
    <w:p>
      <w:pPr>
        <w:keepNext/>
        <w:tabs>
          <w:tab w:val="right" w:pos="10466"/>
        </w:tabs>
        <w:spacing w:after="50" w:before="90"/>
      </w:pPr>
      <w:r>
        <w:rPr>
          <w:rFonts w:ascii="Calibri" w:cs="Calibri" w:eastAsia="Calibri" w:hAnsi="Calibri"/>
          <w:b/>
          <w:bCs/>
          <w:color w:val="1F4E5F"/>
          <w:sz w:val="20"/>
          <w:szCs w:val="20"/>
        </w:rPr>
        <w:t xml:space="preserve">Earlier Career</w:t>
      </w:r>
      <w:r>
        <w:rPr>
          <w:rFonts w:ascii="Calibri" w:cs="Calibri" w:eastAsia="Calibri" w:hAnsi="Calibri"/>
          <w:b/>
          <w:bCs/>
          <w:sz w:val="19"/>
          <w:szCs w:val="19"/>
        </w:rPr>
        <w:t xml:space="preserve">	Dec 1995 – Jul 2010</w:t>
      </w:r>
    </w:p>
    <w:p>
      <w:pPr>
        <w:pStyle w:val="ListParagraph"/>
        <w:numPr>
          <w:ilvl w:val="0"/>
          <w:numId w:val="2"/>
        </w:numPr>
        <w:spacing w:after="30" w:line="236"/>
      </w:pPr>
      <w:r>
        <w:rPr>
          <w:rFonts w:ascii="Calibri" w:cs="Calibri" w:eastAsia="Calibri" w:hAnsi="Calibri"/>
          <w:b/>
          <w:bCs/>
          <w:sz w:val="19"/>
          <w:szCs w:val="19"/>
        </w:rPr>
        <w:t xml:space="preserve">BJSS — </w:t>
      </w:r>
      <w:r>
        <w:rPr>
          <w:rFonts w:ascii="Calibri" w:cs="Calibri" w:eastAsia="Calibri" w:hAnsi="Calibri"/>
          <w:sz w:val="19"/>
          <w:szCs w:val="19"/>
        </w:rPr>
        <w:t xml:space="preserve">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pPr>
        <w:pStyle w:val="ListParagraph"/>
        <w:numPr>
          <w:ilvl w:val="0"/>
          <w:numId w:val="2"/>
        </w:numPr>
        <w:spacing w:after="30" w:line="236"/>
      </w:pPr>
      <w:r>
        <w:rPr>
          <w:rFonts w:ascii="Calibri" w:cs="Calibri" w:eastAsia="Calibri" w:hAnsi="Calibri"/>
          <w:b/>
          <w:bCs/>
          <w:sz w:val="19"/>
          <w:szCs w:val="19"/>
        </w:rPr>
        <w:t xml:space="preserve">Spice PLC / Enserve — </w:t>
      </w:r>
      <w:r>
        <w:rPr>
          <w:rFonts w:ascii="Calibri" w:cs="Calibri" w:eastAsia="Calibri" w:hAnsi="Calibri"/>
          <w:sz w:val="19"/>
          <w:szCs w:val="19"/>
        </w:rPr>
        <w:t xml:space="preserve">Head of IT Solutions (2005-2009): Board-level accountability across utilities streams; managed software rollouts across CAD engineering and supporting systems for a utilities field workforce; designed and delivered the JTE work-management platform, subsequently an industry standard securing multi-million-pound contracts.</w:t>
      </w:r>
    </w:p>
    <w:p>
      <w:pPr>
        <w:pStyle w:val="ListParagraph"/>
        <w:numPr>
          <w:ilvl w:val="0"/>
          <w:numId w:val="2"/>
        </w:numPr>
        <w:spacing w:after="30" w:line="236"/>
      </w:pPr>
      <w:r>
        <w:rPr>
          <w:rFonts w:ascii="Calibri" w:cs="Calibri" w:eastAsia="Calibri" w:hAnsi="Calibri"/>
          <w:b/>
          <w:bCs/>
          <w:sz w:val="19"/>
          <w:szCs w:val="19"/>
        </w:rPr>
        <w:t xml:space="preserve">Contract architecture and delivery (2002-2005):</w:t>
      </w:r>
      <w:r>
        <w:rPr>
          <w:rFonts w:ascii="Calibri" w:cs="Calibri" w:eastAsia="Calibri" w:hAnsi="Calibri"/>
          <w:sz w:val="19"/>
          <w:szCs w:val="19"/>
        </w:rPr>
        <w:t xml:space="preserve"> Euro RSCG Riley's, NCS Pearson, Manheim, Kah Systems and Fowles ANZ.</w:t>
      </w:r>
    </w:p>
    <w:p>
      <w:pPr>
        <w:pStyle w:val="ListParagraph"/>
        <w:numPr>
          <w:ilvl w:val="0"/>
          <w:numId w:val="2"/>
        </w:numPr>
        <w:spacing w:after="30" w:line="236"/>
      </w:pPr>
      <w:r>
        <w:rPr>
          <w:rFonts w:ascii="Calibri" w:cs="Calibri" w:eastAsia="Calibri" w:hAnsi="Calibri"/>
          <w:b/>
          <w:bCs/>
          <w:sz w:val="19"/>
          <w:szCs w:val="19"/>
        </w:rPr>
        <w:t xml:space="preserve">Halifax — </w:t>
      </w:r>
      <w:r>
        <w:rPr>
          <w:rFonts w:ascii="Calibri" w:cs="Calibri" w:eastAsia="Calibri" w:hAnsi="Calibri"/>
          <w:sz w:val="19"/>
          <w:szCs w:val="19"/>
        </w:rPr>
        <w:t xml:space="preserve">Senior Developer / Architect (1999-2002): Online Statement, Group Security Wrapper (SSO) and ISA programmes. William Hill — Test Engineer / Developer (1995-1999): launch of internet betting and Y2K programme.</w:t>
      </w:r>
    </w:p>
    <w:p>
      <w:pPr>
        <w:pBdr>
          <w:bottom w:val="single" w:color="1F4E5F" w:sz="6" w:space="2"/>
        </w:pBdr>
        <w:spacing w:after="60" w:before="120"/>
      </w:pPr>
      <w:r>
        <w:rPr>
          <w:rFonts w:ascii="Calibri" w:cs="Calibri" w:eastAsia="Calibri" w:hAnsi="Calibri"/>
          <w:b/>
          <w:bCs/>
          <w:color w:val="1F4E5F"/>
          <w:sz w:val="23"/>
          <w:szCs w:val="23"/>
        </w:rPr>
        <w:t xml:space="preserve">Technical Proficiencies</w:t>
      </w:r>
    </w:p>
    <w:p>
      <w:pPr>
        <w:spacing w:after="50" w:line="240"/>
      </w:pPr>
      <w:r>
        <w:rPr>
          <w:rFonts w:ascii="Calibri" w:cs="Calibri" w:eastAsia="Calibri" w:hAnsi="Calibri"/>
          <w:b/>
          <w:bCs/>
          <w:sz w:val="19"/>
          <w:szCs w:val="19"/>
        </w:rPr>
        <w:t xml:space="preserve">Platforms and technologies:</w:t>
      </w:r>
      <w:r>
        <w:rPr>
          <w:rFonts w:ascii="Calibri" w:cs="Calibri" w:eastAsia="Calibri" w:hAnsi="Calibri"/>
          <w:sz w:val="19"/>
          <w:szCs w:val="19"/>
        </w:rPr>
        <w:t xml:space="preserve"> AWS (EC2, S3, Lambda, CloudFront) · Azure IaaS/PaaS/SaaS · Kafka (eventing) · REST APIs · MCP · Docker · Kubernetes · New Relic · .NET · Java · C# · Node.js · Flutter · React · Git/GitHub · CI/CD · Jira · Azure DevOps</w:t>
      </w:r>
    </w:p>
    <w:p>
      <w:pPr>
        <w:spacing w:after="50" w:line="240"/>
      </w:pPr>
      <w:r>
        <w:rPr>
          <w:rFonts w:ascii="Calibri" w:cs="Calibri" w:eastAsia="Calibri" w:hAnsi="Calibri"/>
          <w:b/>
          <w:bCs/>
          <w:sz w:val="19"/>
          <w:szCs w:val="19"/>
        </w:rPr>
        <w:t xml:space="preserve">Data, AI and analytics:</w:t>
      </w:r>
      <w:r>
        <w:rPr>
          <w:rFonts w:ascii="Calibri" w:cs="Calibri" w:eastAsia="Calibri" w:hAnsi="Calibri"/>
          <w:sz w:val="19"/>
          <w:szCs w:val="19"/>
        </w:rPr>
        <w:t xml:space="preserve"> Snowflake · MS Fabric · Data lakes · Power BI · SQL/SSIS/SSRS · PostgreSQL · Oracle · DynamoDB · Metabase · Tableau · Data Factory · Python/Pandas/XGBoost · OpenAI Codex · Claude Designer · FHIR · OCR/NLP</w:t>
      </w:r>
    </w:p>
    <w:p>
      <w:pPr>
        <w:spacing w:after="80" w:line="240"/>
      </w:pPr>
      <w:r>
        <w:rPr>
          <w:rFonts w:ascii="Calibri" w:cs="Calibri" w:eastAsia="Calibri" w:hAnsi="Calibri"/>
          <w:b/>
          <w:bCs/>
          <w:sz w:val="19"/>
          <w:szCs w:val="19"/>
        </w:rPr>
        <w:t xml:space="preserve">Key systems:</w:t>
      </w:r>
      <w:r>
        <w:rPr>
          <w:rFonts w:ascii="Calibri" w:cs="Calibri" w:eastAsia="Calibri" w:hAnsi="Calibri"/>
          <w:sz w:val="19"/>
          <w:szCs w:val="19"/>
        </w:rPr>
        <w:t xml:space="preserve"> MS Dynamics 365 · MS 365 · Power Platform · Salesforce · Zoho · HubSpot · Figma · Pendo · Mixpanel · Hotjar · GA4 · Segment · Stripe · Yodlee · Xero · MYOB · NetSuite · SAP</w:t>
      </w:r>
    </w:p>
    <w:p>
      <w:pPr>
        <w:pBdr>
          <w:bottom w:val="single" w:color="1F4E5F" w:sz="6" w:space="2"/>
        </w:pBdr>
        <w:spacing w:after="60" w:before="120"/>
      </w:pPr>
      <w:r>
        <w:rPr>
          <w:rFonts w:ascii="Calibri" w:cs="Calibri" w:eastAsia="Calibri" w:hAnsi="Calibri"/>
          <w:b/>
          <w:bCs/>
          <w:color w:val="1F4E5F"/>
          <w:sz w:val="23"/>
          <w:szCs w:val="23"/>
        </w:rPr>
        <w:t xml:space="preserve">Education, Certifications &amp; Professional Development</w:t>
      </w:r>
    </w:p>
    <w:p>
      <w:pPr>
        <w:spacing w:after="30" w:line="240"/>
      </w:pPr>
      <w:r>
        <w:rPr>
          <w:rFonts w:ascii="Calibri" w:cs="Calibri" w:eastAsia="Calibri" w:hAnsi="Calibri"/>
          <w:b/>
          <w:bCs/>
          <w:sz w:val="19"/>
          <w:szCs w:val="19"/>
        </w:rPr>
        <w:t xml:space="preserve">BSc (Hons) Business Information Technology</w:t>
      </w:r>
      <w:r>
        <w:rPr>
          <w:rFonts w:ascii="Calibri" w:cs="Calibri" w:eastAsia="Calibri" w:hAnsi="Calibri"/>
          <w:sz w:val="19"/>
          <w:szCs w:val="19"/>
        </w:rPr>
        <w:t xml:space="preserve"> - Leeds Beckett University</w:t>
      </w:r>
    </w:p>
    <w:p>
      <w:pPr>
        <w:spacing w:after="60" w:line="240"/>
      </w:pPr>
      <w:r>
        <w:rPr>
          <w:rFonts w:ascii="Calibri" w:cs="Calibri" w:eastAsia="Calibri" w:hAnsi="Calibri"/>
          <w:b/>
          <w:bCs/>
          <w:sz w:val="19"/>
          <w:szCs w:val="19"/>
        </w:rPr>
        <w:t xml:space="preserve">Higher National Diploma, Mathematics</w:t>
      </w:r>
      <w:r>
        <w:rPr>
          <w:rFonts w:ascii="Calibri" w:cs="Calibri" w:eastAsia="Calibri" w:hAnsi="Calibri"/>
          <w:sz w:val="19"/>
          <w:szCs w:val="19"/>
        </w:rPr>
        <w:t xml:space="preserve"> - Leeds Beckett University</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AI-DLC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AWS AI-PDLC — Amazon Web Services (2026)</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SAFe Release Train Engineer (RTE) &amp; Leading SAFe</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Scrum Master · Certified Scrum Product Owner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PRINCE2 Foundation and Practitioner</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Management 3.0 Certified</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TOGAF 9 Foundation · ITIL v3 Foundation</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DSDM Foundation and Practitioner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Six Sigma Black Belt</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IOSH — Occupational Safety and Health</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Professional Member, Chartered Institute for IT (MBCS)</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10+ Microsoft Technical Certifications</w:t>
            </w:r>
          </w:p>
        </w:tc>
      </w:tr>
    </w:tbl>
    <w:sectPr>
      <w:pgSz w:w="11906" w:h="16838" w:orient="portrait"/>
      <w:pgMar w:top="640" w:right="720" w:bottom="64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76z0fsdlpqdk2j-fw-b4"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CV — Xero Head of Product, AI Shared Services</dc:title>
  <dc:creator>David Weir</dc:creator>
  <cp:lastModifiedBy>Un-named</cp:lastModifiedBy>
  <cp:revision>1</cp:revision>
  <dcterms:created xsi:type="dcterms:W3CDTF">2026-10-21T03:03:59.945Z</dcterms:created>
  <dcterms:modified xsi:type="dcterms:W3CDTF">2026-10-21T03:03:59.945Z</dcterms:modified>
</cp:coreProperties>
</file>

<file path=docProps/custom.xml><?xml version="1.0" encoding="utf-8"?>
<Properties xmlns="http://schemas.openxmlformats.org/officeDocument/2006/custom-properties" xmlns:vt="http://schemas.openxmlformats.org/officeDocument/2006/docPropsVTypes"/>
</file>