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SimSong" w:hAnsi="SimSong" w:eastAsia="SimSong"/>
          <w:b/>
          <w:color w:val="1F2937"/>
          <w:sz w:val="48"/>
        </w:rPr>
        <w:t>租赁项目设计文档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版本：V3.0（1.0 需求基线）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更新日期：2026-07-28</w:t>
      </w:r>
    </w:p>
    <w:p>
      <w:pPr>
        <w:spacing w:after="120"/>
      </w:pPr>
      <w:r>
        <w:rPr>
          <w:rFonts w:ascii="SimSong" w:hAnsi="SimSong" w:eastAsia="SimSong"/>
        </w:rPr>
        <w:t>本文是迁渃租赁平台的总体产品与系统设计。最新需求基线来自 docs/design 下三个 1.0- 开头的 Word 文档，实施差异见1.0 需求基线与实施差异（./1.0需求基线与实施差异.md），当前真实运行边界见项目架构图（./项目架构图.md）。同名 DOCX 为同步排版交付件，研发以本 Markdown 版本作为持续维护源。</w:t>
      </w:r>
    </w:p>
    <w:p>
      <w:pPr>
        <w:pStyle w:val="Heading2"/>
      </w:pPr>
      <w:r>
        <w:t>1. 产品定位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迁渃是面向租赁商户的多维订单与库存协同平台，围绕“商户入驻、商品建档、订单录入、库存预测、仓库作业、物流履约、归还验机、售后完结、资金与证据留存”形成闭环，并通过联盟、订单大厅、小程序、免押和周转市场扩展跨主体协作。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系统不只是订单录入工具，还承担以下职责：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以单台 SN、配件 ID、套餐 BOM 和仓库为基础建立可追溯库存。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以订单租期和物流节点预测未来 30 天每日可用库存。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让平台、商户、员工、仓库和客户在各自权限边界内完成协作。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通过不可变日志、合同、协议、财务流水和证据文件支撑合规与纠纷处理。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通过增值服务、物流服务、分账、免押、联盟和信息发布形成商业化能力。</w:t>
      </w:r>
    </w:p>
    <w:p>
      <w:pPr>
        <w:pStyle w:val="Heading2"/>
      </w:pPr>
      <w:r>
        <w:t>2. 产品边界</w:t>
      </w:r>
    </w:p>
    <w:p>
      <w:pPr>
        <w:pStyle w:val="Heading3"/>
      </w:pPr>
      <w:r>
        <w:t>2.1 平台负责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平台用户、角色、菜单、部门和操作审计。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商户注册审核、认证资料、会员类型、接单资格、冻结、黑名单和信用治理。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协议版本、全局商品标准、增值服务、支付/发票/接口/风控等全局参数。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全平台会员、订单、库存、物流、售后、财务、城市和商品趋势分析。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客服工单、售后介入、联盟纠纷、保证金冻结、合同证据和违规内容下架。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数据备份、容量监控、业务告警和审计归档。</w:t>
      </w:r>
    </w:p>
    <w:p>
      <w:pPr>
        <w:pStyle w:val="Heading3"/>
      </w:pPr>
      <w:r>
        <w:t>2.2 商户负责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本主体员工、角色、菜单和仓库权限。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店铺、来源、上门时间、库存阈值、展示方式、小程序和联系方式设置。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商品、配件、SN、套餐、仓库、订单、物流、归还验机、售后和盘点。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内部工作任务、质检评分、通知、私有知识库、操作记录和回收站。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本商户联盟、订单大厅、赔付模板、增值服务、物流和财务台账。</w:t>
      </w:r>
    </w:p>
    <w:p>
      <w:pPr>
        <w:pStyle w:val="Heading3"/>
      </w:pPr>
      <w:r>
        <w:t>2.3 平台明确不负责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周转市场不承接买卖支付、交易担保或交易结算。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会员自主赔付条款由双方约定，平台只提供展示、下架、调解和证据载体。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未经双方确认，平台不能从履约保证金中强制扣款。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套餐不是独立实物库存，不能脱离商品和配件库存单独增减。</w:t>
      </w:r>
    </w:p>
    <w:p>
      <w:pPr>
        <w:pStyle w:val="Heading2"/>
      </w:pPr>
      <w:r>
        <w:t>3. 用户与权限体系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用户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主要能力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核心限制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平台超级管理员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全局配置、协议、认证、审计、财务、风控和明文敏感数据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高风险操作全部审计，日志不可删除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平台运营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商户审核、公告、内容治理、经营分析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无财务扣款和敏感数据批量导出权限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平台财务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账户、分账、提现、发票和财务报表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不维护商户订单和库存业务数据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平台售后/客服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工单、售后、纠纷材料和处理时间线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扣款、退款和冻结需独立权限或复核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商户所有者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本主体全部菜单、仓库、员工和业务数据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不可访问其他商户数据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商户管理员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被授权的员工、角色、仓库和业务配置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权限不超过所有者授予范围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商户财务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本主体收入、增值账户、发票和账单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不操作发货、SN 删除和员工权限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仓库员工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授权仓库订单、备货、扫码、验机和盘点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默认看不到其他仓库和完整财务数据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普通员工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录单、备注、视频和分配任务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客户敏感字段按权限脱敏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客户/访客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手机号或微信验证后查询自己的订单、归还和视频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只能访问手机号匹配的未完结订单，不能修改归还仓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商户主体按业务资格分为个人会员、普通企业会员和入驻会员。会员类型决定互助订单和小程序散客单的承接资格，但不能替代用户角色、菜单和仓库权限。</w:t>
      </w:r>
    </w:p>
    <w:p>
      <w:pPr>
        <w:pStyle w:val="Heading2"/>
      </w:pPr>
      <w:r>
        <w:t>4. 端与服务设计</w:t>
      </w:r>
    </w:p>
    <w:p>
      <w:pPr>
        <w:pStyle w:val="Heading3"/>
      </w:pPr>
      <w:r>
        <w:t>4.1 平台端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admin-web 面向平台内部人员，使用 X-Client-Type: platform 和 /admin/ 平台系统命名空间。平台租赁治理接口应使用独立的平台业务前缀，不调用商户 Controller。</w:t>
      </w:r>
    </w:p>
    <w:p>
      <w:pPr>
        <w:pStyle w:val="Heading3"/>
      </w:pPr>
      <w:r>
        <w:t>4.2 商户端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merchant-web 面向商户及员工，使用 X-Client-Type: merchant，所有接口位于 /merchant/。登录态由服务端写入 tenant_id、member_id、商户身份和仓库范围，业务请求不得信任前端传入的隔离字段。</w:t>
      </w:r>
    </w:p>
    <w:p>
      <w:pPr>
        <w:pStyle w:val="Heading3"/>
      </w:pPr>
      <w:r>
        <w:t>4.3 客户端与开放入口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客户通过微信小程序、公众号或 H5 完成手机号验证、协议确认、订单查询、归还物流下单和视频查看。开放接口使用短期会话和独立限流，不复用商户后台令牌。</w:t>
      </w:r>
    </w:p>
    <w:p>
      <w:pPr>
        <w:pStyle w:val="Heading3"/>
      </w:pPr>
      <w:r>
        <w:t>4.4 后端领域边界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platform-service：平台身份、商户治理、协议、全局配置和平台审计入口。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merchant-service：商户身份、角色菜单、商户上下文、个人资料、设置和商户操作日志。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rental-business：商品、套餐、SN、仓库、订单、库存、核销和售后。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rental-logistics：物流下单、路由、时效、天气、客户归还和承运商适配。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rental-finance：账户、不可变流水、保证金、分账、提现、发票和增值服务。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rental-operations：工作任务、内部通知、知识库、工单、合同和证据留存。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rental-alliance：联盟关系、共享库存、定向订单、公众池和纠纷协作。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rental-market：周转信息、私信、关注、举报和信息发布保证金。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业务初期允许将规划服务实现为独立 Maven 子模块，但 Controller、数据所有权和接口契约必须保持上述边界，不能重新塞回平台或商户身份服务。</w:t>
      </w:r>
    </w:p>
    <w:p>
      <w:pPr>
        <w:pStyle w:val="Heading2"/>
      </w:pPr>
      <w:r>
        <w:t>5. 核心功能架构</w:t>
      </w:r>
    </w:p>
    <w:p>
      <w:pPr>
        <w:pStyle w:val="Heading3"/>
      </w:pPr>
      <w:r>
        <w:t>5.1 入驻、认证与协议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手机号验证码提交商户资料，状态进入待审核；驳回后通过同一手机号查询、修改并重新提交。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审核通过后幂等开通商户所有者，首次验证码登录后进入独立初始化密码页。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认证材料包含身份证、营业执照、负责人芝麻分截图和人脸核验结果；材料及审核记录永久留档。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用户服务协议、隐私政策、物流免责协议、访客告知和互助协议独立版本化，可按网页/小程序配置生效范围。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新协议生效后，旧用户下一次进入对应终端必须确认具体版本后才能继续。</w:t>
      </w:r>
    </w:p>
    <w:p>
      <w:pPr>
        <w:pStyle w:val="Heading3"/>
      </w:pPr>
      <w:r>
        <w:t>5.2 首页与我的工作台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首页支持所有仓库或授权仓库筛选，展示今日待发、待归还、预计到库、签收、晚到、售后，及明日待寄、逾期、月订单和营收指标。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商品收益分析按主商品统计库存、出租次数、租金、采购/维修成本和投入产出比。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租赁地图只展示城市级聚合，不暴露客户精确地址。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所有商户业务页面提供“我的工作台”，承载管理任务、个人任务、完成说明、超时提醒、质检备注、员工已阅和每日评分。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工作台同时展示未来 30 天库存小于等于 1 的日期和商品，数据来自库存快照而非前端计算。</w:t>
      </w:r>
    </w:p>
    <w:p>
      <w:pPr>
        <w:pStyle w:val="Heading3"/>
      </w:pPr>
      <w:r>
        <w:t>5.3 订单中心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支持手工录入和复制文本解析；图片识别保留为后续能力。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姓名和手机号至少填写一个，品牌型号使用平台标准库，商户可配置常用范围。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录单时检查租期内可接单库存和总库存，并根据收货地址、仓库库存、调货能力和物流时效推荐发货仓与上门时间。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订单保存编辑前后值、抽检批注、已阅人和备注；抽检后置顶，员工已阅后取消置顶。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支持 SN 后绑定、系统/人工快递单、发货视频、转寄、跨仓归还、归还验机、售后、打印面单/码和可完结队列。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商户只能按筛选条件导出自己录入的订单；互助订单和外部小程序派单按规则脱敏且禁止批量导出。</w:t>
      </w:r>
    </w:p>
    <w:p>
      <w:pPr>
        <w:pStyle w:val="Heading3"/>
      </w:pPr>
      <w:r>
        <w:t>5.4 商品、仓库与库存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平台维护一级、二级和官方三级分类及品牌型号；商户只新增允许的三级分类和非标准型号。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主商品强制商品编号；配件支持逐件 ID 和总数模式，总数模式也要生成可追踪虚拟 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套餐是录单模板，BOM 展示实际商品与配件约束，多个套餐共享同一实物库存。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预计库存按未来 30 天逐日独立重算，并能穿透到订单、物流、SN 和异常原因。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库存阈值支持全局百分比、单型号百分比和保护个数，百分比只向上取整。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智能仓调、智能转发和自动仓调只给出候选方案，最终由有权限人员确认。</w:t>
      </w:r>
    </w:p>
    <w:p>
      <w:pPr>
        <w:pStyle w:val="Heading3"/>
      </w:pPr>
      <w:r>
        <w:t>5.5 核销、物流与时效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商品码支持入库、租赁出库、出售/临时出库和连续盘点，异常只展示异常清单。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快递码优先匹配已录单号；未录单号时按手机号首尾、姓氏、仓库地址和当日候选订单匹配，冲突时人工选择。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顺丰和京东为主路由，分别执行全站 10 次/秒限流；超限排队到下一秒并返回查询中状态。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快递 100/快递鸟作为次路由；美团用于跑腿；天气在发货日前一日 13:00-15:00 分批查询。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历史线路时效形成样本库，成熟后可用于初选，发货前仍由承运商接口复核。</w:t>
      </w:r>
    </w:p>
    <w:p>
      <w:pPr>
        <w:pStyle w:val="Heading3"/>
      </w:pPr>
      <w:r>
        <w:t>5.6 客户小程序、公众号与免押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手机号验证码或微信授权仅匹配该号码的未完结订单；协议必须由客户主动勾选。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客户可查看订单、物流、发货/拆箱视频、使用手册和商户联系方式，并从订单发起归还物流服务。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归还仓由订单锁定，客户不可修改；客户可修改自己的取件位置和联系信息。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商户会员可在小程序上传发货视频并使用扫码能力。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免押包括人脸认证、合同模板、补充协议、免押策略、免押码、预授权和完结后 48 小时内自动解冻。</w:t>
      </w:r>
    </w:p>
    <w:p>
      <w:pPr>
        <w:pStyle w:val="Heading3"/>
      </w:pPr>
      <w:r>
        <w:t>5.7 内容、任务与回收站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商户内部通知仅对本主体员工或指定员工组可见，支持生效/下线、置顶、附件和已读记录。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私有知识库支持多级分类、富文本、PDF/图片/视频、员工组权限、置顶和阅读统计；历史版本保存 3 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平台超级管理员仅在合规治理权限下查看和下架违规内容，不能修改或删除商户原文。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商户编辑/删除操作保存原内容；普通删除进入 30 天回收站，可按条恢复并记录恢复日志。</w:t>
      </w:r>
    </w:p>
    <w:p>
      <w:pPr>
        <w:pStyle w:val="Heading3"/>
      </w:pPr>
      <w:r>
        <w:t>5.8 售后、工单、联盟与市场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所有需人工审核事项进入统一客服工单，包括认证、售后、开票、赔付、退款和内容申诉。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联盟可按成员配置商品可见范围、可租库存比例和汇总/成员视图，默认只共享商品编号库存，不共享套餐库存。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定向订单可拒绝后回到联盟公众池；接单前确认平台协议和赔付规则，履约中客户信息按阶段脱敏。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纠纷只冻结预估赔付额度，调解 90 天，到期自动解冻；双方共同确认后才能扣款。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周转市场只提供标准化信息、意向、私信、举报和风控，不提供交易支付。</w:t>
      </w:r>
    </w:p>
    <w:p>
      <w:pPr>
        <w:pStyle w:val="Heading3"/>
      </w:pPr>
      <w:r>
        <w:t>5.9 财务、商业化与经营分析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增值充值账户、履约保证金账户、租金/分账账户分离，所有资金变化追加不可变流水。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平台统计已开票和无票收入、退款、净额、支付方式及红冲；同一订单只允许成功开票一次。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分账、提现和资金到账分别建台账并接受平台审核；手续费和通道流水可追溯。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商业化包括会员套餐、存储包、通知包、信息发布、物流服务、推广、免押和第三方风控。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城市、会员、商品、订单、库存和物流指标由统一口径的聚合任务生成，支持日/月/季/年筛选和报表导出。</w:t>
      </w:r>
    </w:p>
    <w:p>
      <w:pPr>
        <w:pStyle w:val="Heading2"/>
      </w:pPr>
      <w:r>
        <w:t>6. 数据与安全设计</w:t>
      </w:r>
    </w:p>
    <w:p>
      <w:pPr>
        <w:pStyle w:val="Heading3"/>
      </w:pPr>
      <w:r>
        <w:t>6.1 数据所有权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 IAM 数据归 ry-cloud，商户身份与租赁业务数据归 ry_rental。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现有 49 张租赁表覆盖商户、商品、订单、库存、物流、售后、基础财务、联盟和市场。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协议、认证材料、工作任务、知识库、工单、纠纷冻结、资金账户、分账提现、发票和运维事件按实施差异（./1.0需求基线与实施差异.md）新增表组。</w:t>
      </w:r>
    </w:p>
    <w:p>
      <w:pPr>
        <w:pStyle w:val="Heading3"/>
      </w:pPr>
      <w:r>
        <w:t>6.2 安全不变量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平台和商户 Controller、权限码、菜单、令牌与缓存命名空间完全分离。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商户查询强制 tenant_id + member_id，仓库动作再校验 warehouse_id。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客户敏感数据默认脱敏；明文查看、导出、复制、退款、冻结和扣款均记录审计。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审计日志不可编辑删除，至少保留 3 年；未办结纠纷和争议证据永久保留。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资金流水、库存流水、协议版本和合同证据采用追加式记录，不允许覆盖历史。</w:t>
      </w:r>
    </w:p>
    <w:p>
      <w:pPr>
        <w:pStyle w:val="Heading3"/>
      </w:pPr>
      <w:r>
        <w:t>6.3 非功能要求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订单、SN、库存预占、资金扣减、冻结和幂等回调必须事务化并防重复。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外部接口通过统一适配层处理签名、超时、重试、限流、熔断、降级和调用日志。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数据库每日自动备份并保留 7 天；审计和财务日志支持按月打包。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支付回调失败、消息失败、存储不足、任务失败和外部接口持续异常生成后台告警。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文件使用私有存储和临时访问 URL，容量变化写入配额流水；删除商户文件不影响平台合规留存副本。</w:t>
      </w:r>
    </w:p>
    <w:p>
      <w:pPr>
        <w:pStyle w:val="Heading2"/>
      </w:pPr>
      <w:r>
        <w:t>7. 实施状态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层级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双前端、平台/商户身份隔离、商户注册审核、首次密码、仓库权限、商户操作日志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已完成第 1 阶段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商品、SN、套餐、订单、库存、物流、售后、联盟、市场基础数据表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已建表待实现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协议、完整认证、任务、回收站、知识库、工单、合同、资金账户、分账提现、发票、接口治理、运维事件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1.0 新增规划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任何“完成”判断必须同时验证前后端流程、数据隔离、权限、状态机、审计、异常分支和部署环境，不能以页面存在或 SQL 已创建代替。</w:t>
      </w:r>
    </w:p>
    <w:p>
      <w:pPr>
        <w:pStyle w:val="Heading2"/>
      </w:pPr>
      <w:r>
        <w:t>8. 相关文档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1.0 需求基线与实施差异（./1.0需求基线与实施差异.md）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租赁项目详细功能规格书（./租赁项目详细功能规格书.md）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RuoYi-Cloud 开发计划（./租赁系统RuoYi-Cloud开发计划.md）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项目架构图（./项目架构图.md）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第 1 阶段完成状态（./第1阶段完成状态.md）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原始文档抽取汇总（./租赁项目原始文档抽取汇总.md）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ong" w:hAnsi="SimSong" w:eastAsia="SimSong"/>
        <w:color w:val="4B5563"/>
        <w:sz w:val="17"/>
      </w:rPr>
      <w:t xml:space="preserve">第 </w:t>
    </w:r>
    <w:fldSimple w:instr="PAGE"/>
    <w:r>
      <w:rPr>
        <w:rFonts w:ascii="SimSong" w:hAnsi="SimSong" w:eastAsia="SimSong"/>
        <w:color w:val="4B556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ong" w:hAnsi="SimSong" w:eastAsia="SimSong"/>
        <w:color w:val="4B5563"/>
        <w:sz w:val="17"/>
      </w:rPr>
      <w:t>迁渃租赁平台  |  租赁项目设计文档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imSong" w:hAnsi="SimSong" w:eastAsia="SimSong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imSong" w:hAnsi="SimSong" w:eastAsia="SimSong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SimSong" w:hAnsi="SimSong" w:eastAsia="SimSong"/>
      <w:b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SimSong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SimSong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租赁项目设计文档</dc:title>
  <dc:subject>迁渃租赁平台 1.0 需求基线研发文档</dc:subject>
  <dc:creator>迁渃项目组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