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SimSong" w:hAnsi="SimSong" w:eastAsia="SimSong"/>
          <w:b/>
          <w:color w:val="1F2937"/>
          <w:sz w:val="48"/>
        </w:rPr>
        <w:t>租赁系统 RuoYi-Cloud 开发计划</w:t>
      </w:r>
    </w:p>
    <w:p>
      <w:pPr>
        <w:spacing w:after="120"/>
      </w:pPr>
      <w:r>
        <w:rPr>
          <w:rFonts w:ascii="SimSong" w:hAnsi="SimSong" w:eastAsia="SimSong"/>
          <w:b/>
          <w:color w:val="4B5563"/>
          <w:sz w:val="19"/>
        </w:rPr>
        <w:t>版本：V3.0（1.0 需求基线）</w:t>
      </w:r>
    </w:p>
    <w:p>
      <w:pPr>
        <w:spacing w:after="120"/>
      </w:pPr>
      <w:r>
        <w:rPr>
          <w:rFonts w:ascii="SimSong" w:hAnsi="SimSong" w:eastAsia="SimSong"/>
        </w:rPr>
        <w:t>更新日期：2026-07-30</w:t>
      </w:r>
    </w:p>
    <w:p>
      <w:pPr>
        <w:spacing w:after="120"/>
      </w:pPr>
      <w:r>
        <w:rPr>
          <w:rFonts w:ascii="SimSong" w:hAnsi="SimSong" w:eastAsia="SimSong"/>
          <w:b/>
          <w:color w:val="4B5563"/>
          <w:sz w:val="19"/>
        </w:rPr>
        <w:t>技术基线：RuoYi-Cloud 3.6.8、Java 17、Vue 3、MySQL、Redis、Nacos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本文按最新三个 1.0 Word 文档重排研发阶段。需求规则与实施差异见1.0 需求基线与实施差异（./1.0需求基线与实施差异.md），当前已经实现的事实见第 1 阶段完成状态（./第1阶段完成状态.md）。</w:t>
      </w:r>
    </w:p>
    <w:p>
      <w:pPr>
        <w:pStyle w:val="Heading2"/>
      </w:pPr>
      <w:r>
        <w:t>1. 计划原则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平台端和商户端用户、角色、菜单、权限、Controller、令牌和缓存命名空间彻底隔离，不提供旧路径兼容分支。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商户所有业务接口统一位于 /merchant/，由服务端登录态提供 tenant_id + member_id + warehouse_scope。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平台治理接口使用独立平台命名空间；跨商户查询必须显式授权并审计。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商品、订单、库存、物流、资金、协议和证据都以状态机和不可变流水为核心，不以普通 CRUD 代替业务流程。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先完成数据模型、服务边界和异常规则，再批量生成基础页面；复杂状态机、库存算法和财务流水手写实现。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每个阶段必须同时交付迁移、后端、前端、权限、审计、测试、部署和文档，不能只交付页面骨架。</w:t>
      </w:r>
    </w:p>
    <w:p>
      <w:pPr>
        <w:pStyle w:val="Heading2"/>
      </w:pPr>
      <w:r>
        <w:t>2. 状态定义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状态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已完成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已实现并通过当前仓库记录的构建、接口或部署验证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进行中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已有部分实现，尚未满足阶段验收门禁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已建表待实现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数据表已存在，但业务服务、前端流程或测试尚未完成</w:t>
            </w:r>
          </w:p>
        </w:tc>
      </w:tr>
      <w:tr>
        <w:trPr>
          <w:cantSplit/>
        </w:trPr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规划</w:t>
            </w:r>
          </w:p>
        </w:tc>
        <w:tc>
          <w:tcPr>
            <w:tcW w:type="dxa" w:w="4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最新 1.0 需求已定义，当前尚未完整建模或编码</w:t>
            </w:r>
          </w:p>
        </w:tc>
      </w:tr>
    </w:tbl>
    <w:p>
      <w:pPr>
        <w:spacing w:after="20"/>
      </w:pPr>
    </w:p>
    <w:p>
      <w:pPr>
        <w:pStyle w:val="Heading2"/>
      </w:pPr>
      <w:r>
        <w:t>3. 工程与服务边界</w:t>
      </w:r>
    </w:p>
    <w:p>
      <w:pPr>
        <w:pStyle w:val="Heading3"/>
      </w:pPr>
      <w:r>
        <w:t>3.1 当前运行模块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职责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admin-web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平台运营、财务、客服、风控和系统管理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已完成基础骨架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merchant-web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商户管理员与员工业务后台、公开入驻入口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已完成基础骨架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ruoyi-gateway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路由、鉴权前置、终端校验和限流入口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ruoyi-auth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平台密码登录、商户密码/验证码登录、令牌签发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platform-service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平台 IAM、商户审核和平台治理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merchant-service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商户 IAM、上下文、角色菜单、个人中心和操作日志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ruoyi-file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私有文件上传、下载、删除和对象存储适配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ruoyi-job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Quartz 调度和执行日志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已运行</w:t>
            </w:r>
          </w:p>
        </w:tc>
      </w:tr>
    </w:tbl>
    <w:p>
      <w:pPr>
        <w:spacing w:after="20"/>
      </w:pPr>
    </w:p>
    <w:p>
      <w:pPr>
        <w:pStyle w:val="Heading3"/>
      </w:pPr>
      <w:r>
        <w:t>3.2 目标业务模块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业务所有权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  <w:shd w:fill="E8F0FE"/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/>
                <w:color w:val="1F2937"/>
                <w:sz w:val="18"/>
              </w:rPr>
              <w:t>初期实现策略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rental-business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商品、SN、配件、套餐、仓库、订单、库存、核销和售后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优先新增独立服务，内部按领域包拆分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rental-logistics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承运商、下单、路由、时效、天气、客户归还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可先作为独立模块，与业务服务只通过契约交互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rental-finance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资金账户、流水、冻结、分账、提现、发票和增值服务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先完成模型评审再编码，禁止借用单余额字段过渡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rental-operations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工作任务、通知、知识库、客服工单、协议、合同和证据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可按工作协作、内容、工单三个子模块实现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rental-alliance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联盟关系、共享库存、协作订单和纠纷关联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主流程稳定后独立开发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rental-market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周转信息、私信、关注、举报和信息发布保证金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后置开发，不实现交易支付</w:t>
            </w:r>
          </w:p>
        </w:tc>
      </w:tr>
      <w:tr>
        <w:trPr>
          <w:cantSplit/>
        </w:trPr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rental-integration</w:t>
            </w:r>
          </w:p>
        </w:tc>
        <w:tc>
          <w:tcPr>
            <w:tcW w:type="dxa" w:w="31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顺丰、京东、快递次路由、天气、微信、支付宝、e签宝和风控适配</w:t>
            </w:r>
          </w:p>
        </w:tc>
        <w:tc>
          <w:tcPr>
            <w:tcW w:type="dxa" w:w="317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  <w:insideH w:val="single" w:sz="4" w:color="D1D5DB"/>
              <w:insideV w:val="single" w:sz="4" w:color="D1D5DB"/>
            </w:tcBorders>
          </w:tcPr>
          <w:p>
            <w:pPr>
              <w:spacing w:after="0" w:line="252" w:lineRule="auto"/>
            </w:pPr>
            <w:r>
              <w:rPr>
                <w:rFonts w:ascii="SimSong" w:hAnsi="SimSong" w:eastAsia="SimSong"/>
                <w:b w:val="0"/>
                <w:color w:val="1F2937"/>
                <w:sz w:val="18"/>
              </w:rPr>
              <w:t>初期为共享适配模块，禁止业务代码直连第三方 SDK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目标模块可以分阶段上线，但不得把租赁业务重新写入 platform-service 或 merchant-service。身份服务只提供可信上下文和授权，业务数据由所属领域服务维护。</w:t>
      </w:r>
    </w:p>
    <w:p>
      <w:pPr>
        <w:pStyle w:val="Heading2"/>
      </w:pPr>
      <w:r>
        <w:t>4. 全局工程任务</w:t>
      </w:r>
    </w:p>
    <w:p>
      <w:pPr>
        <w:pStyle w:val="Heading3"/>
      </w:pPr>
      <w:r>
        <w:t>4.1 安全与隔离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所有租赁业务表包含 tenant_id + member_id；商户 Mapper 的查询、导出、修改、删除和批量授权都必须使用两个隔离键。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仓库相关操作统一调用 MerchantContextUtils.checkWarehouseAccess(warehouseId) 或等价公共守卫。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客户姓名、手机号、地址、芝麻分、身份证和营业执照默认脱敏；明文查看、导出和复制单独授权并记录审计。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平台、商户、客户开放接口使用不同权限域和会话；禁止通过请求参数切换身份体系。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登录、验证码、物流查询、上传、市场发布、私信、举报、支付回调和第三方接口按用户、IP、设备、租户多维限流。</w:t>
      </w:r>
    </w:p>
    <w:p>
      <w:pPr>
        <w:pStyle w:val="Heading3"/>
      </w:pPr>
      <w:r>
        <w:t>4.2 数据与事务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订单创建、库存预占、SN 绑定、发货、归还、完结、调货、盘点、资金冻结和扣款必须事务化。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关键请求使用幂等键和唯一约束；支付、物流和授权回调保存提供方事件 ID，重复回调返回原结果。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库存与财务只通过追加流水变化；禁止直接覆盖历史余额、SN 状态或财务记录。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所有时间统一使用 Asia/Shanghai 业务时区；数据库、JVM、JSON 和前端展示格式保持一致。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删除采用业务软删除或 30 天回收站；不可恢复的审计、财务、合同和争议证据不进入普通删除流程。</w:t>
      </w:r>
    </w:p>
    <w:p>
      <w:pPr>
        <w:pStyle w:val="Heading3"/>
      </w:pPr>
      <w:r>
        <w:t>4.3 外部接口治理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统一定义 provider、能力、优先级、签名、超时、重试、限流、熔断、降级和调用日志。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顺丰和京东分别执行全站 10 次/秒限流，超出请求排到下一秒并返回可轮询的查询中状态。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快递 100/快递鸟只作为次路由；所有降级必须记录原因，不能静默返回伪造时效。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天气查询按发货日前一日 13:00-15:00 分片执行；历史线路时效由定时任务聚合。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第三方密钥只来自配置中心或密钥管理，不写入数据库明文字段、源码或前端环境变量。</w:t>
      </w:r>
    </w:p>
    <w:p>
      <w:pPr>
        <w:pStyle w:val="Heading3"/>
      </w:pPr>
      <w:r>
        <w:t>4.4 可观测与合规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平台管理员、商户员工和访客操作日志分表或分存储，权限与留存策略独立。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审计日志不可编辑删除，至少保留 3 年；未办结纠纷、认证材料和争议证据按规则永久保留。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支付回调失败、消息失败、定时任务失败、存储不足和外部接口连续异常生成告警事件。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数据库每日自动备份，备份包保留 7 天；审计和财务日志支持按月打包导出。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核心接口输出 trace ID，外部接口调用、异步任务和工单事件可串联追踪。</w:t>
      </w:r>
    </w:p>
    <w:p>
      <w:pPr>
        <w:pStyle w:val="Heading2"/>
      </w:pPr>
      <w:r>
        <w:t>5. 前端任务拆分</w:t>
      </w:r>
    </w:p>
    <w:p>
      <w:pPr>
        <w:pStyle w:val="Heading3"/>
      </w:pPr>
      <w:r>
        <w:t>5.1 商户端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首页与全局工作台：仓库筛选、今日/汇总指标、库存风险、任务、完成说明、抽检和评分。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订单中心：录单、复制解析、库存/时效校验、订单详情、编辑记录、批注已阅、状态操作和受限导出。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商品与仓库：标准型号、常用型号、商品、SN、配件、套餐、仓库、库存快照、调货、盘点和扫码。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物流与客户服务：快递下单、路由、时效、归还物流、视频、客户小程序和公众号配置。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员工协作：用户、角色、菜单、仓库权限、任务、内部通知、知识库、操作记录和回收站。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商业与协作：账户、发票、增值服务、联盟、订单大厅、赔付模板、免押和市场。</w:t>
      </w:r>
    </w:p>
    <w:p>
      <w:pPr>
        <w:pStyle w:val="Heading3"/>
      </w:pPr>
      <w:r>
        <w:t>5.2 平台端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平台治理：协议版本、商品标准、会员权限模板、全局参数、增值服务和消息通知。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商户与认证：注册审核、材料、会员类型、接单资格、信用、黑名单、冻结和申诉。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全局业务：订单大厅、库存、订单、物流、售后、客服工单、合同和证据。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财务与风控：账户、分账、提现、开票、红冲、保证金、纠纷冻结、退款和异常账单。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经营与运维：城市/商品趋势、活跃度、推广、审计、容量、备份、告警和任务监控。</w:t>
      </w:r>
    </w:p>
    <w:p>
      <w:pPr>
        <w:pStyle w:val="Heading3"/>
      </w:pPr>
      <w:r>
        <w:t>5.3 共享前端能力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脱敏文本、明文查看审计、仓库选择器、SN 选择器、商品套餐选择器、状态时间线和库存穿透。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私有上传、附件预览、协议确认、富文本安全渲染、版本对比和审计日志抽屉。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统一的金额、日期、手机号、证件、枚举和错误码展示；禁止页面自行计算核心库存或财务口径。</w:t>
      </w:r>
    </w:p>
    <w:p>
      <w:pPr>
        <w:pStyle w:val="Heading2"/>
      </w:pPr>
      <w:r>
        <w:t>6. 数据库演进计划</w:t>
      </w:r>
    </w:p>
    <w:p>
      <w:pPr>
        <w:pStyle w:val="Heading3"/>
      </w:pPr>
      <w:r>
        <w:t>6.1 现有表继续使用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当前 ry_rental 的 49 张表继续承载商户身份、仓库、商品、SN、套餐、客户、订单、库存、物流、媒体、售后、基础财务、联盟、市场、授权、分享、免押、幂等和审计。</w:t>
      </w:r>
    </w:p>
    <w:p>
      <w:pPr>
        <w:pStyle w:val="Heading3"/>
      </w:pPr>
      <w:r>
        <w:t>6.2 新增表组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协议：协议、版本、接受记录。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认证信用：认证批次、认证材料、信用事件、黑名单记录。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工作协作：任务、指派、提交、质检评分、回收站。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内容：内部通知、受众、已读，知识分类、文章、版本和阅读记录。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工单证据：客服工单、分配、事件、附件，合同模板、订单合同和签约证据。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财务：资金账户、账户流水、冻结记录、分账、结算、提现、开票申请和红冲。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接口运维：提供方、调用日志、历史时效样本、容量流水、告警事件和备份记录。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访客：访客会话、协议接受和访客操作日志。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每个表组先提交 ER 图、字段字典、唯一约束、租户索引、状态枚举、留存策略和迁移回滚说明，再编写正式迁移。</w:t>
      </w:r>
    </w:p>
    <w:p>
      <w:pPr>
        <w:pStyle w:val="Heading2"/>
      </w:pPr>
      <w:r>
        <w:t>7. 分阶段开发计划</w:t>
      </w:r>
    </w:p>
    <w:p>
      <w:pPr>
        <w:pStyle w:val="Heading3"/>
      </w:pPr>
      <w:r>
        <w:t>第 0 阶段：工程和部署基线（已完成）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建立后端、双前端、MySQL、Redis、Nacos、文件和任务服务的一键部署链路。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统一 Java 17、Node、MySQL、时区、镜像和环境变量基线。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验收：本地 Docker 可重复启动，基础服务健康检查通过，部署不强制重复拉取已有镜像。</w:t>
      </w:r>
    </w:p>
    <w:p>
      <w:pPr>
        <w:pStyle w:val="Heading3"/>
      </w:pPr>
      <w:r>
        <w:t>第 1 阶段：双端身份、商户入驻与权限骨架（已完成）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平台与商户用户、角色、菜单、Controller、会话和接口命名空间彻底拆分。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完成公开入驻、平台审核、驳回重提、审核后开通管理员、首次验证码登录和初始化密码。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完成商户上下文、仓库范围、商户用户权限、会话失效和商户操作日志。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验收结果见第 1 阶段完成状态（./第1阶段完成状态.md）。</w:t>
      </w:r>
    </w:p>
    <w:p>
      <w:pPr>
        <w:pStyle w:val="Heading3"/>
      </w:pPr>
      <w:r>
        <w:t>第 2 阶段：治理基础与业务主数据（3 周，下一阶段）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协议版本与接受记录、商户完整认证材料、三类会员和接单资格。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平台商品分类/品牌型号、商户常用型号、仓库、商品、SN、配件、排他资源池、版本化套餐 BOM、可切换容量方案和来源设置。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文件私有访问、配额流水、数据字典、统一错误码和 OpenAPI 契约。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完成租赁业务服务骨架，所有基础 CRUD 接入商户/仓库隔离和平台只读治理接口。</w:t>
      </w:r>
    </w:p>
    <w:p>
      <w:pPr>
        <w:pStyle w:val="ListBullet"/>
        <w:keepLines w:val="0"/>
      </w:pPr>
      <w:r>
        <w:rPr>
          <w:rFonts w:ascii="SimSong" w:hAnsi="SimSong" w:eastAsia="SimSong"/>
        </w:rPr>
        <w:t>验收：跨商户/跨仓库测试全部拒绝；协议重新确认生效；认证材料和审核历史可追溯；主数据可导入导出且有审计；共享手柄容量可在 5+10 与 10+5 间切换，10+10 被拒绝。</w:t>
      </w:r>
    </w:p>
    <w:p>
      <w:pPr>
        <w:pStyle w:val="Heading3"/>
      </w:pPr>
      <w:r>
        <w:t>第 3 阶段：订单主流程 MVP（4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手工录单、复制文本解析、商品/套餐明细、库存区间校验、仓库选择、SN 后绑定和编辑记录。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备货、发货、物流单号、视频、租用、归还、验机、可完结、售后、取消和追回状态机。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抽检批注、置顶/已阅、备注和受限导出。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验收：从录单到完结闭环可重复演示；状态不可非法跳转；库存和订单流水一致；互助/外部订单脱敏且不可批量导出。</w:t>
      </w:r>
    </w:p>
    <w:p>
      <w:pPr>
        <w:pStyle w:val="Heading3"/>
      </w:pPr>
      <w:r>
        <w:t>第 4 阶段：库存预测与仓库作业（3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未来 30 天商品/套餐预计库存逐日独立重算、实时空闲、物流库存和库存穿透。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全局/型号百分比和保护个数、告警、智能仓调、智能转发和人工确认。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商品码入出库、快递码匹配、连续盘点、异常库存和跨仓归还。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验收：任一库存数字可追溯至 SN、订单和流水；快照重跑结果一致；并发预占不产生负库存。</w:t>
      </w:r>
    </w:p>
    <w:p>
      <w:pPr>
        <w:pStyle w:val="Heading3"/>
      </w:pPr>
      <w:r>
        <w:t>第 5 阶段：物流、时效与客户入口（3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顺丰/京东主路由、次路由回退、全站 10 次/秒队列、历史时效和天气批处理。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物流下单、取消、路由同步、晚到/丢失赔付和异常告警。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客户手机号/微信验证、协议确认、订单查询、视频、归还物流和商户小程序能力。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验收：客户只能访问匹配订单，归还仓不可修改；限流压测符合规则；第三方重试和回调具备幂等。</w:t>
      </w:r>
    </w:p>
    <w:p>
      <w:pPr>
        <w:pStyle w:val="Heading3"/>
      </w:pPr>
      <w:r>
        <w:t>第 6 阶段：商户协作与内容（2-3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全局工作台、管理/个人任务、完成说明、超时提醒、抽检、评分和日报。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内部通知、员工分组、置顶、生效/下线、已读记录。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私有知识库、多级分类、附件、版本、阅读权限、阅读统计和违规下架。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30 天回收站和按条恢复，编辑/删除前后值记录。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验收：内容只对本商户授权员工可见；平台普通管理员不可看正文；版本和恢复流程可追溯。</w:t>
      </w:r>
    </w:p>
    <w:p>
      <w:pPr>
        <w:pStyle w:val="Heading3"/>
      </w:pPr>
      <w:r>
        <w:t>第 7 阶段：平台工单、合同、财务与风控（4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统一认证、售后、开票、赔付、退款和内容申诉工单。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订单合同、协议版本、签约人/IP/时间和证据文件。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增值余额、履约保证金、租金/分账账户、不可变流水、冻结、解冻和扣款。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分账、结算、提现、开票申请、补票、红冲和财务报表。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验收：资金账户不能混用；同订单不能重复开票；冻结额度和 90 天解冻规则通过自动化测试；所有高风险动作有审计。</w:t>
      </w:r>
    </w:p>
    <w:p>
      <w:pPr>
        <w:pStyle w:val="Heading3"/>
      </w:pPr>
      <w:r>
        <w:t>第 8 阶段：联盟、订单大厅与纠纷（3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联盟关系、短信确认、商品可见范围、共享比例、汇总/成员库存视图。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定向订单、公众池、接受、拒绝、转派、发货和完成。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赔付模板、纠纷证据、双方确认、保证金定额冻结和平台调解。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验收：联盟外不可读取共享库存；套餐库存不共享；单方未确认时不能扣款；到期自动解冻。</w:t>
      </w:r>
    </w:p>
    <w:p>
      <w:pPr>
        <w:pStyle w:val="Heading3"/>
      </w:pPr>
      <w:r>
        <w:t>第 9 阶段：商业化、免押、推广与市场（3-4 周）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会员套餐、存储包、通知包、信息发布和物流服务计费。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免押码、人脸、合同、预授权、风险提示和完结后 48 小时解冻。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推广规则、推广员、优惠券、佣金冻结和退款冲回。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周转市场帖子、筛选、私信、关注、举报、保证金和降权。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验收：市场无交易支付；计费和退款都有不可变流水；推广反作弊规则生效。</w:t>
      </w:r>
    </w:p>
    <w:p>
      <w:pPr>
        <w:pStyle w:val="Heading3"/>
      </w:pPr>
      <w:r>
        <w:t>第 10 阶段：经营分析、运维与上线加固（持续）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商户首页、平台全局、城市、商品热度、会员活跃、订单、库存、物流和财务指标统一口径。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每日备份、月度日志包、容量监控、支付/消息/任务/存储告警。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性能压测、容量评估、漏洞扫描、权限回归、灾备恢复和灰度发布。</w:t>
      </w:r>
    </w:p>
    <w:p>
      <w:pPr>
        <w:pStyle w:val="ListBullet"/>
        <w:keepLines w:val="0"/>
      </w:pPr>
      <w:r>
        <w:rPr>
          <w:rFonts w:ascii="SimSong" w:hAnsi="SimSong" w:eastAsia="SimSong"/>
          <w:color w:val="1F2937"/>
          <w:sz w:val="21"/>
        </w:rPr>
        <w:t>验收：报表可追溯到原始数据；备份可恢复；核心链路达到约定 SLO；安全与越权用例全部通过。</w:t>
      </w:r>
    </w:p>
    <w:p>
      <w:pPr>
        <w:pStyle w:val="Heading2"/>
      </w:pPr>
      <w:r>
        <w:t>8. 阶段门禁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每个阶段关闭前必须满足：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数据库迁移在全新库和已有库都能执行，具备幂等或明确的一次性约束。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后端单元/集成测试覆盖正常、越权、并发、重复请求和关键异常分支。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平台端、商户端和开放端只调用各自命名空间，网关路由与权限码一致。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前端生产构建通过，桌面和常用移动视口无字段遮挡、溢出或流程死路。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Docker 本地部署健康检查通过，服务日志无持续异常，外部依赖故障有可验证降级。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操作日志、业务流水、监控和告警能够定位一次完整请求。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设计、规格、路由、迁移和完成状态文档同步更新。</w:t>
      </w:r>
    </w:p>
    <w:p>
      <w:pPr>
        <w:pStyle w:val="Heading2"/>
      </w:pPr>
      <w:r>
        <w:t>9. 当前下一步</w:t>
      </w:r>
    </w:p>
    <w:p>
      <w:pPr>
        <w:spacing w:after="120"/>
      </w:pPr>
      <w:r>
        <w:rPr>
          <w:rFonts w:ascii="SimSong" w:hAnsi="SimSong" w:eastAsia="SimSong"/>
          <w:b w:val="0"/>
          <w:color w:val="1F2937"/>
          <w:sz w:val="21"/>
        </w:rPr>
        <w:t>立即进入第 2 阶段，先完成以下顺序：</w:t>
      </w:r>
    </w:p>
    <w:p>
      <w:pPr>
        <w:pStyle w:val="ListNumber"/>
        <w:keepLines w:val="0"/>
      </w:pPr>
      <w:r>
        <w:rPr>
          <w:rFonts w:ascii="SimSong" w:hAnsi="SimSong" w:eastAsia="SimSong"/>
        </w:rPr>
        <w:t>评审协议、认证、来源设置，以及商品与套餐库存数据结构设计（./商品与套餐库存数据结构设计.md）中的资源池、版本化 BOM、预占和容量模型。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建立 rental-business 服务骨架及平台/商户双接口边界。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实现主数据迁移、商户/仓库隔离守卫和基础 CRUD。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完成文件私有访问、配额和主数据导入导出审计。</w:t>
      </w:r>
    </w:p>
    <w:p>
      <w:pPr>
        <w:pStyle w:val="ListNumber"/>
        <w:keepLines w:val="0"/>
      </w:pPr>
      <w:r>
        <w:rPr>
          <w:rFonts w:ascii="SimSong" w:hAnsi="SimSong" w:eastAsia="SimSong"/>
          <w:color w:val="1F2937"/>
          <w:sz w:val="21"/>
        </w:rPr>
        <w:t>以跨商户、跨仓库、协议生效和认证留痕用例作为第 2 阶段首批自动化验收。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91" w:bottom="1134" w:left="119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ong" w:hAnsi="SimSong" w:eastAsia="SimSong"/>
        <w:color w:val="4B5563"/>
        <w:sz w:val="17"/>
      </w:rPr>
      <w:t xml:space="preserve">第 </w:t>
    </w:r>
    <w:fldSimple w:instr="PAGE"/>
    <w:r>
      <w:rPr>
        <w:rFonts w:ascii="SimSong" w:hAnsi="SimSong" w:eastAsia="SimSong"/>
        <w:color w:val="4B556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imSong" w:hAnsi="SimSong" w:eastAsia="SimSong"/>
        <w:color w:val="4B5563"/>
        <w:sz w:val="17"/>
      </w:rPr>
      <w:t>迁渃租赁平台  |  租赁系统RuoYi-Cloud开发计划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SimSong" w:hAnsi="SimSong" w:eastAsia="SimSong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SimSong" w:hAnsi="SimSong" w:eastAsia="SimSong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imSong" w:hAnsi="SimSong" w:eastAsia="SimSong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SimSong" w:hAnsi="SimSong" w:eastAsia="SimSong"/>
      <w:b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SimSong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SimSong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租赁系统RuoYi-Cloud开发计划</dc:title>
  <dc:subject>迁渃租赁平台 1.0 需求基线研发文档</dc:subject>
  <dc:creator>迁渃项目组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