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eastAsia="Microsoft YaHei"/>
          <w:b/>
          <w:color w:val="1F497D"/>
          <w:sz w:val="40"/>
        </w:rPr>
        <w:t>Dr. Andrew Chiew</w:t>
      </w:r>
    </w:p>
    <w:p>
      <w:pPr>
        <w:spacing w:after="320"/>
      </w:pPr>
      <w:r>
        <w:rPr>
          <w:rFonts w:eastAsia="Microsoft YaHei"/>
          <w:color w:val="555555"/>
          <w:sz w:val="24"/>
        </w:rPr>
        <w:t>Clinixero, Petaling Jaya, Malaysia | 'Reverse Diabetes Centre of the Year Asia Pacific 2024'</w:t>
      </w:r>
    </w:p>
    <w:p>
      <w:pPr>
        <w:spacing w:after="160" w:before="40"/>
        <w:pBdr>
          <w:bottom w:val="single" w:sz="4" w:space="1" w:color="2E74B5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Background &amp; Credentials</w:t>
      </w:r>
    </w:p>
    <w:p>
      <w:pPr>
        <w:spacing w:after="120"/>
      </w:pPr>
      <w:r>
        <w:rPr>
          <w:rFonts w:eastAsia="Microsoft YaHei"/>
          <w:sz w:val="22"/>
        </w:rPr>
        <w:t>Dr. Andrew Chiew is a Malaysian medical doctor and the founder of Clinixero, Malaysia's leading diabetes reversal clinic. His personal near-death experience in 2013 (a misdiagnosis of pancreatic cancer) transformed his medical philosophy toward root-cause medicine. He founded Clinixero in 2017 with a focus on reversing T2D through intensive lifestyle intervention, low-carbohydrate nutrition, and virtual care.</w:t>
      </w:r>
    </w:p>
    <w:p>
      <w:pPr>
        <w:spacing w:after="80"/>
        <w:ind w:left="454"/>
      </w:pPr>
      <w:r>
        <w:rPr>
          <w:rFonts w:eastAsia="Microsoft YaHei"/>
          <w:sz w:val="22"/>
        </w:rPr>
        <w:t>🎓 MBChB — Melaka Manipal Medical College, Malaysia</w:t>
      </w:r>
    </w:p>
    <w:p>
      <w:pPr>
        <w:spacing w:after="80"/>
        <w:ind w:left="454"/>
      </w:pPr>
      <w:r>
        <w:rPr>
          <w:rFonts w:eastAsia="Microsoft YaHei"/>
          <w:sz w:val="22"/>
        </w:rPr>
        <w:t>🏥 Founder &amp; Medical Director — Clinixero, Petaling Jaya, Malaysia</w:t>
      </w:r>
    </w:p>
    <w:p>
      <w:pPr>
        <w:spacing w:after="80"/>
        <w:ind w:left="454"/>
      </w:pPr>
      <w:r>
        <w:rPr>
          <w:rFonts w:eastAsia="Microsoft YaHei"/>
          <w:sz w:val="22"/>
        </w:rPr>
        <w:t>🏆 Malaysia Book of Records — Most patients in a Virtual Diabetic Programme (934 patients)</w:t>
      </w:r>
    </w:p>
    <w:p>
      <w:pPr>
        <w:spacing w:after="80"/>
        <w:ind w:left="454"/>
      </w:pPr>
      <w:r>
        <w:rPr>
          <w:rFonts w:eastAsia="Microsoft YaHei"/>
          <w:sz w:val="22"/>
        </w:rPr>
        <w:t>🏆 Reverse Diabetes Centre of the Year — Asia Pacific 2024</w:t>
      </w:r>
    </w:p>
    <w:p>
      <w:pPr>
        <w:spacing w:after="80"/>
        <w:ind w:left="454"/>
      </w:pPr>
      <w:r>
        <w:rPr>
          <w:rFonts w:eastAsia="Microsoft YaHei"/>
          <w:sz w:val="22"/>
        </w:rPr>
        <w:t>🏆 JCI Creative Young Entrepreneur Award (CYEA) 2022 — Top 30 Finalist</w:t>
      </w:r>
    </w:p>
    <w:p>
      <w:pPr>
        <w:spacing w:after="80"/>
        <w:ind w:left="454"/>
      </w:pPr>
      <w:r>
        <w:rPr>
          <w:rFonts w:eastAsia="Microsoft YaHei"/>
          <w:sz w:val="22"/>
        </w:rPr>
        <w:t>🎤 Conducted 500+ health talks (online and offline) across Malaysia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Founding Philosophy — The Turning Point</w:t>
      </w:r>
    </w:p>
    <w:p>
      <w:pPr>
        <w:spacing w:after="120"/>
      </w:pPr>
      <w:r>
        <w:rPr>
          <w:rFonts w:eastAsia="Microsoft YaHei"/>
          <w:b/>
          <w:sz w:val="22"/>
        </w:rPr>
        <w:t>Personal Journey to Root-Cause Medicine</w:t>
      </w:r>
    </w:p>
    <w:p>
      <w:pPr>
        <w:spacing w:after="120"/>
      </w:pPr>
      <w:r>
        <w:rPr>
          <w:rFonts w:eastAsia="Microsoft YaHei"/>
          <w:sz w:val="22"/>
        </w:rPr>
        <w:t>In 2013, Dr. Andrew was wrongly diagnosed with pancreatic cancer — an experience that forced him to confront the limits of symptom-focused medicine. After recovery, he committed to a philosophy of always seeking the root cause of disease, not just treating the surface manifestation. This philosophy became the foundation of Clinixero in 2017.</w:t>
      </w:r>
    </w:p>
    <w:p>
      <w:pPr>
        <w:spacing w:after="160"/>
        <w:ind w:left="680" w:right="680"/>
        <w:pBdr>
          <w:left w:val="single" w:sz="12" w:space="4" w:color="2E74B5"/>
        </w:pBdr>
      </w:pPr>
      <w:r>
        <w:rPr>
          <w:rFonts w:eastAsia="Microsoft YaHei"/>
          <w:color w:val="333333"/>
          <w:sz w:val="22"/>
        </w:rPr>
        <w:t>"After my own near-death experience, I understood that the medical system often manages disease rather than reverses it. My patients deserve more than management. They deserve a real chance at reversal." — Dr. Andrew Chiew</w:t>
      </w:r>
    </w:p>
    <w:p>
      <w:pPr>
        <w:spacing w:after="120"/>
      </w:pPr>
      <w:r>
        <w:rPr>
          <w:rFonts w:eastAsia="Microsoft YaHei"/>
          <w:b/>
          <w:sz w:val="22"/>
        </w:rPr>
        <w:t>Malaysia-Specific Context</w:t>
      </w:r>
    </w:p>
    <w:p>
      <w:pPr>
        <w:spacing w:after="120"/>
      </w:pPr>
      <w:r>
        <w:rPr>
          <w:rFonts w:eastAsia="Microsoft YaHei"/>
          <w:sz w:val="22"/>
        </w:rPr>
        <w:t>Malaysia has one of the highest T2D rates in Southeast Asia — over 20% of adults. Dr. Andrew designed Clinixero's programme specifically for Malaysian patients: culturally appropriate food guidance (nasi lemak alternatives, local vegetables, Malaysian meal timing), virtual access to reach rural and working patients, and Malay/Chinese/English-language education.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Principles</w:t>
      </w:r>
    </w:p>
    <w:p>
      <w:pPr>
        <w:spacing w:after="120"/>
      </w:pPr>
      <w:r>
        <w:rPr>
          <w:rFonts w:eastAsia="Microsoft YaHei"/>
          <w:b/>
          <w:sz w:val="22"/>
        </w:rPr>
        <w:t>Principle 1: Root Cause First</w:t>
      </w:r>
    </w:p>
    <w:p>
      <w:pPr>
        <w:spacing w:after="120"/>
      </w:pPr>
      <w:r>
        <w:rPr>
          <w:rFonts w:eastAsia="Microsoft YaHei"/>
          <w:sz w:val="22"/>
        </w:rPr>
        <w:t>Every patient undergoes a thorough assessment of WHY they have T2D — dietary history, stress, sleep, gut health, hormonal imbalances — before a reversal plan is designed. One size does not fit all.</w:t>
      </w:r>
    </w:p>
    <w:p>
      <w:pPr>
        <w:spacing w:after="120"/>
      </w:pPr>
      <w:r>
        <w:rPr>
          <w:rFonts w:eastAsia="Microsoft YaHei"/>
          <w:b/>
          <w:sz w:val="22"/>
        </w:rPr>
        <w:t>Principle 2: Low-Carbohydrate Nutritional Approach</w:t>
      </w:r>
    </w:p>
    <w:p>
      <w:pPr>
        <w:spacing w:after="120"/>
      </w:pPr>
      <w:r>
        <w:rPr>
          <w:rFonts w:eastAsia="Microsoft YaHei"/>
          <w:sz w:val="22"/>
        </w:rPr>
        <w:t>Clinixero uses a structured low-carbohydrate dietary plan tailored to Malaysian food culture. Staples like white rice and noodles are replaced with lower-GI alternatives; local vegetables and protein sources are emphasised.</w:t>
      </w:r>
    </w:p>
    <w:p>
      <w:pPr>
        <w:spacing w:after="120"/>
      </w:pPr>
      <w:r>
        <w:rPr>
          <w:rFonts w:eastAsia="Microsoft YaHei"/>
          <w:b/>
          <w:sz w:val="22"/>
        </w:rPr>
        <w:t>Principle 3: Virtual Care &amp; Continuous Support</w:t>
      </w:r>
    </w:p>
    <w:p>
      <w:pPr>
        <w:spacing w:after="120"/>
      </w:pPr>
      <w:r>
        <w:rPr>
          <w:rFonts w:eastAsia="Microsoft YaHei"/>
          <w:sz w:val="22"/>
        </w:rPr>
        <w:t>Clinixero pioneered telemedicine-based diabetes reversal in Malaysia — particularly during and after COVID-19. Patients receive ongoing support via WhatsApp, video consultations, and app-based monitoring, making the programme accessible nationwide without requiring physical attendance.</w:t>
      </w:r>
    </w:p>
    <w:p>
      <w:pPr>
        <w:spacing w:after="120"/>
      </w:pPr>
      <w:r>
        <w:rPr>
          <w:rFonts w:eastAsia="Microsoft YaHei"/>
          <w:b/>
          <w:sz w:val="22"/>
        </w:rPr>
        <w:t>Principle 4: Education Over Prescription</w:t>
      </w:r>
    </w:p>
    <w:p>
      <w:pPr>
        <w:spacing w:after="120"/>
      </w:pPr>
      <w:r>
        <w:rPr>
          <w:rFonts w:eastAsia="Microsoft YaHei"/>
          <w:sz w:val="22"/>
        </w:rPr>
        <w:t>Dr. Andrew and his team believe patients who understand WHY they are making dietary changes are far more likely to sustain them. The 500+ health talks he has delivered are central to this educational mission.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Techniques in Detail</w:t>
      </w:r>
    </w:p>
    <w:p>
      <w:pPr>
        <w:spacing w:after="120"/>
      </w:pPr>
      <w:r>
        <w:rPr>
          <w:rFonts w:eastAsia="Microsoft YaHei"/>
          <w:b/>
          <w:sz w:val="22"/>
        </w:rPr>
        <w:t>Technique 1: Structured Low-Carb Malaysian Meal Plan</w:t>
      </w:r>
    </w:p>
    <w:p>
      <w:pPr>
        <w:spacing w:after="80"/>
        <w:ind w:left="454"/>
      </w:pPr>
      <w:r>
        <w:rPr>
          <w:rFonts w:eastAsia="Microsoft YaHei"/>
          <w:sz w:val="22"/>
        </w:rPr>
        <w:t>Reduce: white rice, white bread, noodles, roti canai, sugary drinks (teh tarik, Milo)</w:t>
      </w:r>
    </w:p>
    <w:p>
      <w:pPr>
        <w:spacing w:after="80"/>
        <w:ind w:left="454"/>
      </w:pPr>
      <w:r>
        <w:rPr>
          <w:rFonts w:eastAsia="Microsoft YaHei"/>
          <w:sz w:val="22"/>
        </w:rPr>
        <w:t>Replace with: cauliflower rice, konjac noodles, shirataki, local green vegetables</w:t>
      </w:r>
    </w:p>
    <w:p>
      <w:pPr>
        <w:spacing w:after="80"/>
        <w:ind w:left="454"/>
      </w:pPr>
      <w:r>
        <w:rPr>
          <w:rFonts w:eastAsia="Microsoft YaHei"/>
          <w:sz w:val="22"/>
        </w:rPr>
        <w:t>Emphasise: eggs, tofu, tempe, fish (ikan), chicken (ayam), leafy greens (kangkung, bayam)</w:t>
      </w:r>
    </w:p>
    <w:p>
      <w:pPr>
        <w:spacing w:after="80"/>
        <w:ind w:left="454"/>
      </w:pPr>
      <w:r>
        <w:rPr>
          <w:rFonts w:eastAsia="Microsoft YaHei"/>
          <w:sz w:val="22"/>
        </w:rPr>
        <w:t>Avoid: high-sugar Malaysian foods — kuih, ais kacang, cendol, nasi lemak with sambal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2: Virtual Monitoring Programme</w:t>
      </w:r>
    </w:p>
    <w:p>
      <w:pPr>
        <w:spacing w:after="80"/>
        <w:ind w:left="454"/>
      </w:pPr>
      <w:r>
        <w:rPr>
          <w:rFonts w:eastAsia="Microsoft YaHei"/>
          <w:sz w:val="22"/>
        </w:rPr>
        <w:t>Weekly virtual check-ins with doctor or health coach</w:t>
      </w:r>
    </w:p>
    <w:p>
      <w:pPr>
        <w:spacing w:after="80"/>
        <w:ind w:left="454"/>
      </w:pPr>
      <w:r>
        <w:rPr>
          <w:rFonts w:eastAsia="Microsoft YaHei"/>
          <w:sz w:val="22"/>
        </w:rPr>
        <w:t>Blood glucose log: patients record and submit readings via app or WhatsApp</w:t>
      </w:r>
    </w:p>
    <w:p>
      <w:pPr>
        <w:spacing w:after="80"/>
        <w:ind w:left="454"/>
      </w:pPr>
      <w:r>
        <w:rPr>
          <w:rFonts w:eastAsia="Microsoft YaHei"/>
          <w:sz w:val="22"/>
        </w:rPr>
        <w:t>HbA1c testing: every 3 months at nearest lab</w:t>
      </w:r>
    </w:p>
    <w:p>
      <w:pPr>
        <w:spacing w:after="80"/>
        <w:ind w:left="454"/>
      </w:pPr>
      <w:r>
        <w:rPr>
          <w:rFonts w:eastAsia="Microsoft YaHei"/>
          <w:sz w:val="22"/>
        </w:rPr>
        <w:t>Weight monitoring: weekly weigh-ins submitted to clinical team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3: Group Support &amp; Community</w:t>
      </w:r>
    </w:p>
    <w:p>
      <w:pPr>
        <w:spacing w:after="80"/>
        <w:ind w:left="454"/>
      </w:pPr>
      <w:r>
        <w:rPr>
          <w:rFonts w:eastAsia="Microsoft YaHei"/>
          <w:sz w:val="22"/>
        </w:rPr>
        <w:t>Patient community groups for peer accountability and motivation</w:t>
      </w:r>
    </w:p>
    <w:p>
      <w:pPr>
        <w:spacing w:after="80"/>
        <w:ind w:left="454"/>
      </w:pPr>
      <w:r>
        <w:rPr>
          <w:rFonts w:eastAsia="Microsoft YaHei"/>
          <w:sz w:val="22"/>
        </w:rPr>
        <w:t>Monthly online health talks for ongoing education</w:t>
      </w:r>
    </w:p>
    <w:p>
      <w:pPr>
        <w:spacing w:after="80"/>
        <w:ind w:left="454"/>
      </w:pPr>
      <w:r>
        <w:rPr>
          <w:rFonts w:eastAsia="Microsoft YaHei"/>
          <w:sz w:val="22"/>
        </w:rPr>
        <w:t>Family members invited to understand the dietary changes (crucial in Malaysian multi-generational households)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Insulin Patient Journey — Step-by-Step Plan</w:t>
      </w:r>
    </w:p>
    <w:p>
      <w:pPr>
        <w:spacing w:after="120"/>
      </w:pPr>
      <w:r>
        <w:rPr>
          <w:rFonts w:eastAsia="Microsoft YaHei"/>
          <w:b/>
          <w:sz w:val="22"/>
        </w:rPr>
        <w:t>Phase 1 — Initial Assessment (Week 1)</w:t>
      </w:r>
    </w:p>
    <w:p>
      <w:pPr>
        <w:spacing w:after="80"/>
        <w:ind w:left="454"/>
      </w:pPr>
      <w:r>
        <w:rPr>
          <w:rFonts w:eastAsia="Microsoft YaHei"/>
          <w:sz w:val="22"/>
        </w:rPr>
        <w:t>Telehealth consultation: full medical history, current medications, diet review</w:t>
      </w:r>
    </w:p>
    <w:p>
      <w:pPr>
        <w:spacing w:after="80"/>
        <w:ind w:left="454"/>
      </w:pPr>
      <w:r>
        <w:rPr>
          <w:rFonts w:eastAsia="Microsoft YaHei"/>
          <w:sz w:val="22"/>
        </w:rPr>
        <w:t>Baseline bloodwork: HbA1c, fasting glucose, C-peptide, lipid panel, liver enzymes</w:t>
      </w:r>
    </w:p>
    <w:p>
      <w:pPr>
        <w:spacing w:after="80"/>
        <w:ind w:left="454"/>
      </w:pPr>
      <w:r>
        <w:rPr>
          <w:rFonts w:eastAsia="Microsoft YaHei"/>
          <w:sz w:val="22"/>
        </w:rPr>
        <w:t>Personalised meal plan designed — Malaysian food-appropriate, low-carb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education: patient taught to self-monitor and report glucose 4× daily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2 — Low-Carb Diet Start &amp; Insulin Reduction (Week 1–4)</w:t>
      </w:r>
    </w:p>
    <w:p>
      <w:pPr>
        <w:spacing w:after="80"/>
        <w:ind w:left="454"/>
      </w:pPr>
      <w:r>
        <w:rPr>
          <w:rFonts w:eastAsia="Microsoft YaHei"/>
          <w:sz w:val="22"/>
        </w:rPr>
        <w:t>Low-carb diet started immediately — insulin dose reduced 20–40% on Day 1</w:t>
      </w:r>
    </w:p>
    <w:p>
      <w:pPr>
        <w:spacing w:after="80"/>
        <w:ind w:left="454"/>
      </w:pPr>
      <w:r>
        <w:rPr>
          <w:rFonts w:eastAsia="Microsoft YaHei"/>
          <w:sz w:val="22"/>
        </w:rPr>
        <w:t>Virtual check-in: daily WhatsApp support for first 2 weeks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adjusted weekly based on glucose logs</w:t>
      </w:r>
    </w:p>
    <w:p>
      <w:pPr>
        <w:spacing w:after="80"/>
        <w:ind w:left="454"/>
      </w:pPr>
      <w:r>
        <w:rPr>
          <w:rFonts w:eastAsia="Microsoft YaHei"/>
          <w:sz w:val="22"/>
        </w:rPr>
        <w:t>Most patients see fasting glucose improve within 7–10 days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3 — Ongoing Monitoring (Month 2–3)</w:t>
      </w:r>
    </w:p>
    <w:p>
      <w:pPr>
        <w:spacing w:after="80"/>
        <w:ind w:left="454"/>
      </w:pPr>
      <w:r>
        <w:rPr>
          <w:rFonts w:eastAsia="Microsoft YaHei"/>
          <w:sz w:val="22"/>
        </w:rPr>
        <w:t>Weekly virtual check-ins; bi-weekly doctor reviews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dose progressively reduced as blood sugar stabilises</w:t>
      </w:r>
    </w:p>
    <w:p>
      <w:pPr>
        <w:spacing w:after="80"/>
        <w:ind w:left="454"/>
      </w:pPr>
      <w:r>
        <w:rPr>
          <w:rFonts w:eastAsia="Microsoft YaHei"/>
          <w:sz w:val="22"/>
        </w:rPr>
        <w:t>HbA1c recheck at Month 3 — target &lt; 7% initially, then &lt; 6.5%</w:t>
      </w:r>
    </w:p>
    <w:p>
      <w:pPr>
        <w:spacing w:after="80"/>
        <w:ind w:left="454"/>
      </w:pPr>
      <w:r>
        <w:rPr>
          <w:rFonts w:eastAsia="Microsoft YaHei"/>
          <w:sz w:val="22"/>
        </w:rPr>
        <w:t>Lifestyle factors addressed: sleep, stress, physical activity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Phase 4 — Remission &amp; Maintenance (Month 4+)</w:t>
      </w:r>
    </w:p>
    <w:p>
      <w:pPr>
        <w:spacing w:after="80"/>
        <w:ind w:left="454"/>
      </w:pPr>
      <w:r>
        <w:rPr>
          <w:rFonts w:eastAsia="Microsoft YaHei"/>
          <w:sz w:val="22"/>
        </w:rPr>
        <w:t>HbA1c &lt; 6.5% off insulin and medications = remission</w:t>
      </w:r>
    </w:p>
    <w:p>
      <w:pPr>
        <w:spacing w:after="80"/>
        <w:ind w:left="454"/>
      </w:pPr>
      <w:r>
        <w:rPr>
          <w:rFonts w:eastAsia="Microsoft YaHei"/>
          <w:sz w:val="22"/>
        </w:rPr>
        <w:t>Ongoing monthly virtual support to prevent relapse</w:t>
      </w:r>
    </w:p>
    <w:p>
      <w:pPr>
        <w:spacing w:after="80"/>
        <w:ind w:left="454"/>
      </w:pPr>
      <w:r>
        <w:rPr>
          <w:rFonts w:eastAsia="Microsoft YaHei"/>
          <w:sz w:val="22"/>
        </w:rPr>
        <w:t>Seasonal challenges addressed: festive seasons (CNY, Raya, Deepavali) require proactive guidance</w:t>
      </w:r>
    </w:p>
    <w:p>
      <w:pPr>
        <w:spacing w:after="80"/>
        <w:ind w:left="454"/>
      </w:pPr>
      <w:r>
        <w:rPr>
          <w:rFonts w:eastAsia="Microsoft YaHei"/>
          <w:sz w:val="22"/>
        </w:rPr>
        <w:t>Annual comprehensive review; community ongoing participation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400"/>
      </w:pPr>
      <w:r>
        <w:rPr>
          <w:rFonts w:eastAsia="Microsoft YaHei"/>
          <w:color w:val="999999"/>
          <w:sz w:val="18"/>
        </w:rPr>
        <w:t>Source: Research compiled by Dr. Eason Chang | Reverse Diabetes Knowledge Base |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