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eastAsia="Microsoft YaHei"/>
          <w:b/>
          <w:color w:val="1F497D"/>
          <w:sz w:val="40"/>
        </w:rPr>
        <w:t>Dr. David Unwin</w:t>
      </w:r>
    </w:p>
    <w:p>
      <w:pPr>
        <w:spacing w:after="320"/>
      </w:pPr>
      <w:r>
        <w:rPr>
          <w:rFonts w:eastAsia="Microsoft YaHei"/>
          <w:color w:val="555555"/>
          <w:sz w:val="24"/>
        </w:rPr>
        <w:t>GP &amp; Researcher, Merseyside UK | The Low-Carb GP | NHS Innovator of the Year 2016</w:t>
      </w:r>
    </w:p>
    <w:p>
      <w:pPr>
        <w:spacing w:after="160" w:before="40"/>
        <w:pBdr>
          <w:bottom w:val="single" w:sz="4" w:space="1" w:color="2E74B5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Background &amp; Credentials</w:t>
      </w:r>
    </w:p>
    <w:p>
      <w:pPr>
        <w:spacing w:after="120"/>
      </w:pPr>
      <w:r>
        <w:rPr>
          <w:rFonts w:eastAsia="Microsoft YaHei"/>
          <w:sz w:val="22"/>
        </w:rPr>
        <w:t>Dr. David Unwin is a UK General Practitioner (family doctor) based in Norwood Surgery, Southport, Merseyside, England. He is widely credited with transforming the treatment of T2D in primary care through a low-carbohydrate dietary approach — earning him the NHS Innovator of the Year Award in 2016. He has treated nearly 10,000 patients using this approach over a decade.</w:t>
      </w:r>
    </w:p>
    <w:p>
      <w:pPr>
        <w:spacing w:after="80"/>
        <w:ind w:left="454"/>
      </w:pPr>
      <w:r>
        <w:rPr>
          <w:rFonts w:eastAsia="Microsoft YaHei"/>
          <w:sz w:val="22"/>
        </w:rPr>
        <w:t>🎓 MBBS, FRCGP (Fellow of the Royal College of General Practitioners)</w:t>
      </w:r>
    </w:p>
    <w:p>
      <w:pPr>
        <w:spacing w:after="80"/>
        <w:ind w:left="454"/>
      </w:pPr>
      <w:r>
        <w:rPr>
          <w:rFonts w:eastAsia="Microsoft YaHei"/>
          <w:sz w:val="22"/>
        </w:rPr>
        <w:t>🏆 NHS Innovator of the Year 2016</w:t>
      </w:r>
    </w:p>
    <w:p>
      <w:pPr>
        <w:spacing w:after="80"/>
        <w:ind w:left="454"/>
      </w:pPr>
      <w:r>
        <w:rPr>
          <w:rFonts w:eastAsia="Microsoft YaHei"/>
          <w:sz w:val="22"/>
        </w:rPr>
        <w:t>🏥 GP Partner — Norwood Surgery, Southport, UK</w:t>
      </w:r>
    </w:p>
    <w:p>
      <w:pPr>
        <w:spacing w:after="80"/>
        <w:ind w:left="454"/>
      </w:pPr>
      <w:r>
        <w:rPr>
          <w:rFonts w:eastAsia="Microsoft YaHei"/>
          <w:sz w:val="22"/>
        </w:rPr>
        <w:t>📄 Published in BMJ, Diabetic Medicine, British Journal of General Practice</w:t>
      </w:r>
    </w:p>
    <w:p>
      <w:pPr>
        <w:spacing w:after="80"/>
        <w:ind w:left="454"/>
      </w:pPr>
      <w:r>
        <w:rPr>
          <w:rFonts w:eastAsia="Microsoft YaHei"/>
          <w:sz w:val="22"/>
        </w:rPr>
        <w:t>💰 His practice saves £68,353/year on diabetes drugs vs local NHS average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Core Discovery — Sugar Equivalents</w:t>
      </w:r>
    </w:p>
    <w:p>
      <w:pPr>
        <w:spacing w:after="120"/>
      </w:pPr>
      <w:r>
        <w:rPr>
          <w:rFonts w:eastAsia="Microsoft YaHei"/>
          <w:b/>
          <w:sz w:val="22"/>
        </w:rPr>
        <w:t>The Insight: Starch = Hidden Sugar</w:t>
      </w:r>
    </w:p>
    <w:p>
      <w:pPr>
        <w:spacing w:after="120"/>
      </w:pPr>
      <w:r>
        <w:rPr>
          <w:rFonts w:eastAsia="Microsoft YaHei"/>
          <w:sz w:val="22"/>
        </w:rPr>
        <w:t>Unwin's most powerful educational tool is the concept of 'sugar equivalents' — visualising how much glucose common starchy foods actually release into the bloodstream when digested.</w:t>
      </w:r>
    </w:p>
    <w:p>
      <w:pPr>
        <w:spacing w:after="80"/>
        <w:ind w:left="454"/>
      </w:pPr>
      <w:r>
        <w:rPr>
          <w:rFonts w:eastAsia="Microsoft YaHei"/>
          <w:sz w:val="22"/>
        </w:rPr>
        <w:t>1 portion boiled rice = 10 teaspoons of sugar (glucose equivalent)</w:t>
      </w:r>
    </w:p>
    <w:p>
      <w:pPr>
        <w:spacing w:after="80"/>
        <w:ind w:left="454"/>
      </w:pPr>
      <w:r>
        <w:rPr>
          <w:rFonts w:eastAsia="Microsoft YaHei"/>
          <w:sz w:val="22"/>
        </w:rPr>
        <w:t>2 slices white bread = 8 teaspoons of sugar</w:t>
      </w:r>
    </w:p>
    <w:p>
      <w:pPr>
        <w:spacing w:after="80"/>
        <w:ind w:left="454"/>
      </w:pPr>
      <w:r>
        <w:rPr>
          <w:rFonts w:eastAsia="Microsoft YaHei"/>
          <w:sz w:val="22"/>
        </w:rPr>
        <w:t>1 medium potato (baked) = 9 teaspoons of sugar</w:t>
      </w:r>
    </w:p>
    <w:p>
      <w:pPr>
        <w:spacing w:after="80"/>
        <w:ind w:left="454"/>
      </w:pPr>
      <w:r>
        <w:rPr>
          <w:rFonts w:eastAsia="Microsoft YaHei"/>
          <w:sz w:val="22"/>
        </w:rPr>
        <w:t>1 bowl porridge = 7 teaspoons of sugar</w:t>
      </w:r>
    </w:p>
    <w:p>
      <w:pPr>
        <w:spacing w:after="80"/>
        <w:ind w:left="454"/>
      </w:pPr>
      <w:r>
        <w:rPr>
          <w:rFonts w:eastAsia="Microsoft YaHei"/>
          <w:sz w:val="22"/>
        </w:rPr>
        <w:t>1 banana = 5.7 teaspoons of sugar</w:t>
      </w:r>
    </w:p>
    <w:p>
      <w:pPr>
        <w:spacing w:after="160"/>
        <w:ind w:left="680" w:right="680"/>
        <w:pBdr>
          <w:left w:val="single" w:sz="12" w:space="4" w:color="2E74B5"/>
        </w:pBdr>
      </w:pPr>
      <w:r>
        <w:rPr>
          <w:rFonts w:eastAsia="Microsoft YaHei"/>
          <w:color w:val="333333"/>
          <w:sz w:val="22"/>
        </w:rPr>
        <w:t>"When patients understand that their 'healthy breakfast' of porridge and banana delivers 12+ teaspoons of sugar into their bloodstream, they change their behaviour immediately." — Dr. David Unwin</w:t>
      </w:r>
    </w:p>
    <w:p>
      <w:pPr>
        <w:spacing w:after="120"/>
      </w:pPr>
      <w:r>
        <w:rPr>
          <w:rFonts w:eastAsia="Microsoft YaHei"/>
          <w:sz w:val="22"/>
        </w:rPr>
        <w:t>These infographics, freely available on his website, are now used by doctors in over 40 countries.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Core Principles</w:t>
      </w:r>
    </w:p>
    <w:p>
      <w:pPr>
        <w:spacing w:after="120"/>
      </w:pPr>
      <w:r>
        <w:rPr>
          <w:rFonts w:eastAsia="Microsoft YaHei"/>
          <w:b/>
          <w:sz w:val="22"/>
        </w:rPr>
        <w:t>Principle 1: Low-Carbohydrate Diet as Primary Intervention</w:t>
      </w:r>
    </w:p>
    <w:p>
      <w:pPr>
        <w:spacing w:after="120"/>
      </w:pPr>
      <w:r>
        <w:rPr>
          <w:rFonts w:eastAsia="Microsoft YaHei"/>
          <w:sz w:val="22"/>
        </w:rPr>
        <w:t>Unwin's approach focuses on reducing dietary carbohydrate — particularly refined carbs and starches — rather than calorie restriction. The goal is to lower insulin levels and reverse insulin resistance.</w:t>
      </w:r>
    </w:p>
    <w:p>
      <w:pPr>
        <w:spacing w:after="120"/>
      </w:pPr>
      <w:r>
        <w:rPr>
          <w:rFonts w:eastAsia="Microsoft YaHei"/>
          <w:b/>
          <w:sz w:val="22"/>
        </w:rPr>
        <w:t>Principle 2: Whole Food, High-Fat Replacement</w:t>
      </w:r>
    </w:p>
    <w:p>
      <w:pPr>
        <w:spacing w:after="120"/>
      </w:pPr>
      <w:r>
        <w:rPr>
          <w:rFonts w:eastAsia="Microsoft YaHei"/>
          <w:sz w:val="22"/>
        </w:rPr>
        <w:t>When carbohydrates are reduced, they are replaced with natural fats (butter, olive oil, full-fat dairy, meat, fish, eggs) and vegetables. This keeps patients satiated and removes hunger as a barrier to compliance.</w:t>
      </w:r>
    </w:p>
    <w:p>
      <w:pPr>
        <w:spacing w:after="120"/>
      </w:pPr>
      <w:r>
        <w:rPr>
          <w:rFonts w:eastAsia="Microsoft YaHei"/>
          <w:b/>
          <w:sz w:val="22"/>
        </w:rPr>
        <w:t>Principle 3: The Doctor-Patient Relationship as the Therapeutic Tool</w:t>
      </w:r>
    </w:p>
    <w:p>
      <w:pPr>
        <w:spacing w:after="120"/>
      </w:pPr>
      <w:r>
        <w:rPr>
          <w:rFonts w:eastAsia="Microsoft YaHei"/>
          <w:sz w:val="22"/>
        </w:rPr>
        <w:t>Unwin believes the GP consultation is the most underused treatment available. He spends time explaining the physiology clearly, using his infographics, and motivating patients through understanding rather than fear.</w:t>
      </w:r>
    </w:p>
    <w:p>
      <w:pPr>
        <w:spacing w:after="120"/>
      </w:pPr>
      <w:r>
        <w:rPr>
          <w:rFonts w:eastAsia="Microsoft YaHei"/>
          <w:b/>
          <w:sz w:val="22"/>
        </w:rPr>
        <w:t>Principle 4: Medication Reduction is a Success Metric</w:t>
      </w:r>
    </w:p>
    <w:p>
      <w:pPr>
        <w:spacing w:after="120"/>
      </w:pPr>
      <w:r>
        <w:rPr>
          <w:rFonts w:eastAsia="Microsoft YaHei"/>
          <w:sz w:val="22"/>
        </w:rPr>
        <w:t>Unwin tracks how many medications patients come off — not just HbA1c numbers. Coming off insulin, statins, blood pressure tablets, and antidepressants are all celebrated outcomes in his practice.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Techniques in Detail</w:t>
      </w:r>
    </w:p>
    <w:p>
      <w:pPr>
        <w:spacing w:after="120"/>
      </w:pPr>
      <w:r>
        <w:rPr>
          <w:rFonts w:eastAsia="Microsoft YaHei"/>
          <w:b/>
          <w:sz w:val="22"/>
        </w:rPr>
        <w:t>Technique 1: The Sugar Equivalents Infographic</w:t>
      </w:r>
    </w:p>
    <w:p>
      <w:pPr>
        <w:spacing w:after="120"/>
      </w:pPr>
      <w:r>
        <w:rPr>
          <w:rFonts w:eastAsia="Microsoft YaHei"/>
          <w:sz w:val="22"/>
        </w:rPr>
        <w:t>Patients are shown a visual chart comparing common foods to teaspoons of sugar. This single educational tool has the highest impact on behaviour change in his practice. Available freely at phcuk.org.</w:t>
      </w:r>
    </w:p>
    <w:p>
      <w:pPr>
        <w:spacing w:after="120"/>
      </w:pPr>
      <w:r>
        <w:rPr>
          <w:rFonts w:eastAsia="Microsoft YaHei"/>
          <w:b/>
          <w:sz w:val="22"/>
        </w:rPr>
        <w:t>Technique 2: The Low-Carb Diet — What to Eat</w:t>
      </w:r>
    </w:p>
    <w:p>
      <w:pPr>
        <w:spacing w:after="80"/>
        <w:ind w:left="454"/>
      </w:pPr>
      <w:r>
        <w:rPr>
          <w:rFonts w:eastAsia="Microsoft YaHei"/>
          <w:sz w:val="22"/>
        </w:rPr>
        <w:t>✅ Eat freely: meat, fish, eggs, cheese, butter, cream, olive oil, leafy vegetables, broccoli, cauliflower, berries</w:t>
      </w:r>
    </w:p>
    <w:p>
      <w:pPr>
        <w:spacing w:after="80"/>
        <w:ind w:left="454"/>
      </w:pPr>
      <w:r>
        <w:rPr>
          <w:rFonts w:eastAsia="Microsoft YaHei"/>
          <w:sz w:val="22"/>
        </w:rPr>
        <w:t>✅ Eat moderately: nuts, seeds, full-fat yoghurt, onions, tomatoes</w:t>
      </w:r>
    </w:p>
    <w:p>
      <w:pPr>
        <w:spacing w:after="80"/>
        <w:ind w:left="454"/>
      </w:pPr>
      <w:r>
        <w:rPr>
          <w:rFonts w:eastAsia="Microsoft YaHei"/>
          <w:sz w:val="22"/>
        </w:rPr>
        <w:t>❌ Avoid: bread, rice, pasta, potatoes, cereals, sugary drinks, fruit juice, most fruit</w:t>
      </w:r>
    </w:p>
    <w:p>
      <w:pPr>
        <w:spacing w:after="80"/>
        <w:ind w:left="454"/>
      </w:pPr>
      <w:r>
        <w:rPr>
          <w:rFonts w:eastAsia="Microsoft YaHei"/>
          <w:sz w:val="22"/>
        </w:rPr>
        <w:t>❌ Avoid: low-fat products (they replace fat with sugar)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Technique 3: Monitoring Protocol</w:t>
      </w:r>
    </w:p>
    <w:p>
      <w:pPr>
        <w:spacing w:after="80"/>
        <w:ind w:left="454"/>
      </w:pPr>
      <w:r>
        <w:rPr>
          <w:rFonts w:eastAsia="Microsoft YaHei"/>
          <w:sz w:val="22"/>
        </w:rPr>
        <w:t>HbA1c: checked every 3 months initially, then 6-monthly once stable</w:t>
      </w:r>
    </w:p>
    <w:p>
      <w:pPr>
        <w:spacing w:after="80"/>
        <w:ind w:left="454"/>
      </w:pPr>
      <w:r>
        <w:rPr>
          <w:rFonts w:eastAsia="Microsoft YaHei"/>
          <w:sz w:val="22"/>
        </w:rPr>
        <w:t>Blood glucose: home monitoring to identify personal food responses</w:t>
      </w:r>
    </w:p>
    <w:p>
      <w:pPr>
        <w:spacing w:after="80"/>
        <w:ind w:left="454"/>
      </w:pPr>
      <w:r>
        <w:rPr>
          <w:rFonts w:eastAsia="Microsoft YaHei"/>
          <w:sz w:val="22"/>
        </w:rPr>
        <w:t>Liver enzymes (ALT): monitors fatty liver improvement</w:t>
      </w:r>
    </w:p>
    <w:p>
      <w:pPr>
        <w:spacing w:after="80"/>
        <w:ind w:left="454"/>
      </w:pPr>
      <w:r>
        <w:rPr>
          <w:rFonts w:eastAsia="Microsoft YaHei"/>
          <w:sz w:val="22"/>
        </w:rPr>
        <w:t>Weight: weekly self-monitoring encouraged</w:t>
      </w:r>
    </w:p>
    <w:p>
      <w:pPr>
        <w:spacing w:after="80"/>
        <w:ind w:left="454"/>
      </w:pPr>
      <w:r>
        <w:rPr>
          <w:rFonts w:eastAsia="Microsoft YaHei"/>
          <w:sz w:val="22"/>
        </w:rPr>
        <w:t>Medication list: reviewed and reduced at every appointment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Technique 4: Published 8-Year Real-World Data</w:t>
      </w:r>
    </w:p>
    <w:p>
      <w:pPr>
        <w:spacing w:after="80"/>
        <w:ind w:left="454"/>
      </w:pPr>
      <w:r>
        <w:rPr>
          <w:rFonts w:eastAsia="Microsoft YaHei"/>
          <w:sz w:val="22"/>
        </w:rPr>
        <w:t>51% of all T2D patients achieved full drug-free remission</w:t>
      </w:r>
    </w:p>
    <w:p>
      <w:pPr>
        <w:spacing w:after="80"/>
        <w:ind w:left="454"/>
      </w:pPr>
      <w:r>
        <w:rPr>
          <w:rFonts w:eastAsia="Microsoft YaHei"/>
          <w:sz w:val="22"/>
        </w:rPr>
        <w:t>77% achieved remission if T2D duration &lt; 1 year</w:t>
      </w:r>
    </w:p>
    <w:p>
      <w:pPr>
        <w:spacing w:after="80"/>
        <w:ind w:left="454"/>
      </w:pPr>
      <w:r>
        <w:rPr>
          <w:rFonts w:eastAsia="Microsoft YaHei"/>
          <w:sz w:val="22"/>
        </w:rPr>
        <w:t>20% achieved remission if T2D duration &gt; 15 years</w:t>
      </w:r>
    </w:p>
    <w:p>
      <w:pPr>
        <w:spacing w:after="80"/>
        <w:ind w:left="454"/>
      </w:pPr>
      <w:r>
        <w:rPr>
          <w:rFonts w:eastAsia="Microsoft YaHei"/>
          <w:sz w:val="22"/>
        </w:rPr>
        <w:t>Average weight loss: 10 kg over 33 months</w:t>
      </w:r>
    </w:p>
    <w:p>
      <w:pPr>
        <w:spacing w:after="80"/>
        <w:ind w:left="454"/>
      </w:pPr>
      <w:r>
        <w:rPr>
          <w:rFonts w:eastAsia="Microsoft YaHei"/>
          <w:sz w:val="22"/>
        </w:rPr>
        <w:t>Average HbA1c drop: 63 → 46 mmol/mol</w:t>
      </w:r>
    </w:p>
    <w:p>
      <w:pPr>
        <w:spacing w:after="80"/>
        <w:ind w:left="454"/>
      </w:pPr>
      <w:r>
        <w:rPr>
          <w:rFonts w:eastAsia="Microsoft YaHei"/>
          <w:sz w:val="22"/>
        </w:rPr>
        <w:t>Fastest remission recorded: 38 days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280" w:after="120"/>
      </w:pPr>
      <w:r>
        <w:rPr>
          <w:rFonts w:eastAsia="Microsoft YaHei"/>
          <w:b/>
          <w:color w:val="1F497D"/>
          <w:sz w:val="28"/>
        </w:rPr>
        <w:t>Insulin Patient Journey — Step-by-Step Plan</w:t>
      </w:r>
    </w:p>
    <w:p>
      <w:pPr>
        <w:spacing w:after="120"/>
      </w:pPr>
      <w:r>
        <w:rPr>
          <w:rFonts w:eastAsia="Microsoft YaHei"/>
          <w:b/>
          <w:sz w:val="22"/>
        </w:rPr>
        <w:t>⚠️ Safety First: SGLT2 inhibitors + low-carb diet can cause diabetic ketoacidosis (DKA). Must be reviewed by a doctor. Insulin must be reduced as blood sugar drops.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Week 1 — Education &amp; Diet Start</w:t>
      </w:r>
    </w:p>
    <w:p>
      <w:pPr>
        <w:spacing w:after="80"/>
        <w:ind w:left="454"/>
      </w:pPr>
      <w:r>
        <w:rPr>
          <w:rFonts w:eastAsia="Microsoft YaHei"/>
          <w:sz w:val="22"/>
        </w:rPr>
        <w:t>Patient shown sugar equivalents infographic — immediate 'aha moment'</w:t>
      </w:r>
    </w:p>
    <w:p>
      <w:pPr>
        <w:spacing w:after="80"/>
        <w:ind w:left="454"/>
      </w:pPr>
      <w:r>
        <w:rPr>
          <w:rFonts w:eastAsia="Microsoft YaHei"/>
          <w:sz w:val="22"/>
        </w:rPr>
        <w:t>Low-carb diet started immediately (&lt; 50g carbs per day)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dose reduced by 20–30% on Day 1 as food intake changes</w:t>
      </w:r>
    </w:p>
    <w:p>
      <w:pPr>
        <w:spacing w:after="80"/>
        <w:ind w:left="454"/>
      </w:pPr>
      <w:r>
        <w:rPr>
          <w:rFonts w:eastAsia="Microsoft YaHei"/>
          <w:sz w:val="22"/>
        </w:rPr>
        <w:t>Blood glucose monitoring: 4× daily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Week 2–4 — Rapid Glucose Improvement</w:t>
      </w:r>
    </w:p>
    <w:p>
      <w:pPr>
        <w:spacing w:after="80"/>
        <w:ind w:left="454"/>
      </w:pPr>
      <w:r>
        <w:rPr>
          <w:rFonts w:eastAsia="Microsoft YaHei"/>
          <w:sz w:val="22"/>
        </w:rPr>
        <w:t>Most patients see fasting glucose normalise within 2 weeks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further reduced or discontinued as glucose stabilises below 7 mmol/L</w:t>
      </w:r>
    </w:p>
    <w:p>
      <w:pPr>
        <w:spacing w:after="80"/>
        <w:ind w:left="454"/>
      </w:pPr>
      <w:r>
        <w:rPr>
          <w:rFonts w:eastAsia="Microsoft YaHei"/>
          <w:sz w:val="22"/>
        </w:rPr>
        <w:t>Sulfonylureas stopped first (high hypoglycemia risk on low-carb)</w:t>
      </w:r>
    </w:p>
    <w:p>
      <w:pPr>
        <w:spacing w:after="80"/>
        <w:ind w:left="454"/>
      </w:pPr>
      <w:r>
        <w:rPr>
          <w:rFonts w:eastAsia="Microsoft YaHei"/>
          <w:sz w:val="22"/>
        </w:rPr>
        <w:t>Weight loss begins: average 1–2 kg in first 2 weeks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Month 2–3 — HbA1c Drop &amp; Medication Review</w:t>
      </w:r>
    </w:p>
    <w:p>
      <w:pPr>
        <w:spacing w:after="80"/>
        <w:ind w:left="454"/>
      </w:pPr>
      <w:r>
        <w:rPr>
          <w:rFonts w:eastAsia="Microsoft YaHei"/>
          <w:sz w:val="22"/>
        </w:rPr>
        <w:t>HbA1c typically drops 10–20 mmol/mol (1–2%) in first 3 months</w:t>
      </w:r>
    </w:p>
    <w:p>
      <w:pPr>
        <w:spacing w:after="80"/>
        <w:ind w:left="454"/>
      </w:pPr>
      <w:r>
        <w:rPr>
          <w:rFonts w:eastAsia="Microsoft YaHei"/>
          <w:sz w:val="22"/>
        </w:rPr>
        <w:t>Insulin typically fully discontinued by Month 2 if T2D &lt; 5 years</w:t>
      </w:r>
    </w:p>
    <w:p>
      <w:pPr>
        <w:spacing w:after="80"/>
        <w:ind w:left="454"/>
      </w:pPr>
      <w:r>
        <w:rPr>
          <w:rFonts w:eastAsia="Microsoft YaHei"/>
          <w:sz w:val="22"/>
        </w:rPr>
        <w:t>Patient reviewed monthly — medication list shortened at each visit</w:t>
      </w:r>
    </w:p>
    <w:p>
      <w:pPr>
        <w:spacing w:after="60"/>
      </w:pPr>
    </w:p>
    <w:p>
      <w:pPr>
        <w:spacing w:after="120"/>
      </w:pPr>
      <w:r>
        <w:rPr>
          <w:rFonts w:eastAsia="Microsoft YaHei"/>
          <w:b/>
          <w:sz w:val="22"/>
        </w:rPr>
        <w:t>Month 4+ — Remission Assessment &amp; Long-Term Maintenance</w:t>
      </w:r>
    </w:p>
    <w:p>
      <w:pPr>
        <w:spacing w:after="80"/>
        <w:ind w:left="454"/>
      </w:pPr>
      <w:r>
        <w:rPr>
          <w:rFonts w:eastAsia="Microsoft YaHei"/>
          <w:sz w:val="22"/>
        </w:rPr>
        <w:t>HbA1c &lt; 48 mmol/mol (6.5%) off all medication = remission confirmed</w:t>
      </w:r>
    </w:p>
    <w:p>
      <w:pPr>
        <w:spacing w:after="80"/>
        <w:ind w:left="454"/>
      </w:pPr>
      <w:r>
        <w:rPr>
          <w:rFonts w:eastAsia="Microsoft YaHei"/>
          <w:sz w:val="22"/>
        </w:rPr>
        <w:t>Low-carb eating maintained as permanent lifestyle</w:t>
      </w:r>
    </w:p>
    <w:p>
      <w:pPr>
        <w:spacing w:after="80"/>
        <w:ind w:left="454"/>
      </w:pPr>
      <w:r>
        <w:rPr>
          <w:rFonts w:eastAsia="Microsoft YaHei"/>
          <w:sz w:val="22"/>
        </w:rPr>
        <w:t>HbA1c checked 6-monthly; weight checked monthly</w:t>
      </w:r>
    </w:p>
    <w:p>
      <w:pPr>
        <w:spacing w:after="80"/>
        <w:ind w:left="454"/>
      </w:pPr>
      <w:r>
        <w:rPr>
          <w:rFonts w:eastAsia="Microsoft YaHei"/>
          <w:sz w:val="22"/>
        </w:rPr>
        <w:t>Unwin remains available for ongoing support — the GP relationship is the key</w:t>
      </w:r>
    </w:p>
    <w:p>
      <w:pPr>
        <w:spacing w:after="160" w:before="40"/>
        <w:pBdr>
          <w:bottom w:val="single" w:sz="2" w:space="1" w:color="DDDDDD"/>
        </w:pBdr>
      </w:pPr>
    </w:p>
    <w:p>
      <w:pPr>
        <w:spacing w:before="400"/>
      </w:pPr>
      <w:r>
        <w:rPr>
          <w:rFonts w:eastAsia="Microsoft YaHei"/>
          <w:color w:val="999999"/>
          <w:sz w:val="18"/>
        </w:rPr>
        <w:t>Source: Research compiled by Dr. Eason Chang | Reverse Diabetes Knowledge Base | 2026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/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