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eastAsia="Microsoft YaHei"/>
          <w:b/>
          <w:color w:val="1F497D"/>
          <w:sz w:val="40"/>
        </w:rPr>
        <w:t>Dr. Julie Ng</w:t>
      </w:r>
    </w:p>
    <w:p>
      <w:pPr>
        <w:spacing w:after="320"/>
      </w:pPr>
      <w:r>
        <w:rPr>
          <w:rFonts w:eastAsia="Microsoft YaHei"/>
          <w:color w:val="555555"/>
          <w:sz w:val="24"/>
        </w:rPr>
        <w:t>DJ HealthyMax Consultancy, Johor Bahru, Malaysia | Nutrition-Based Diabetes Reversal</w:t>
      </w:r>
    </w:p>
    <w:p>
      <w:pPr>
        <w:spacing w:after="160" w:before="40"/>
        <w:pBdr>
          <w:bottom w:val="single" w:sz="4" w:space="1" w:color="2E74B5"/>
        </w:pBdr>
      </w:pPr>
    </w:p>
    <w:p>
      <w:pPr>
        <w:spacing w:before="280" w:after="120"/>
      </w:pPr>
      <w:r>
        <w:rPr>
          <w:rFonts w:eastAsia="Microsoft YaHei"/>
          <w:b/>
          <w:color w:val="1F497D"/>
          <w:sz w:val="28"/>
        </w:rPr>
        <w:t>Background &amp; Credentials</w:t>
      </w:r>
    </w:p>
    <w:p>
      <w:pPr>
        <w:spacing w:after="120"/>
      </w:pPr>
      <w:r>
        <w:rPr>
          <w:rFonts w:eastAsia="Microsoft YaHei"/>
          <w:sz w:val="22"/>
        </w:rPr>
        <w:t>Dr. Julie Ng is a Malaysian Diabetes Reversal Consultant with a Doctorate in Nutrition and over 15 years of experience in blood sugar education, research, and dietary therapy. She is based in Johor Bahru, Malaysia, and operates through DJ HealthyMax Consultancy Sdn. Bhd. She is recognised in the British Encyclopedia as a notable Malaysian personality for her work in diabetes reversal, and has built a significant following through social media education in Simplified Chinese, Malay, and English.</w:t>
      </w:r>
    </w:p>
    <w:p>
      <w:pPr>
        <w:spacing w:after="80"/>
        <w:ind w:left="454"/>
      </w:pPr>
      <w:r>
        <w:rPr>
          <w:rFonts w:eastAsia="Microsoft YaHei"/>
          <w:sz w:val="22"/>
        </w:rPr>
        <w:t>🎓 PhD in Nutrition (Doctorate in Nutrition Sciences)</w:t>
      </w:r>
    </w:p>
    <w:p>
      <w:pPr>
        <w:spacing w:after="80"/>
        <w:ind w:left="454"/>
      </w:pPr>
      <w:r>
        <w:rPr>
          <w:rFonts w:eastAsia="Microsoft YaHei"/>
          <w:sz w:val="22"/>
        </w:rPr>
        <w:t>🏥 Founder — DJ HealthyMax Consultancy Sdn. Bhd., Johor Bahru</w:t>
      </w:r>
    </w:p>
    <w:p>
      <w:pPr>
        <w:spacing w:after="80"/>
        <w:ind w:left="454"/>
      </w:pPr>
      <w:r>
        <w:rPr>
          <w:rFonts w:eastAsia="Microsoft YaHei"/>
          <w:sz w:val="22"/>
        </w:rPr>
        <w:t>📖 Recognised in British Encyclopedia as a notable Malaysian personality</w:t>
      </w:r>
    </w:p>
    <w:p>
      <w:pPr>
        <w:spacing w:after="80"/>
        <w:ind w:left="454"/>
      </w:pPr>
      <w:r>
        <w:rPr>
          <w:rFonts w:eastAsia="Microsoft YaHei"/>
          <w:sz w:val="22"/>
        </w:rPr>
        <w:t>🎤 15+ years of diabetes education experience</w:t>
      </w:r>
    </w:p>
    <w:p>
      <w:pPr>
        <w:spacing w:after="80"/>
        <w:ind w:left="454"/>
      </w:pPr>
      <w:r>
        <w:rPr>
          <w:rFonts w:eastAsia="Microsoft YaHei"/>
          <w:sz w:val="22"/>
        </w:rPr>
        <w:t>📱 Active educator on Facebook (Dr Julie 营养博士) and TikTok (@drjulie_oe) — Chinese-language community</w:t>
      </w:r>
    </w:p>
    <w:p>
      <w:pPr>
        <w:spacing w:after="80"/>
        <w:ind w:left="454"/>
      </w:pPr>
      <w:r>
        <w:rPr>
          <w:rFonts w:eastAsia="Microsoft YaHei"/>
          <w:sz w:val="22"/>
        </w:rPr>
        <w:t>🌏 Serves Malaysian Chinese, Malay, and broader Southeast Asian communities</w:t>
      </w:r>
    </w:p>
    <w:p>
      <w:pPr>
        <w:spacing w:after="160" w:before="40"/>
        <w:pBdr>
          <w:bottom w:val="single" w:sz="2" w:space="1" w:color="DDDDDD"/>
        </w:pBdr>
      </w:pPr>
    </w:p>
    <w:p>
      <w:pPr>
        <w:spacing w:before="280" w:after="120"/>
      </w:pPr>
      <w:r>
        <w:rPr>
          <w:rFonts w:eastAsia="Microsoft YaHei"/>
          <w:b/>
          <w:color w:val="1F497D"/>
          <w:sz w:val="28"/>
        </w:rPr>
        <w:t>Core Philosophy — Food As Medicine, Empowerment Over Restriction</w:t>
      </w:r>
    </w:p>
    <w:p>
      <w:pPr>
        <w:spacing w:after="120"/>
      </w:pPr>
      <w:r>
        <w:rPr>
          <w:rFonts w:eastAsia="Microsoft YaHei"/>
          <w:b/>
          <w:sz w:val="22"/>
        </w:rPr>
        <w:t>Dietary Therapy as the Primary Intervention</w:t>
      </w:r>
    </w:p>
    <w:p>
      <w:pPr>
        <w:spacing w:after="120"/>
      </w:pPr>
      <w:r>
        <w:rPr>
          <w:rFonts w:eastAsia="Microsoft YaHei"/>
          <w:sz w:val="22"/>
        </w:rPr>
        <w:t>Dr. Julie Ng's approach centres on the principle that T2D is fundamentally a dietary disease — and therefore, the most powerful reversal tool is dietary therapy. Her programme focuses on specific food choices, meal timing, food combinations, and understanding individual blood sugar responses to food, rather than medication management alone.</w:t>
      </w:r>
    </w:p>
    <w:p>
      <w:pPr>
        <w:spacing w:after="120"/>
      </w:pPr>
      <w:r>
        <w:rPr>
          <w:rFonts w:eastAsia="Microsoft YaHei"/>
          <w:b/>
          <w:sz w:val="22"/>
        </w:rPr>
        <w:t>Empowerment Through Education</w:t>
      </w:r>
    </w:p>
    <w:p>
      <w:pPr>
        <w:spacing w:after="120"/>
      </w:pPr>
      <w:r>
        <w:rPr>
          <w:rFonts w:eastAsia="Microsoft YaHei"/>
          <w:sz w:val="22"/>
        </w:rPr>
        <w:t>Dr. Julie believes that when patients truly understand how food affects their blood sugar — not just which foods to avoid, but why and how — they make lasting changes. Her educational approach in Mandarin and local languages removes the language barrier that often prevents Malaysian Chinese patients from accessing quality diabetes education.</w:t>
      </w:r>
    </w:p>
    <w:p>
      <w:pPr>
        <w:spacing w:after="160"/>
        <w:ind w:left="680" w:right="680"/>
        <w:pBdr>
          <w:left w:val="single" w:sz="12" w:space="4" w:color="2E74B5"/>
        </w:pBdr>
      </w:pPr>
      <w:r>
        <w:rPr>
          <w:rFonts w:eastAsia="Microsoft YaHei"/>
          <w:color w:val="333333"/>
          <w:sz w:val="22"/>
        </w:rPr>
        <w:t>"You do not have to eat bland food for the rest of your life. You need to eat smart food. Understanding your blood sugar response to each meal is the beginning of your reversal journey." — Dr. Julie Ng</w:t>
      </w:r>
    </w:p>
    <w:p>
      <w:pPr>
        <w:spacing w:after="120"/>
      </w:pPr>
      <w:r>
        <w:rPr>
          <w:rFonts w:eastAsia="Microsoft YaHei"/>
          <w:b/>
          <w:sz w:val="22"/>
        </w:rPr>
        <w:t>Malaysian Cultural Integration</w:t>
      </w:r>
    </w:p>
    <w:p>
      <w:pPr>
        <w:spacing w:after="120"/>
      </w:pPr>
      <w:r>
        <w:rPr>
          <w:rFonts w:eastAsia="Microsoft YaHei"/>
          <w:sz w:val="22"/>
        </w:rPr>
        <w:t>Dr. Julie's programme is specifically designed around Malaysian Chinese food culture — addressing hawker food, dim sum, Chinese festive meals, and common Malaysian dietary habits with practical, culturally appropriate alternatives rather than generic Western dietary advice.</w:t>
      </w:r>
    </w:p>
    <w:p>
      <w:pPr>
        <w:spacing w:after="160" w:before="40"/>
        <w:pBdr>
          <w:bottom w:val="single" w:sz="2" w:space="1" w:color="DDDDDD"/>
        </w:pBdr>
      </w:pPr>
    </w:p>
    <w:p>
      <w:pPr>
        <w:spacing w:before="280" w:after="120"/>
      </w:pPr>
      <w:r>
        <w:rPr>
          <w:rFonts w:eastAsia="Microsoft YaHei"/>
          <w:b/>
          <w:color w:val="1F497D"/>
          <w:sz w:val="28"/>
        </w:rPr>
        <w:t>Core Principles</w:t>
      </w:r>
    </w:p>
    <w:p>
      <w:pPr>
        <w:spacing w:after="120"/>
      </w:pPr>
      <w:r>
        <w:rPr>
          <w:rFonts w:eastAsia="Microsoft YaHei"/>
          <w:b/>
          <w:sz w:val="22"/>
        </w:rPr>
        <w:t>Principle 1: Natural, Whole-Food Diet</w:t>
      </w:r>
    </w:p>
    <w:p>
      <w:pPr>
        <w:spacing w:after="120"/>
      </w:pPr>
      <w:r>
        <w:rPr>
          <w:rFonts w:eastAsia="Microsoft YaHei"/>
          <w:sz w:val="22"/>
        </w:rPr>
        <w:t>The foundation is eating natural, minimally processed whole foods. Elimination of ultra-processed products, refined sugars, and artificial additives. Focus on traditional Asian foods that are naturally low in glycaemic load.</w:t>
      </w:r>
    </w:p>
    <w:p>
      <w:pPr>
        <w:spacing w:after="120"/>
      </w:pPr>
      <w:r>
        <w:rPr>
          <w:rFonts w:eastAsia="Microsoft YaHei"/>
          <w:b/>
          <w:sz w:val="22"/>
        </w:rPr>
        <w:t>Principle 2: Blood Sugar Monitoring as a Learning Tool</w:t>
      </w:r>
    </w:p>
    <w:p>
      <w:pPr>
        <w:spacing w:after="120"/>
      </w:pPr>
      <w:r>
        <w:rPr>
          <w:rFonts w:eastAsia="Microsoft YaHei"/>
          <w:sz w:val="22"/>
        </w:rPr>
        <w:t>Patients are taught to monitor their blood glucose after every meal — using the glucose meter as a real-time feedback device to understand which specific foods spike their blood sugar. This personalised data is more powerful than any generic food list.</w:t>
      </w:r>
    </w:p>
    <w:p>
      <w:pPr>
        <w:spacing w:after="120"/>
      </w:pPr>
      <w:r>
        <w:rPr>
          <w:rFonts w:eastAsia="Microsoft YaHei"/>
          <w:b/>
          <w:sz w:val="22"/>
        </w:rPr>
        <w:t>Principle 3: Meal Timing &amp; Frequency</w:t>
      </w:r>
    </w:p>
    <w:p>
      <w:pPr>
        <w:spacing w:after="120"/>
      </w:pPr>
      <w:r>
        <w:rPr>
          <w:rFonts w:eastAsia="Microsoft YaHei"/>
          <w:sz w:val="22"/>
        </w:rPr>
        <w:t>Time-restricted eating and controlled meal frequency are part of the programme — reducing the number of insulin spikes per day is as important as reducing the height of each spike.</w:t>
      </w:r>
    </w:p>
    <w:p>
      <w:pPr>
        <w:spacing w:after="120"/>
      </w:pPr>
      <w:r>
        <w:rPr>
          <w:rFonts w:eastAsia="Microsoft YaHei"/>
          <w:b/>
          <w:sz w:val="22"/>
        </w:rPr>
        <w:t>Principle 4: Addressing Root Causes Holistically</w:t>
      </w:r>
    </w:p>
    <w:p>
      <w:pPr>
        <w:spacing w:after="120"/>
      </w:pPr>
      <w:r>
        <w:rPr>
          <w:rFonts w:eastAsia="Microsoft YaHei"/>
          <w:sz w:val="22"/>
        </w:rPr>
        <w:t>Dr. Julie considers sleep quality, stress levels, physical activity, and gut health alongside diet — recognising that T2D is a multifactorial condition requiring a comprehensive approach.</w:t>
      </w:r>
    </w:p>
    <w:p>
      <w:pPr>
        <w:spacing w:after="160" w:before="40"/>
        <w:pBdr>
          <w:bottom w:val="single" w:sz="2" w:space="1" w:color="DDDDDD"/>
        </w:pBdr>
      </w:pPr>
    </w:p>
    <w:p>
      <w:pPr>
        <w:spacing w:before="280" w:after="120"/>
      </w:pPr>
      <w:r>
        <w:rPr>
          <w:rFonts w:eastAsia="Microsoft YaHei"/>
          <w:b/>
          <w:color w:val="1F497D"/>
          <w:sz w:val="28"/>
        </w:rPr>
        <w:t>Techniques in Detail</w:t>
      </w:r>
    </w:p>
    <w:p>
      <w:pPr>
        <w:spacing w:after="120"/>
      </w:pPr>
      <w:r>
        <w:rPr>
          <w:rFonts w:eastAsia="Microsoft YaHei"/>
          <w:b/>
          <w:sz w:val="22"/>
        </w:rPr>
        <w:t>Technique 1: Personalised Low-GI Malaysian Food Plan</w:t>
      </w:r>
    </w:p>
    <w:p>
      <w:pPr>
        <w:spacing w:after="80"/>
        <w:ind w:left="454"/>
      </w:pPr>
      <w:r>
        <w:rPr>
          <w:rFonts w:eastAsia="Microsoft YaHei"/>
          <w:sz w:val="22"/>
        </w:rPr>
        <w:t>Replace: white rice → brown rice, cauliflower rice, or konjac rice</w:t>
      </w:r>
    </w:p>
    <w:p>
      <w:pPr>
        <w:spacing w:after="80"/>
        <w:ind w:left="454"/>
      </w:pPr>
      <w:r>
        <w:rPr>
          <w:rFonts w:eastAsia="Microsoft YaHei"/>
          <w:sz w:val="22"/>
        </w:rPr>
        <w:t>Replace: white bread, bao → whole grain options or protein-based alternatives</w:t>
      </w:r>
    </w:p>
    <w:p>
      <w:pPr>
        <w:spacing w:after="80"/>
        <w:ind w:left="454"/>
      </w:pPr>
      <w:r>
        <w:rPr>
          <w:rFonts w:eastAsia="Microsoft YaHei"/>
          <w:sz w:val="22"/>
        </w:rPr>
        <w:t>Replace: sugary drinks (Milo, teh tarik, sirap) → plain water, Chinese tea (without sugar), unsweetened soy milk</w:t>
      </w:r>
    </w:p>
    <w:p>
      <w:pPr>
        <w:spacing w:after="80"/>
        <w:ind w:left="454"/>
      </w:pPr>
      <w:r>
        <w:rPr>
          <w:rFonts w:eastAsia="Microsoft YaHei"/>
          <w:sz w:val="22"/>
        </w:rPr>
        <w:t>Emphasise: tofu, tempeh, fish, lean meat, eggs, local vegetables (kangkung, kailan, paku), low-GI fruits (guava, papaya, berries)</w:t>
      </w:r>
    </w:p>
    <w:p>
      <w:pPr>
        <w:spacing w:after="80"/>
        <w:ind w:left="454"/>
      </w:pPr>
      <w:r>
        <w:rPr>
          <w:rFonts w:eastAsia="Microsoft YaHei"/>
          <w:sz w:val="22"/>
        </w:rPr>
        <w:t>Malaysian festive food: practical guidance for CNY, Mooncake Festival, and family gatherings</w:t>
      </w:r>
    </w:p>
    <w:p>
      <w:pPr>
        <w:spacing w:after="60"/>
      </w:pPr>
    </w:p>
    <w:p>
      <w:pPr>
        <w:spacing w:after="120"/>
      </w:pPr>
      <w:r>
        <w:rPr>
          <w:rFonts w:eastAsia="Microsoft YaHei"/>
          <w:b/>
          <w:sz w:val="22"/>
        </w:rPr>
        <w:t>Technique 2: Post-Meal Blood Glucose Testing Protocol</w:t>
      </w:r>
    </w:p>
    <w:p>
      <w:pPr>
        <w:spacing w:after="80"/>
        <w:ind w:left="454"/>
      </w:pPr>
      <w:r>
        <w:rPr>
          <w:rFonts w:eastAsia="Microsoft YaHei"/>
          <w:sz w:val="22"/>
        </w:rPr>
        <w:t>Test blood glucose 2 hours after every meal for the first 4 weeks</w:t>
      </w:r>
    </w:p>
    <w:p>
      <w:pPr>
        <w:spacing w:after="80"/>
        <w:ind w:left="454"/>
      </w:pPr>
      <w:r>
        <w:rPr>
          <w:rFonts w:eastAsia="Microsoft YaHei"/>
          <w:sz w:val="22"/>
        </w:rPr>
        <w:t>Target: &lt; 7.8 mmol/L at 2 hours post-meal</w:t>
      </w:r>
    </w:p>
    <w:p>
      <w:pPr>
        <w:spacing w:after="80"/>
        <w:ind w:left="454"/>
      </w:pPr>
      <w:r>
        <w:rPr>
          <w:rFonts w:eastAsia="Microsoft YaHei"/>
          <w:sz w:val="22"/>
        </w:rPr>
        <w:t>Foods that spike glucose above 8.5 mmol/L are eliminated or portion-reduced</w:t>
      </w:r>
    </w:p>
    <w:p>
      <w:pPr>
        <w:spacing w:after="80"/>
        <w:ind w:left="454"/>
      </w:pPr>
      <w:r>
        <w:rPr>
          <w:rFonts w:eastAsia="Microsoft YaHei"/>
          <w:sz w:val="22"/>
        </w:rPr>
        <w:t>Patient builds a personal 'food response map' — their individual guide to eating</w:t>
      </w:r>
    </w:p>
    <w:p>
      <w:pPr>
        <w:spacing w:after="60"/>
      </w:pPr>
    </w:p>
    <w:p>
      <w:pPr>
        <w:spacing w:after="120"/>
      </w:pPr>
      <w:r>
        <w:rPr>
          <w:rFonts w:eastAsia="Microsoft YaHei"/>
          <w:b/>
          <w:sz w:val="22"/>
        </w:rPr>
        <w:t>Technique 3: Community Education &amp; Ongoing Support</w:t>
      </w:r>
    </w:p>
    <w:p>
      <w:pPr>
        <w:spacing w:after="80"/>
        <w:ind w:left="454"/>
      </w:pPr>
      <w:r>
        <w:rPr>
          <w:rFonts w:eastAsia="Microsoft YaHei"/>
          <w:sz w:val="22"/>
        </w:rPr>
        <w:t>Regular online educational sessions via social media (Mandarin-language)</w:t>
      </w:r>
    </w:p>
    <w:p>
      <w:pPr>
        <w:spacing w:after="80"/>
        <w:ind w:left="454"/>
      </w:pPr>
      <w:r>
        <w:rPr>
          <w:rFonts w:eastAsia="Microsoft YaHei"/>
          <w:sz w:val="22"/>
        </w:rPr>
        <w:t>Patient success stories shared (with consent) to motivate the community</w:t>
      </w:r>
    </w:p>
    <w:p>
      <w:pPr>
        <w:spacing w:after="80"/>
        <w:ind w:left="454"/>
      </w:pPr>
      <w:r>
        <w:rPr>
          <w:rFonts w:eastAsia="Microsoft YaHei"/>
          <w:sz w:val="22"/>
        </w:rPr>
        <w:t>WhatsApp support group for ongoing Q&amp;A and accountability</w:t>
      </w:r>
    </w:p>
    <w:p>
      <w:pPr>
        <w:spacing w:after="80"/>
        <w:ind w:left="454"/>
      </w:pPr>
      <w:r>
        <w:rPr>
          <w:rFonts w:eastAsia="Microsoft YaHei"/>
          <w:sz w:val="22"/>
        </w:rPr>
        <w:t>Family involvement encouraged — entire household dietary change is more sustainable than individual change</w:t>
      </w:r>
    </w:p>
    <w:p>
      <w:pPr>
        <w:spacing w:after="160" w:before="40"/>
        <w:pBdr>
          <w:bottom w:val="single" w:sz="2" w:space="1" w:color="DDDDDD"/>
        </w:pBdr>
      </w:pPr>
    </w:p>
    <w:p>
      <w:pPr>
        <w:spacing w:before="280" w:after="120"/>
      </w:pPr>
      <w:r>
        <w:rPr>
          <w:rFonts w:eastAsia="Microsoft YaHei"/>
          <w:b/>
          <w:color w:val="1F497D"/>
          <w:sz w:val="28"/>
        </w:rPr>
        <w:t>Patient Results (Documented Case Examples)</w:t>
      </w:r>
    </w:p>
    <w:p>
      <w:pPr>
        <w:spacing w:after="120"/>
      </w:pPr>
      <w:r>
        <w:rPr>
          <w:rFonts w:eastAsia="Microsoft YaHei"/>
          <w:b/>
          <w:sz w:val="22"/>
        </w:rPr>
        <w:t>Example Case (from patient testimonial)</w:t>
      </w:r>
    </w:p>
    <w:p>
      <w:pPr>
        <w:spacing w:after="80"/>
        <w:ind w:left="454"/>
      </w:pPr>
      <w:r>
        <w:rPr>
          <w:rFonts w:eastAsia="Microsoft YaHei"/>
          <w:sz w:val="22"/>
        </w:rPr>
        <w:t>Starting HbA1c: 6.3%</w:t>
      </w:r>
    </w:p>
    <w:p>
      <w:pPr>
        <w:spacing w:after="80"/>
        <w:ind w:left="454"/>
      </w:pPr>
      <w:r>
        <w:rPr>
          <w:rFonts w:eastAsia="Microsoft YaHei"/>
          <w:sz w:val="22"/>
        </w:rPr>
        <w:t>Final HbA1c: 4.9% (well into normal range)</w:t>
      </w:r>
    </w:p>
    <w:p>
      <w:pPr>
        <w:spacing w:after="80"/>
        <w:ind w:left="454"/>
      </w:pPr>
      <w:r>
        <w:rPr>
          <w:rFonts w:eastAsia="Microsoft YaHei"/>
          <w:sz w:val="22"/>
        </w:rPr>
        <w:t>Weight lost: 24 kg over 3 months</w:t>
      </w:r>
    </w:p>
    <w:p>
      <w:pPr>
        <w:spacing w:after="80"/>
        <w:ind w:left="454"/>
      </w:pPr>
      <w:r>
        <w:rPr>
          <w:rFonts w:eastAsia="Microsoft YaHei"/>
          <w:sz w:val="22"/>
        </w:rPr>
        <w:t>Outcomes: cholesterol normalised, blood pressure normalised, no medication required</w:t>
      </w:r>
    </w:p>
    <w:p>
      <w:pPr>
        <w:spacing w:after="80"/>
        <w:ind w:left="454"/>
      </w:pPr>
      <w:r>
        <w:rPr>
          <w:rFonts w:eastAsia="Microsoft YaHei"/>
          <w:sz w:val="22"/>
        </w:rPr>
        <w:t>Time to full reversal: 3 months</w:t>
      </w:r>
    </w:p>
    <w:p>
      <w:pPr>
        <w:spacing w:after="160" w:before="40"/>
        <w:pBdr>
          <w:bottom w:val="single" w:sz="2" w:space="1" w:color="DDDDDD"/>
        </w:pBdr>
      </w:pPr>
    </w:p>
    <w:p>
      <w:pPr>
        <w:spacing w:before="280" w:after="120"/>
      </w:pPr>
      <w:r>
        <w:rPr>
          <w:rFonts w:eastAsia="Microsoft YaHei"/>
          <w:b/>
          <w:color w:val="1F497D"/>
          <w:sz w:val="28"/>
        </w:rPr>
        <w:t>Insulin Patient Journey — Step-by-Step Plan</w:t>
      </w:r>
    </w:p>
    <w:p>
      <w:pPr>
        <w:spacing w:after="120"/>
      </w:pPr>
      <w:r>
        <w:rPr>
          <w:rFonts w:eastAsia="Microsoft YaHei"/>
          <w:b/>
          <w:sz w:val="22"/>
        </w:rPr>
        <w:t>Phase 1 — Initial Consultation &amp; Assessment</w:t>
      </w:r>
    </w:p>
    <w:p>
      <w:pPr>
        <w:spacing w:after="80"/>
        <w:ind w:left="454"/>
      </w:pPr>
      <w:r>
        <w:rPr>
          <w:rFonts w:eastAsia="Microsoft YaHei"/>
          <w:sz w:val="22"/>
        </w:rPr>
        <w:t>Detailed dietary history: what the patient eats daily, meal timing, portion sizes</w:t>
      </w:r>
    </w:p>
    <w:p>
      <w:pPr>
        <w:spacing w:after="80"/>
        <w:ind w:left="454"/>
      </w:pPr>
      <w:r>
        <w:rPr>
          <w:rFonts w:eastAsia="Microsoft YaHei"/>
          <w:sz w:val="22"/>
        </w:rPr>
        <w:t>Current medication review including insulin type, dose, timing</w:t>
      </w:r>
    </w:p>
    <w:p>
      <w:pPr>
        <w:spacing w:after="80"/>
        <w:ind w:left="454"/>
      </w:pPr>
      <w:r>
        <w:rPr>
          <w:rFonts w:eastAsia="Microsoft YaHei"/>
          <w:sz w:val="22"/>
        </w:rPr>
        <w:t>Baseline measurements: HbA1c, fasting glucose, weight, blood pressure</w:t>
      </w:r>
    </w:p>
    <w:p>
      <w:pPr>
        <w:spacing w:after="80"/>
        <w:ind w:left="454"/>
      </w:pPr>
      <w:r>
        <w:rPr>
          <w:rFonts w:eastAsia="Microsoft YaHei"/>
          <w:sz w:val="22"/>
        </w:rPr>
        <w:t>Setting realistic goals: HbA1c target, weight target, medication-free target</w:t>
      </w:r>
    </w:p>
    <w:p>
      <w:pPr>
        <w:spacing w:after="60"/>
      </w:pPr>
    </w:p>
    <w:p>
      <w:pPr>
        <w:spacing w:after="120"/>
      </w:pPr>
      <w:r>
        <w:rPr>
          <w:rFonts w:eastAsia="Microsoft YaHei"/>
          <w:b/>
          <w:sz w:val="22"/>
        </w:rPr>
        <w:t>Phase 2 — Dietary Transition (Week 1–4)</w:t>
      </w:r>
    </w:p>
    <w:p>
      <w:pPr>
        <w:spacing w:after="80"/>
        <w:ind w:left="454"/>
      </w:pPr>
      <w:r>
        <w:rPr>
          <w:rFonts w:eastAsia="Microsoft YaHei"/>
          <w:sz w:val="22"/>
        </w:rPr>
        <w:t>Personalised Malaysian low-GI meal plan introduced</w:t>
      </w:r>
    </w:p>
    <w:p>
      <w:pPr>
        <w:spacing w:after="80"/>
        <w:ind w:left="454"/>
      </w:pPr>
      <w:r>
        <w:rPr>
          <w:rFonts w:eastAsia="Microsoft YaHei"/>
          <w:sz w:val="22"/>
        </w:rPr>
        <w:t>Insulin dose: liaise with treating doctor for reduction as diet changes</w:t>
      </w:r>
    </w:p>
    <w:p>
      <w:pPr>
        <w:spacing w:after="80"/>
        <w:ind w:left="454"/>
      </w:pPr>
      <w:r>
        <w:rPr>
          <w:rFonts w:eastAsia="Microsoft YaHei"/>
          <w:sz w:val="22"/>
        </w:rPr>
        <w:t>Post-meal glucose testing begins: 2 hours after every meal</w:t>
      </w:r>
    </w:p>
    <w:p>
      <w:pPr>
        <w:spacing w:after="80"/>
        <w:ind w:left="454"/>
      </w:pPr>
      <w:r>
        <w:rPr>
          <w:rFonts w:eastAsia="Microsoft YaHei"/>
          <w:sz w:val="22"/>
        </w:rPr>
        <w:t>Weekly consultation: review glucose log, adjust meal plan based on individual responses</w:t>
      </w:r>
    </w:p>
    <w:p>
      <w:pPr>
        <w:spacing w:after="60"/>
      </w:pPr>
    </w:p>
    <w:p>
      <w:pPr>
        <w:spacing w:after="120"/>
      </w:pPr>
      <w:r>
        <w:rPr>
          <w:rFonts w:eastAsia="Microsoft YaHei"/>
          <w:b/>
          <w:sz w:val="22"/>
        </w:rPr>
        <w:t>Phase 3 — Optimisation (Month 2–3)</w:t>
      </w:r>
    </w:p>
    <w:p>
      <w:pPr>
        <w:spacing w:after="80"/>
        <w:ind w:left="454"/>
      </w:pPr>
      <w:r>
        <w:rPr>
          <w:rFonts w:eastAsia="Microsoft YaHei"/>
          <w:sz w:val="22"/>
        </w:rPr>
        <w:t>Meal plan refined based on 4 weeks of personal glucose response data</w:t>
      </w:r>
    </w:p>
    <w:p>
      <w:pPr>
        <w:spacing w:after="80"/>
        <w:ind w:left="454"/>
      </w:pPr>
      <w:r>
        <w:rPr>
          <w:rFonts w:eastAsia="Microsoft YaHei"/>
          <w:sz w:val="22"/>
        </w:rPr>
        <w:t>Insulin progressively reduced as fasting and post-meal glucose normalises</w:t>
      </w:r>
    </w:p>
    <w:p>
      <w:pPr>
        <w:spacing w:after="80"/>
        <w:ind w:left="454"/>
      </w:pPr>
      <w:r>
        <w:rPr>
          <w:rFonts w:eastAsia="Microsoft YaHei"/>
          <w:sz w:val="22"/>
        </w:rPr>
        <w:t>HbA1c recheck at Month 3 — key milestone</w:t>
      </w:r>
    </w:p>
    <w:p>
      <w:pPr>
        <w:spacing w:after="80"/>
        <w:ind w:left="454"/>
      </w:pPr>
      <w:r>
        <w:rPr>
          <w:rFonts w:eastAsia="Microsoft YaHei"/>
          <w:sz w:val="22"/>
        </w:rPr>
        <w:t>Emotional and family support reinforced — behaviour change requires community</w:t>
      </w:r>
    </w:p>
    <w:p>
      <w:pPr>
        <w:spacing w:after="60"/>
      </w:pPr>
    </w:p>
    <w:p>
      <w:pPr>
        <w:spacing w:after="120"/>
      </w:pPr>
      <w:r>
        <w:rPr>
          <w:rFonts w:eastAsia="Microsoft YaHei"/>
          <w:b/>
          <w:sz w:val="22"/>
        </w:rPr>
        <w:t>Phase 4 — Maintenance &amp; Prevention of Relapse (Month 4+)</w:t>
      </w:r>
    </w:p>
    <w:p>
      <w:pPr>
        <w:spacing w:after="80"/>
        <w:ind w:left="454"/>
      </w:pPr>
      <w:r>
        <w:rPr>
          <w:rFonts w:eastAsia="Microsoft YaHei"/>
          <w:sz w:val="22"/>
        </w:rPr>
        <w:t>HbA1c &lt; 6.5% off medication = remission</w:t>
      </w:r>
    </w:p>
    <w:p>
      <w:pPr>
        <w:spacing w:after="80"/>
        <w:ind w:left="454"/>
      </w:pPr>
      <w:r>
        <w:rPr>
          <w:rFonts w:eastAsia="Microsoft YaHei"/>
          <w:sz w:val="22"/>
        </w:rPr>
        <w:t>Ongoing monthly check-ins via teleconsultation</w:t>
      </w:r>
    </w:p>
    <w:p>
      <w:pPr>
        <w:spacing w:after="80"/>
        <w:ind w:left="454"/>
      </w:pPr>
      <w:r>
        <w:rPr>
          <w:rFonts w:eastAsia="Microsoft YaHei"/>
          <w:sz w:val="22"/>
        </w:rPr>
        <w:t>Seasonal food guidance: Chinese New Year, festive seasons</w:t>
      </w:r>
    </w:p>
    <w:p>
      <w:pPr>
        <w:spacing w:after="80"/>
        <w:ind w:left="454"/>
      </w:pPr>
      <w:r>
        <w:rPr>
          <w:rFonts w:eastAsia="Microsoft YaHei"/>
          <w:sz w:val="22"/>
        </w:rPr>
        <w:t>Annual comprehensive review; goal is permanent lifestyle maintenance</w:t>
      </w:r>
    </w:p>
    <w:p>
      <w:pPr>
        <w:spacing w:after="80"/>
        <w:ind w:left="454"/>
      </w:pPr>
      <w:r>
        <w:rPr>
          <w:rFonts w:eastAsia="Microsoft YaHei"/>
          <w:sz w:val="22"/>
        </w:rPr>
        <w:t>Community: patient graduates encouraged to mentor newer patients — building a support ecosystem</w:t>
      </w:r>
    </w:p>
    <w:p>
      <w:pPr>
        <w:spacing w:after="160" w:before="40"/>
        <w:pBdr>
          <w:bottom w:val="single" w:sz="2" w:space="1" w:color="DDDDDD"/>
        </w:pBdr>
      </w:pPr>
    </w:p>
    <w:p>
      <w:pPr>
        <w:spacing w:before="400"/>
      </w:pPr>
      <w:r>
        <w:rPr>
          <w:rFonts w:eastAsia="Microsoft YaHei"/>
          <w:color w:val="999999"/>
          <w:sz w:val="18"/>
        </w:rPr>
        <w:t>Source: Research compiled by Dr. Eason Chang | Reverse Diabetes Knowledge Base |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Microsoft YaHei"/>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