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tabs>
          <w:tab w:val="left" w:pos="7920"/>
        </w:tabs>
        <w:adjustRightInd w:val="0"/>
        <w:spacing w:line="460" w:lineRule="exact"/>
      </w:pPr>
      <w:r>
        <w:rPr>
          <w:snapToGrid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282575</wp:posOffset>
                </wp:positionV>
                <wp:extent cx="5918200" cy="0"/>
                <wp:effectExtent l="0" t="9525" r="6350" b="9525"/>
                <wp:wrapSquare wrapText="bothSides"/>
                <wp:docPr id="4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1.3pt;margin-top:22.25pt;height:0pt;width:466pt;mso-wrap-distance-bottom:0pt;mso-wrap-distance-left:9pt;mso-wrap-distance-right:9pt;mso-wrap-distance-top:0pt;z-index:251659264;mso-width-relative:page;mso-height-relative:page;" filled="f" stroked="t" coordsize="21600,21600" o:gfxdata="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qJ+v61AAAAAcBAAAPAAAA&#10;AAAAAAEAIAAAADgAAABkcnMvZG93bnJldi54bWxQSwECFAAUAAAACACHTuJAuHbkQMoBAAChAwAA&#10;DgAAAAAAAAABACAAAAA5AQAAZHJzL2Uyb0RvYy54bWxQSwUGAAAAAAYABgBZAQAAdQUAAAAA&#10;">
                <v:fill on="f" focussize="0,0"/>
                <v:stroke weight="1.5pt" color="#000000" joinstyle="round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eastAsia"/>
        </w:rPr>
        <w:t>专利申请技术交底书</w:t>
      </w:r>
    </w:p>
    <w:tbl>
      <w:tblPr>
        <w:tblStyle w:val="10"/>
        <w:tblW w:w="8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687"/>
        <w:gridCol w:w="2341"/>
        <w:gridCol w:w="851"/>
        <w:gridCol w:w="4261"/>
      </w:tblGrid>
      <w:tr>
        <w:trPr>
          <w:trHeight w:val="1151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交底书撰稿人</w:t>
            </w:r>
          </w:p>
        </w:tc>
        <w:tc>
          <w:tcPr>
            <w:tcW w:w="8140" w:type="dxa"/>
            <w:gridSpan w:val="4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both"/>
              <w:rPr>
                <w:rFonts w:hint="default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魏帅</w:t>
            </w:r>
          </w:p>
        </w:tc>
      </w:tr>
      <w:tr>
        <w:trPr>
          <w:trHeight w:val="539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发明人</w:t>
            </w:r>
          </w:p>
        </w:tc>
        <w:tc>
          <w:tcPr>
            <w:tcW w:w="8140" w:type="dxa"/>
            <w:gridSpan w:val="4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both"/>
              <w:rPr>
                <w:rFonts w:hint="eastAsia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魏帅</w:t>
            </w:r>
          </w:p>
        </w:tc>
      </w:tr>
      <w:tr>
        <w:trPr>
          <w:trHeight w:val="447" w:hRule="atLeast"/>
        </w:trPr>
        <w:tc>
          <w:tcPr>
            <w:tcW w:w="798" w:type="dxa"/>
            <w:vAlign w:val="center"/>
          </w:tcPr>
          <w:p>
            <w:pPr>
              <w:pStyle w:val="17"/>
              <w:spacing w:before="109"/>
              <w:ind w:firstLine="0" w:firstLineChars="0"/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联系方式</w:t>
            </w:r>
          </w:p>
        </w:tc>
        <w:tc>
          <w:tcPr>
            <w:tcW w:w="687" w:type="dxa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电话</w:t>
            </w:r>
          </w:p>
        </w:tc>
        <w:tc>
          <w:tcPr>
            <w:tcW w:w="2341" w:type="dxa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both"/>
              <w:rPr>
                <w:rFonts w:hint="default" w:eastAsia="宋体"/>
                <w:color w:val="1F497D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13161365651</w:t>
            </w:r>
          </w:p>
        </w:tc>
        <w:tc>
          <w:tcPr>
            <w:tcW w:w="851" w:type="dxa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邮箱</w:t>
            </w:r>
          </w:p>
        </w:tc>
        <w:tc>
          <w:tcPr>
            <w:tcW w:w="4261" w:type="dxa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both"/>
              <w:rPr>
                <w:rFonts w:hint="default" w:eastAsia="宋体"/>
                <w:color w:val="1F497D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601770050@qq.com</w:t>
            </w:r>
          </w:p>
        </w:tc>
      </w:tr>
      <w:tr>
        <w:trPr>
          <w:trHeight w:val="1518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发明名称</w:t>
            </w:r>
          </w:p>
          <w:p>
            <w:pPr>
              <w:pStyle w:val="17"/>
              <w:spacing w:beforeLines="0" w:line="240" w:lineRule="auto"/>
              <w:ind w:firstLine="0" w:firstLineChars="0"/>
            </w:pPr>
            <w:r>
              <w:rPr>
                <w:rFonts w:hint="eastAsia"/>
                <w:color w:val="1F497D"/>
                <w:sz w:val="18"/>
                <w:szCs w:val="18"/>
              </w:rPr>
              <w:t>注：从技术方案的核心点出发取名</w:t>
            </w:r>
          </w:p>
        </w:tc>
        <w:tc>
          <w:tcPr>
            <w:tcW w:w="8140" w:type="dxa"/>
            <w:gridSpan w:val="4"/>
            <w:vAlign w:val="center"/>
          </w:tcPr>
          <w:p>
            <w:pPr>
              <w:pStyle w:val="17"/>
              <w:spacing w:beforeLines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一种基于 RSA 加密算法和 JWT 的接口鉴权机制</w:t>
            </w:r>
          </w:p>
        </w:tc>
      </w:tr>
      <w:tr>
        <w:trPr>
          <w:trHeight w:val="1518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解决的技术问题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color w:val="1F497D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注：可以是现有技术的缺陷，或者我们技术方案的带来的有益效果</w:t>
            </w:r>
          </w:p>
        </w:tc>
        <w:tc>
          <w:tcPr>
            <w:tcW w:w="8140" w:type="dxa"/>
            <w:gridSpan w:val="4"/>
            <w:vAlign w:val="center"/>
          </w:tcPr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本系统解决了对外开放API接口时的安全认证难题。具体解决了以下关键技术问题：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数据传输安全：通过RSA非对称加密确保敏感数据在传输过程中的安全性，避免数据被窃取或篡改。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身份认证：采用JWT（JSON Web Token）实现了可靠的身份认证机制，确保只有合法的第三方厂商能够访问API。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防重放攻击：通过Redis存储已使用的token并设置过期时间，有效防止请求被恶意重放。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灵活的权限控制：基于Spring AOP实现的注解式鉴权机制，使得权限控制既灵活又易于维护。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统一的异常处理：提供了规范化的异常处理机制，确保系统在遇到非法访问时能够返回统一的错误响应。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jc w:val="both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这些解决方案共同构建了一个安全、可靠、易于集成的API鉴权体系。</w:t>
            </w:r>
          </w:p>
        </w:tc>
      </w:tr>
      <w:t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技术方案的核心点</w:t>
            </w:r>
            <w:r>
              <w:rPr>
                <w:rFonts w:hint="eastAsia"/>
                <w:color w:val="1F497D"/>
                <w:sz w:val="18"/>
                <w:szCs w:val="18"/>
              </w:rPr>
              <w:t>注：可以是我们技术方案跟现有技术方案的区别点；可以是我们技术方案的出彩点</w:t>
            </w:r>
          </w:p>
        </w:tc>
        <w:tc>
          <w:tcPr>
            <w:tcW w:w="8140" w:type="dxa"/>
            <w:gridSpan w:val="4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本方案设计了一种创新的API鉴权机制，通过多层次的安全防护和灵活的控制策略，有效解决了对外开放接口的安全认证问题。其核心技术特点如下：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创新的双层加密机制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首创性地将RSA非对称加密与JWT token相结合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外层RSA加密确保传输安全，内层JWT保证数据完整性和不可篡改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支持密钥定期轮换，显著降低密钥泄露风险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高效的防重放设计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基于JWT的issued at时间戳作为唯一标识符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结合Redis实现严格的一次性Token使用机制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支持分布式环境下的Token状态同步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相比传统时间窗口方案，完全杜绝重放攻击风险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动态的权限控制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基于Spring AOP实现注解式鉴权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支持方法级别的细粒度权限控制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可自定义校验规则和失败处理策略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业务代码与认证逻辑完全解耦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灵活的时效管理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创新地支持调用方通过请求头动态指定Token有效期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实现基于业务场景的精确超时控制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提供合理的有效期范围限制，避免滥用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完善的异常处理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支持自定义异常类型和错误消息模板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提供详细的错误原因定位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规范化的错误响应格式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完整的日志追踪机制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这套方案通过创新的技术组合和精心的设计细节，在确保安全性的同时保持了较高的易用性和可维护性，特别适合需要对外开放API的企业级应用场景。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技术领域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注：应用的技术领域</w:t>
            </w:r>
          </w:p>
        </w:tc>
        <w:tc>
          <w:tcPr>
            <w:tcW w:w="8140" w:type="dxa"/>
            <w:gridSpan w:val="4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技术方案属于计算机网络安全技术领域，特别是Web应用安全和API访问控制领域。主要应用于企业级分布式系统的接口安全防护，涉及密码学、身份认证、访问控制等核心安全技术。该方案尤其适用于需要对外提供安全可靠的API接口的场景，如企业间系统集成、第三方应用接入等领域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916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术语解释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注：对行业内的一些专用术语、专用英文缩略语进行英文全文、中文全文解释</w:t>
            </w:r>
          </w:p>
        </w:tc>
        <w:tc>
          <w:tcPr>
            <w:tcW w:w="8140" w:type="dxa"/>
            <w:gridSpan w:val="4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RSA (Rivest-Shamir-Adleman)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英文全称：Rivest-Shamir-Adleman cryptosystem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0" w:firstLineChars="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中文解释：一种非对称加密算法，由Ron Rivest、Adi Shamir和Leonard Adleman在1977年提出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用途：用于数据加密和数字签名的公钥密码体制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JWT (JSON Web Token)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英文全称：JSON Web Token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中文解释：基于JSON的开放标准（RFC 7519），用于在网络应用环境间传递声明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用途：用于身份验证和信息交换的紧凑且自包含的安全令牌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AOP (Aspect-Oriented Programming)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英文全称：Aspect-Oriented Programming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中文解释：面向切面编程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用途：通过预编译和运行期动态代理实现程序功能的统一维护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 (Application Programming Interface)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英文全称：Application Programming Interface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中文解释：应用程序编程接口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用途：定义应用程序之间进行信息交换的方法和数据格式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Redis (Remote Dictionary Server)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英文全称：Remote Dictionary Server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中文解释：远程字典服务器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用途：开源的高性能键值对数据库，用于数据缓存和存储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中文解释：令牌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用途：用于身份验证和授权的一串字符串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 (HTTP Header)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中文解释：HTTP请求/响应头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用途：包含有关HTTP事务的操作参数，如身份验证信息等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Timeout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中文解释：超时时间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用途：指定操作或令牌的有效期限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iat (Issued At)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英文全称：Issued At Time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中文解释：签发时间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用途：JWT中表示令牌的签发时间的声明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Authentication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中文解释：身份认证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用途：验证用户或系统身份的过程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Authorization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中文解释：授权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用途：确定用户或系统访问权限的过程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left="0" w:leftChars="0"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Replay Attack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中文解释：重放攻击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用途：描述攻击者通过重复发送之前捕获的有效数据包进行的攻击方式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textAlignment w:val="auto"/>
              <w:rPr>
                <w:rFonts w:hint="default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背景技术介绍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color w:val="1F497D"/>
                <w:sz w:val="18"/>
                <w:szCs w:val="18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注：四段论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（可仿照百度百科里面对一些技术的介绍）</w:t>
            </w:r>
          </w:p>
        </w:tc>
        <w:tc>
          <w:tcPr>
            <w:tcW w:w="8140" w:type="dxa"/>
            <w:gridSpan w:val="4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第一段：定义与发展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API接口鉴权是Web应用安全领域的重要组成部分，它确保只有经过授权的客户端才能访问服务器提供的接口。随着微服务架构和开放平台的普及，接口安全问题日益突出，传统的单一认证方式已难以满足现代企业级应用的安全需求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第二段：现有技术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目前主流的API鉴权方案包括Basic认证、OAuth2.0和JWT等。Basic认证方式简单但安全性较低；OAuth2.0框架功能完善但实现复杂；JWT提供了自包含的信息验证机制但存在token泄露风险。这些方案各有优劣，在实际应用中往往需要根据具体场景进行取舍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第三段：技术痛点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在实际应用中，企业对外开放接口面临着多重挑战：一是数据传输过程中的安全性问题；二是防范重放攻击的需求；三是不同业务场景下对认证有效期的差异化需求；四是系统性能与安全性的平衡问题。这些挑战需要一个更完善的技术方案来解决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第四段：发展趋势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随着安全威胁的不断演化，API鉴权技术正向着多层次防护、动态权限控制、智能风控等方向发展。将多种安全技术有机结合，构建完整的安全防护体系，已成为行业发展的主要趋势。在此背景下，设计一套兼具安全性、灵活性和易用性的API鉴权方案具有重要的现实意义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ind w:firstLine="420" w:firstLineChars="200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</w:tc>
      </w:tr>
      <w:tr>
        <w:trPr>
          <w:trHeight w:val="2777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105" w:firstLineChars="5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发明内容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color w:val="1F497D"/>
                <w:sz w:val="18"/>
                <w:szCs w:val="18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注：描述一下解决的技术问题，以及从方案的完整性角度来看，必须有哪些技术点，才能达到解决这个技术问题的目的。</w:t>
            </w:r>
          </w:p>
        </w:tc>
        <w:tc>
          <w:tcPr>
            <w:tcW w:w="8140" w:type="dxa"/>
            <w:gridSpan w:val="4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55" w:beforeAutospacing="0" w:after="0" w:afterAutospacing="0" w:line="276" w:lineRule="auto"/>
              <w:ind w:left="0" w:firstLine="286"/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pStyle w:val="17"/>
              <w:spacing w:before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一、技术问题本发明旨在解决企业对外开放API接口时面临的以下核心技术问题：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default"/>
                <w:lang w:val="en-US" w:eastAsia="zh-CN"/>
              </w:rPr>
              <w:t>数据传输安全问题：如何确保敏感数据在传输过程中不被窃取或篡改。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default"/>
                <w:lang w:val="en-US" w:eastAsia="zh-CN"/>
              </w:rPr>
              <w:t>身份认证可靠性问题：如何准确识别和验证第三方调用者的身份。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default"/>
                <w:lang w:val="en-US" w:eastAsia="zh-CN"/>
              </w:rPr>
              <w:t>重放攻击防护问题：如何有效防止黑客通过重放已捕获的请求进行攻击。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4. </w:t>
            </w:r>
            <w:r>
              <w:rPr>
                <w:rFonts w:hint="default"/>
                <w:lang w:val="en-US" w:eastAsia="zh-CN"/>
              </w:rPr>
              <w:t>认证时效性问题：如何根据不同业务场景灵活控制接口调用的有效期。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 </w:t>
            </w:r>
            <w:r>
              <w:rPr>
                <w:rFonts w:hint="default"/>
                <w:lang w:val="en-US" w:eastAsia="zh-CN"/>
              </w:rPr>
              <w:t>系统性能问题：如何在确保安全的同时保持系统的高性能和可扩展性。</w:t>
            </w:r>
          </w:p>
          <w:p>
            <w:pPr>
              <w:pStyle w:val="17"/>
              <w:spacing w:beforeLines="0" w:line="240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二、技术方案要点为全面解决上述技术问题，本发明必须实现以下关键技术点：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default"/>
                <w:lang w:val="en-US" w:eastAsia="zh-CN"/>
              </w:rPr>
              <w:t>双层加密体系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RSA非对称加密机制的实现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JWT token的生成与验证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密钥管理和定期轮换机制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加密数据的序列化和反序列化处理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default"/>
                <w:lang w:val="en-US" w:eastAsia="zh-CN"/>
              </w:rPr>
              <w:t>身份认证机制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基于注解的声明式认证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细粒度的权限控制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统一的身份验证切面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可扩展的认证规则引擎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 </w:t>
            </w:r>
            <w:r>
              <w:rPr>
                <w:rFonts w:hint="default"/>
                <w:lang w:val="en-US" w:eastAsia="zh-CN"/>
              </w:rPr>
              <w:t>防重放保护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基于时间戳的请求唯一性校验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Redis分布式token存储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失效token的清理机制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并发请求的处理策略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4. </w:t>
            </w:r>
            <w:r>
              <w:rPr>
                <w:rFonts w:hint="default"/>
                <w:lang w:val="en-US" w:eastAsia="zh-CN"/>
              </w:rPr>
              <w:t>动态时效控制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可配置的token有效期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基于业务场景的超时策略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时效性验证的实现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过期处理机制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 </w:t>
            </w:r>
            <w:r>
              <w:rPr>
                <w:rFonts w:hint="default"/>
                <w:lang w:val="en-US" w:eastAsia="zh-CN"/>
              </w:rPr>
              <w:t>异常处理与监控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统一的异常处理框架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详细的错误信息追踪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系统运行状态监控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安全事件日志记录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6. </w:t>
            </w:r>
            <w:r>
              <w:rPr>
                <w:rFonts w:hint="default"/>
                <w:lang w:val="en-US" w:eastAsia="zh-CN"/>
              </w:rPr>
              <w:t>性能优化措施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验证逻辑的异步处理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缓存机制的合理使用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密钥操作的性能优化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default"/>
                <w:lang w:val="en-US" w:eastAsia="zh-CN"/>
              </w:rPr>
              <w:t>分布式环境下的性能保证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过以上技术点的有机结合，本发明构建了一个完整的API接口鉴权解决方案。该方案不仅解决了各项技术问题，还具备了良好的可扩展性和可维护性。方案的实现既保证了接口调用的安全性，又兼顾了系统的性能要求，为企业对外开放API提供了可靠的安全保障。</w:t>
            </w:r>
          </w:p>
          <w:p>
            <w:pPr>
              <w:pStyle w:val="17"/>
              <w:spacing w:beforeLines="0" w:line="240" w:lineRule="auto"/>
              <w:rPr>
                <w:rFonts w:hint="default"/>
                <w:lang w:val="en-US" w:eastAsia="zh-CN"/>
              </w:rPr>
            </w:pPr>
          </w:p>
        </w:tc>
      </w:tr>
      <w:tr>
        <w:trPr>
          <w:trHeight w:val="5810" w:hRule="atLeast"/>
        </w:trP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具体实施</w:t>
            </w:r>
            <w:r>
              <w:rPr>
                <w:rFonts w:hint="eastAsia"/>
                <w:b/>
                <w:color w:val="FF0000"/>
                <w:lang w:val="en-US" w:eastAsia="zh-CN"/>
              </w:rPr>
              <w:t xml:space="preserve">示 </w:t>
            </w:r>
            <w:r>
              <w:rPr>
                <w:rFonts w:hint="eastAsia"/>
                <w:b/>
                <w:color w:val="FF0000"/>
              </w:rPr>
              <w:t>例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color w:val="1F497D"/>
                <w:sz w:val="18"/>
                <w:szCs w:val="18"/>
              </w:rPr>
              <w:t>注：从方案中实现同样目的技术手段可能有很多种，这样可以要求比较大的专利保护范围。产品的话，可以结合产品的线路构造图进行说明。方法的话，可以结合流程处理图进行说明。</w:t>
            </w:r>
          </w:p>
        </w:tc>
        <w:tc>
          <w:tcPr>
            <w:tcW w:w="8140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200"/>
              <w:textAlignment w:val="auto"/>
              <w:rPr>
                <w:rFonts w:hint="eastAsia" w:eastAsia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pStyle w:val="17"/>
              <w:numPr>
                <w:ilvl w:val="0"/>
                <w:numId w:val="4"/>
              </w:numPr>
              <w:spacing w:beforeLines="0" w:line="240" w:lineRule="auto"/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整体架构实现</w:t>
            </w:r>
          </w:p>
          <w:p>
            <w:pPr>
              <w:pStyle w:val="17"/>
              <w:numPr>
                <w:ilvl w:val="0"/>
                <w:numId w:val="0"/>
              </w:numPr>
              <w:spacing w:beforeLines="0" w:line="240" w:lineRule="auto"/>
              <w:ind w:left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本发明提供了一种基于RSA加密算法的API接口鉴权机制，主要包含以下实施部分：</w:t>
            </w:r>
          </w:p>
          <w:p>
            <w:pPr>
              <w:pStyle w:val="17"/>
              <w:numPr>
                <w:ilvl w:val="0"/>
                <w:numId w:val="5"/>
              </w:numPr>
              <w:spacing w:beforeLines="0" w:line="240" w:lineRule="auto"/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密钥管理实施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public class RSAUtils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// RSA密钥对生成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public static RSAKeyPair generateKeyPair()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KeyPair pair = SecureUtil.generateKeyPair("RSA");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// 转换为Base64编码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String pubEncBase64 = Base64.encode(pair.getPublic().getEncoded());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String priEncBase64 = Base64.encode(pair.getPrivate().getEncoded());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return new RSAKeyPair(pubEncBase64, priEncBase64);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}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}</w:t>
            </w:r>
          </w:p>
          <w:p>
            <w:pPr>
              <w:pStyle w:val="17"/>
              <w:widowControl w:val="0"/>
              <w:numPr>
                <w:ilvl w:val="0"/>
                <w:numId w:val="5"/>
              </w:numPr>
              <w:adjustRightInd w:val="0"/>
              <w:spacing w:before="84" w:beforeLines="0" w:line="240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Token生成与加密实施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public class JWTUtils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public static String createToken(Map&lt;String, Object&gt; payload, int timeout, String key)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DateTime now = DateTime.now();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DateTime expTime = now.offsetNew(DateField.SECOND, timeout);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// 设置JWT标准声明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payload.put(RegisteredPayload.ISSUED_AT, now);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payload.put(RegisteredPayload.EXPIRES_AT, expTime);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payload.put(RegisteredPayload.NOT_BEFORE, now);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return JWTUtil.createToken(payload, key.getBytes());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}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}</w:t>
            </w:r>
          </w:p>
          <w:p>
            <w:pPr>
              <w:pStyle w:val="17"/>
              <w:widowControl w:val="0"/>
              <w:numPr>
                <w:ilvl w:val="0"/>
                <w:numId w:val="5"/>
              </w:numPr>
              <w:adjustRightInd w:val="0"/>
              <w:spacing w:before="84" w:beforeLines="0" w:line="240" w:lineRule="auto"/>
              <w:ind w:left="0" w:leftChars="0" w:firstLine="0" w:firstLineChars="0"/>
              <w:jc w:val="both"/>
              <w:rPr>
                <w:rFonts w:hint="default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注解式权限控制实施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@Target(ElementType.METHOD)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@Retention(RetentionPolicy.RUNTIME)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@Documented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public @interface HeaderAuth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headerTokenKey() default "X-Access-Token";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boolean requiredToken() default true;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headerTimeoutKey() default "timeout";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expectedValue() default "";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Class&lt;? extends RuntimeException&gt; RuntimeException() default ForbiddenException.class;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message() default "Header验证失败";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}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二、鉴权流程实施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请求预处理阶段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获取请求头中的加密token和超时设置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验证参数完整性和有效性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提取必要的认证信息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解密验证阶段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使用RSA私钥解密token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验证JWT签名和有效期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检查token是否重复使用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权限控制阶段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解析JWT中的权限信息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验证访问权限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记录访问日志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4.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异常处理阶段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捕获并处理验证异常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生成标准错误响应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记录安全事件日志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三、防重放实施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private void matchValue(HeaderAuth auth, String actualTokenValue, int timeoutValue)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// 解密token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decryptContent = RSAUtils.decrypt(actualTokenValue, privateKey);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// 获取签发时间作为唯一标识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int iat = JWTUtils.getPayload(decryptContent, RegisteredPayload.ISSUED_AT);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timestamp = String.valueOf(iat);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// 检查是否已使用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String tokenValue = RedisUtil.get(timestamp);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if (StringUtils.isNotBlank(tokenValue)) {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    throw createException(auth, "Token已使用");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}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// 存储token并设置过期时间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 xml:space="preserve">    RedisUtil.set(timestamp, actualTokenValue, timeoutValue);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 w:eastAsia="zh-CN"/>
              </w:rPr>
              <w:t>}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四、流程图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adjustRightInd w:val="0"/>
              <w:spacing w:before="84" w:beforeLines="0" w:line="240" w:lineRule="auto"/>
              <w:ind w:leftChars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029835" cy="4775835"/>
                  <wp:effectExtent l="0" t="0" r="24765" b="2476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835" cy="477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spacing w:beforeLines="0" w:line="240" w:lineRule="auto"/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权利要求</w:t>
            </w: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color w:val="0F243E"/>
                <w:sz w:val="18"/>
                <w:szCs w:val="18"/>
              </w:rPr>
              <w:t>注：罗列一下，我们的技术方案里面，最想保护的技术点</w:t>
            </w:r>
          </w:p>
        </w:tc>
        <w:tc>
          <w:tcPr>
            <w:tcW w:w="8140" w:type="dxa"/>
            <w:gridSpan w:val="4"/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权利要求1（主权利要求）：一种基于RSA加密算法的API接口鉴权方法，其特征在于，包括以下步骤：接收包含加密token和超时时间的API请求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使用RSA私钥解密token获取JWT内容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基于时间戳进行一次性token验证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验证通过后执行业务逻辑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bookmarkStart w:id="0" w:name="_GoBack"/>
            <w:bookmarkEnd w:id="0"/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权利要求2：根据权利要求1所述的鉴权方法，其特征在于，所述一次性token验证包括：从JWT中提取签发时间作为唯一标识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使用分布式缓存检查该标识是否已被使用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若未使用，则存入缓存并设置过期时间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若已使用，则判定为重放攻击并拒绝请求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权利要求3：根据权利要求1所述的鉴权方法，其特征在于，所述超时时间通过以下方式控制：在请求头中指定timeout参数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验证timeout值是否在合法范围内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将timeout值用于设置token的缓存过期时间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超过时间后自动失效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权利要求4：根据权利要求1所述的鉴权方法，其特征在于，包括基于注解的权限控制：通过注解声明需要鉴权的接口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支持自定义请求头参数名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支持自定义异常处理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支持细粒度的接口权限控制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权利要求5：根据权利要求1所述的鉴权方法，其特征在于，JWT的处理包括：验证签名的有效性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检查token的生效时间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检查token的过期时间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验证token的完整性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权利要求6：根据权利要求1所述的鉴权方法，其特征在于，异常处理包括：记录详细的错误原因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返回标准化的错误响应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支持自定义异常类型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提供完整的异常追踪信息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权利要求7：根据权利要求1所述的鉴权方法，其特征在于，性能优化措施包括：使用分布式缓存存储token状态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异步处理日志记录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优化RSA解密操作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支持分布式环境部署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这些权利要求涵盖了本技术方案的核心创新点，包括：双层加密保护机制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基于时间戳的防重放设计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动态超时控制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注解式权限控制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分布式token管理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完整的异常处理体系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Lines="0" w:line="560" w:lineRule="exact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w="798" w:type="dxa"/>
          </w:tcPr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</w:p>
          <w:p>
            <w:pPr>
              <w:pStyle w:val="17"/>
              <w:spacing w:beforeLines="0" w:line="240" w:lineRule="auto"/>
              <w:ind w:firstLine="0" w:firstLineChars="0"/>
              <w:rPr>
                <w:b/>
                <w:color w:val="FF0000"/>
              </w:rPr>
            </w:pPr>
          </w:p>
        </w:tc>
        <w:tc>
          <w:tcPr>
            <w:tcW w:w="8140" w:type="dxa"/>
            <w:gridSpan w:val="4"/>
          </w:tcPr>
          <w:p>
            <w:pPr>
              <w:pStyle w:val="17"/>
              <w:spacing w:beforeLines="0" w:line="240" w:lineRule="auto"/>
              <w:ind w:firstLine="0" w:firstLineChars="0"/>
              <w:rPr>
                <w:color w:val="1F497D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6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 w:val="0"/>
      <w:tabs>
        <w:tab w:val="clear" w:pos="4153"/>
      </w:tabs>
      <w:kinsoku/>
      <w:wordWrap/>
      <w:overflowPunct/>
      <w:topLinePunct w:val="0"/>
      <w:bidi w:val="0"/>
      <w:adjustRightInd/>
      <w:snapToGrid w:val="0"/>
      <w:spacing w:line="288" w:lineRule="auto"/>
      <w:jc w:val="both"/>
      <w:textAlignment w:val="auto"/>
      <w:rPr>
        <w:rFonts w:hint="eastAsia" w:ascii="仿宋" w:hAnsi="仿宋" w:eastAsia="仿宋" w:cs="仿宋"/>
        <w:b/>
        <w:bCs/>
        <w:strike/>
        <w:dstrike w:val="0"/>
        <w:sz w:val="15"/>
        <w:szCs w:val="15"/>
      </w:rPr>
    </w:pPr>
    <w:r>
      <w:rPr>
        <w:rFonts w:hint="eastAsia" w:ascii="仿宋" w:hAnsi="仿宋" w:eastAsia="仿宋" w:cs="仿宋"/>
        <w:b/>
        <w:bCs/>
        <w:sz w:val="15"/>
        <w:szCs w:val="15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4809490</wp:posOffset>
          </wp:positionH>
          <wp:positionV relativeFrom="paragraph">
            <wp:posOffset>50165</wp:posOffset>
          </wp:positionV>
          <wp:extent cx="481330" cy="494030"/>
          <wp:effectExtent l="0" t="0" r="13970" b="1270"/>
          <wp:wrapNone/>
          <wp:docPr id="3" name="图片 2" descr="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133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仿宋" w:hAnsi="仿宋" w:eastAsia="仿宋" w:cs="仿宋"/>
        <w:b/>
        <w:bCs/>
        <w:sz w:val="15"/>
        <w:szCs w:val="15"/>
      </w:rPr>
      <w:t>■ 青岛海誉知识产权代理有限公司</w:t>
    </w:r>
    <w:r>
      <w:rPr>
        <w:rFonts w:hint="eastAsia" w:ascii="仿宋" w:hAnsi="仿宋" w:eastAsia="仿宋" w:cs="仿宋"/>
        <w:b/>
        <w:bCs/>
        <w:sz w:val="15"/>
        <w:szCs w:val="15"/>
        <w:lang w:val="en-US" w:eastAsia="zh-CN"/>
      </w:rPr>
      <w:t xml:space="preserve">   </w:t>
    </w:r>
    <w:r>
      <w:rPr>
        <w:rFonts w:hint="eastAsia" w:ascii="仿宋" w:hAnsi="仿宋" w:eastAsia="仿宋" w:cs="仿宋"/>
        <w:b/>
        <w:bCs/>
        <w:sz w:val="15"/>
        <w:szCs w:val="15"/>
      </w:rPr>
      <w:t>■东哲（山东）品牌运营管理有限公司</w:t>
    </w:r>
    <w:r>
      <w:rPr>
        <w:rFonts w:hint="eastAsia" w:ascii="仿宋" w:hAnsi="仿宋" w:eastAsia="仿宋" w:cs="仿宋"/>
        <w:b/>
        <w:bCs/>
        <w:sz w:val="15"/>
        <w:szCs w:val="15"/>
        <w:lang w:val="en-US" w:eastAsia="zh-CN"/>
      </w:rPr>
      <w:t xml:space="preserve">   </w:t>
    </w:r>
    <w:r>
      <w:rPr>
        <w:rFonts w:hint="eastAsia" w:ascii="仿宋" w:hAnsi="仿宋" w:eastAsia="仿宋" w:cs="仿宋"/>
        <w:b/>
        <w:bCs/>
        <w:sz w:val="15"/>
        <w:szCs w:val="15"/>
      </w:rPr>
      <w:t>■ 青岛海知誉信息科技有限公司</w:t>
    </w:r>
  </w:p>
  <w:p>
    <w:pPr>
      <w:pStyle w:val="5"/>
      <w:keepNext w:val="0"/>
      <w:keepLines w:val="0"/>
      <w:pageBreakBefore w:val="0"/>
      <w:widowControl w:val="0"/>
      <w:tabs>
        <w:tab w:val="clear" w:pos="4153"/>
      </w:tabs>
      <w:kinsoku/>
      <w:wordWrap/>
      <w:overflowPunct/>
      <w:topLinePunct w:val="0"/>
      <w:bidi w:val="0"/>
      <w:adjustRightInd/>
      <w:snapToGrid w:val="0"/>
      <w:spacing w:line="288" w:lineRule="auto"/>
      <w:jc w:val="both"/>
      <w:textAlignment w:val="auto"/>
      <w:rPr>
        <w:rFonts w:hint="eastAsia" w:ascii="仿宋" w:hAnsi="仿宋" w:eastAsia="仿宋" w:cs="仿宋"/>
        <w:sz w:val="13"/>
        <w:szCs w:val="20"/>
      </w:rPr>
    </w:pPr>
    <w:r>
      <w:rPr>
        <w:rFonts w:hint="eastAsia" w:ascii="仿宋" w:hAnsi="仿宋" w:eastAsia="仿宋" w:cs="仿宋"/>
        <w:b/>
        <w:bCs/>
        <w:sz w:val="15"/>
        <w:szCs w:val="15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2851785</wp:posOffset>
          </wp:positionH>
          <wp:positionV relativeFrom="margin">
            <wp:posOffset>4324985</wp:posOffset>
          </wp:positionV>
          <wp:extent cx="2753995" cy="3386455"/>
          <wp:effectExtent l="0" t="0" r="8255" b="4445"/>
          <wp:wrapNone/>
          <wp:docPr id="2" name="WordPictureWatermark59612061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6120614" descr="水印"/>
                  <pic:cNvPicPr>
                    <a:picLocks noChangeAspect="1"/>
                  </pic:cNvPicPr>
                </pic:nvPicPr>
                <pic:blipFill>
                  <a:blip r:embed="rId2"/>
                  <a:srcRect l="50688" t="58623" r="12878" b="9705"/>
                  <a:stretch>
                    <a:fillRect/>
                  </a:stretch>
                </pic:blipFill>
                <pic:spPr>
                  <a:xfrm>
                    <a:off x="0" y="0"/>
                    <a:ext cx="2753995" cy="338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仿宋" w:hAnsi="仿宋" w:eastAsia="仿宋" w:cs="仿宋"/>
        <w:b/>
        <w:bCs/>
        <w:sz w:val="15"/>
        <w:szCs w:val="15"/>
      </w:rPr>
      <w:t xml:space="preserve">■ 海知誉（山东）控股有限公司   </w:t>
    </w:r>
    <w:r>
      <w:rPr>
        <w:rFonts w:hint="eastAsia" w:ascii="仿宋" w:hAnsi="仿宋" w:eastAsia="仿宋" w:cs="仿宋"/>
        <w:sz w:val="13"/>
        <w:szCs w:val="20"/>
      </w:rPr>
      <w:t>全国服务热线：0532-68076033       官网：</w:t>
    </w:r>
    <w:r>
      <w:rPr>
        <w:rFonts w:hint="eastAsia" w:ascii="仿宋" w:hAnsi="仿宋" w:eastAsia="仿宋" w:cs="仿宋"/>
        <w:sz w:val="13"/>
        <w:szCs w:val="20"/>
      </w:rPr>
      <w:fldChar w:fldCharType="begin"/>
    </w:r>
    <w:r>
      <w:rPr>
        <w:rFonts w:hint="eastAsia" w:ascii="仿宋" w:hAnsi="仿宋" w:eastAsia="仿宋" w:cs="仿宋"/>
        <w:sz w:val="13"/>
        <w:szCs w:val="20"/>
      </w:rPr>
      <w:instrText xml:space="preserve"> HYPERLINK "http://www.ipqingdao.com" </w:instrText>
    </w:r>
    <w:r>
      <w:rPr>
        <w:rFonts w:hint="eastAsia" w:ascii="仿宋" w:hAnsi="仿宋" w:eastAsia="仿宋" w:cs="仿宋"/>
        <w:sz w:val="13"/>
        <w:szCs w:val="20"/>
      </w:rPr>
      <w:fldChar w:fldCharType="separate"/>
    </w:r>
    <w:r>
      <w:rPr>
        <w:rFonts w:hint="eastAsia" w:ascii="仿宋" w:hAnsi="仿宋" w:eastAsia="仿宋" w:cs="仿宋"/>
        <w:sz w:val="13"/>
        <w:szCs w:val="20"/>
      </w:rPr>
      <w:t>www.ipqingdao.com</w:t>
    </w:r>
    <w:r>
      <w:rPr>
        <w:rFonts w:hint="eastAsia" w:ascii="仿宋" w:hAnsi="仿宋" w:eastAsia="仿宋" w:cs="仿宋"/>
        <w:sz w:val="13"/>
        <w:szCs w:val="20"/>
      </w:rPr>
      <w:fldChar w:fldCharType="end"/>
    </w:r>
  </w:p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288" w:lineRule="auto"/>
      <w:ind w:left="0" w:leftChars="0" w:firstLine="130" w:firstLineChars="100"/>
      <w:jc w:val="both"/>
      <w:textAlignment w:val="auto"/>
      <w:rPr>
        <w:rFonts w:hint="eastAsia" w:ascii="仿宋" w:hAnsi="仿宋" w:eastAsia="仿宋" w:cs="仿宋"/>
        <w:sz w:val="13"/>
        <w:szCs w:val="20"/>
        <w:lang w:val="en-US"/>
      </w:rPr>
    </w:pPr>
    <w:r>
      <w:rPr>
        <w:rFonts w:hint="eastAsia" w:ascii="仿宋" w:hAnsi="仿宋" w:eastAsia="仿宋" w:cs="仿宋"/>
        <w:sz w:val="13"/>
        <w:szCs w:val="20"/>
      </w:rPr>
      <w:t>地</w:t>
    </w:r>
    <w:r>
      <w:rPr>
        <w:rFonts w:hint="eastAsia" w:ascii="仿宋" w:hAnsi="仿宋" w:eastAsia="仿宋" w:cs="仿宋"/>
        <w:sz w:val="13"/>
        <w:szCs w:val="20"/>
        <w:lang w:val="en-US" w:eastAsia="zh-CN"/>
      </w:rPr>
      <w:t xml:space="preserve"> </w:t>
    </w:r>
    <w:r>
      <w:rPr>
        <w:rFonts w:hint="eastAsia" w:ascii="仿宋" w:hAnsi="仿宋" w:eastAsia="仿宋" w:cs="仿宋"/>
        <w:sz w:val="13"/>
        <w:szCs w:val="20"/>
      </w:rPr>
      <w:t>址：青岛市崂山区科苑纬一路国际创新园G座</w:t>
    </w:r>
    <w:r>
      <w:rPr>
        <w:rFonts w:hint="eastAsia" w:ascii="仿宋" w:hAnsi="仿宋" w:eastAsia="仿宋" w:cs="仿宋"/>
        <w:sz w:val="13"/>
        <w:szCs w:val="20"/>
        <w:lang w:val="en-US" w:eastAsia="zh-CN"/>
      </w:rPr>
      <w:t>11</w:t>
    </w:r>
    <w:r>
      <w:rPr>
        <w:rFonts w:hint="eastAsia" w:ascii="仿宋" w:hAnsi="仿宋" w:eastAsia="仿宋" w:cs="仿宋"/>
        <w:sz w:val="13"/>
        <w:szCs w:val="20"/>
      </w:rPr>
      <w:t xml:space="preserve">层   </w:t>
    </w:r>
    <w:r>
      <w:rPr>
        <w:rFonts w:hint="eastAsia" w:ascii="仿宋" w:hAnsi="仿宋" w:eastAsia="仿宋" w:cs="仿宋"/>
        <w:sz w:val="13"/>
        <w:szCs w:val="20"/>
        <w:lang w:val="en-US" w:eastAsia="zh-CN"/>
      </w:rPr>
      <w:t xml:space="preserve">  青岛市黄岛区胶州湾东路3666号山东工艺美院产教融合楼418室  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288" w:lineRule="auto"/>
      <w:ind w:right="363" w:firstLine="260" w:firstLineChars="200"/>
      <w:jc w:val="left"/>
      <w:textAlignment w:val="auto"/>
    </w:pPr>
    <w:r>
      <w:rPr>
        <w:rFonts w:hint="eastAsia" w:ascii="仿宋" w:hAnsi="仿宋" w:eastAsia="仿宋" w:cs="仿宋"/>
        <w:sz w:val="13"/>
        <w:szCs w:val="20"/>
        <w:lang w:val="en-US" w:eastAsia="zh-CN"/>
      </w:rPr>
      <w:t xml:space="preserve">     </w:t>
    </w:r>
    <w:r>
      <w:rPr>
        <w:rFonts w:hint="eastAsia" w:ascii="仿宋" w:hAnsi="仿宋" w:eastAsia="仿宋" w:cs="仿宋"/>
        <w:sz w:val="13"/>
        <w:szCs w:val="20"/>
      </w:rPr>
      <w:t>青岛市胶州市宝龙广场A栋</w:t>
    </w:r>
    <w:r>
      <w:rPr>
        <w:rFonts w:hint="eastAsia" w:ascii="仿宋" w:hAnsi="仿宋" w:eastAsia="仿宋" w:cs="仿宋"/>
        <w:sz w:val="13"/>
        <w:szCs w:val="20"/>
        <w:lang w:val="en-US" w:eastAsia="zh-CN"/>
      </w:rPr>
      <w:t xml:space="preserve">7层                  </w:t>
    </w:r>
    <w:r>
      <w:rPr>
        <w:rFonts w:hint="eastAsia" w:ascii="仿宋" w:hAnsi="仿宋" w:eastAsia="仿宋" w:cs="仿宋"/>
        <w:kern w:val="2"/>
        <w:sz w:val="13"/>
        <w:szCs w:val="20"/>
        <w:lang w:val="en-US" w:eastAsia="zh-CN" w:bidi="ar-SA"/>
      </w:rPr>
      <w:t>济南市槐荫区经十西路28988号乐梦中心2号楼518室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 w:val="0"/>
      <w:pBdr>
        <w:bottom w:val="single" w:color="auto" w:sz="4" w:space="1"/>
      </w:pBdr>
      <w:kinsoku/>
      <w:wordWrap/>
      <w:overflowPunct/>
      <w:topLinePunct w:val="0"/>
      <w:bidi w:val="0"/>
      <w:adjustRightInd w:val="0"/>
      <w:snapToGrid w:val="0"/>
      <w:ind w:firstLine="0" w:firstLineChars="0"/>
      <w:jc w:val="distribute"/>
      <w:textAlignment w:val="auto"/>
      <w:rPr>
        <w:rFonts w:ascii="Times New Roman" w:hAnsi="Times New Roman" w:eastAsia="宋体" w:cs="Times New Roman"/>
        <w:szCs w:val="18"/>
      </w:rPr>
    </w:pPr>
    <w:r>
      <w:rPr>
        <w:rFonts w:hint="eastAsia"/>
      </w:rPr>
      <w:drawing>
        <wp:inline distT="0" distB="0" distL="114300" distR="114300">
          <wp:extent cx="996950" cy="330835"/>
          <wp:effectExtent l="0" t="0" r="12700" b="12065"/>
          <wp:docPr id="4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微软雅黑"/>
      </w:rPr>
      <w:t xml:space="preserve">        </w:t>
    </w:r>
    <w:r>
      <w:rPr>
        <w:rFonts w:hint="eastAsia" w:ascii="微软雅黑" w:hAnsi="微软雅黑" w:eastAsia="微软雅黑" w:cs="微软雅黑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</w:rPr>
      <w:t xml:space="preserve"> </w:t>
    </w:r>
    <w:r>
      <w:rPr>
        <w:rFonts w:hint="eastAsia" w:ascii="微软雅黑" w:hAnsi="微软雅黑" w:eastAsia="微软雅黑" w:cs="微软雅黑"/>
        <w:spacing w:val="-40"/>
        <w:sz w:val="15"/>
        <w:szCs w:val="15"/>
      </w:rPr>
      <w:t>立足知识产权，落地惠企项目。至专至全服务，成就客户价值。</w:t>
    </w:r>
  </w:p>
  <w:p>
    <w:pPr>
      <w:pStyle w:val="6"/>
      <w:jc w:val="right"/>
      <w:rPr>
        <w:rFonts w:hint="eastAsia"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7BABF"/>
    <w:multiLevelType w:val="singleLevel"/>
    <w:tmpl w:val="B767BA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BD716B"/>
    <w:multiLevelType w:val="singleLevel"/>
    <w:tmpl w:val="ECBD71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AE22FC"/>
    <w:multiLevelType w:val="singleLevel"/>
    <w:tmpl w:val="FDAE22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F788572"/>
    <w:multiLevelType w:val="singleLevel"/>
    <w:tmpl w:val="FF7885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BF09DDD"/>
    <w:multiLevelType w:val="singleLevel"/>
    <w:tmpl w:val="7BF09DD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1ODlkZDNiNjYyY2UxNDI4NWMxMGQ3MDk5ZWIyNzcifQ=="/>
  </w:docVars>
  <w:rsids>
    <w:rsidRoot w:val="00000000"/>
    <w:rsid w:val="00BC757B"/>
    <w:rsid w:val="02533F0F"/>
    <w:rsid w:val="02CE4249"/>
    <w:rsid w:val="03881CBC"/>
    <w:rsid w:val="038B1487"/>
    <w:rsid w:val="040379EC"/>
    <w:rsid w:val="04185410"/>
    <w:rsid w:val="050921E5"/>
    <w:rsid w:val="07B0F62D"/>
    <w:rsid w:val="0EC606D6"/>
    <w:rsid w:val="111B209C"/>
    <w:rsid w:val="11E067C6"/>
    <w:rsid w:val="12015736"/>
    <w:rsid w:val="134BC114"/>
    <w:rsid w:val="13AF2A57"/>
    <w:rsid w:val="15E07D1D"/>
    <w:rsid w:val="176E753B"/>
    <w:rsid w:val="179F404B"/>
    <w:rsid w:val="17A252C5"/>
    <w:rsid w:val="17CEB915"/>
    <w:rsid w:val="189027D1"/>
    <w:rsid w:val="19464B08"/>
    <w:rsid w:val="195F4BB1"/>
    <w:rsid w:val="1BF720D7"/>
    <w:rsid w:val="1BFDC52D"/>
    <w:rsid w:val="1CD35F20"/>
    <w:rsid w:val="1E343166"/>
    <w:rsid w:val="1EEFA97C"/>
    <w:rsid w:val="1FDDCD82"/>
    <w:rsid w:val="1FF9E6BF"/>
    <w:rsid w:val="1FFEBF86"/>
    <w:rsid w:val="21555156"/>
    <w:rsid w:val="215C004C"/>
    <w:rsid w:val="22014F40"/>
    <w:rsid w:val="22AD4EEC"/>
    <w:rsid w:val="239A39F8"/>
    <w:rsid w:val="24223D81"/>
    <w:rsid w:val="253E19AE"/>
    <w:rsid w:val="277F7F95"/>
    <w:rsid w:val="27FFB70A"/>
    <w:rsid w:val="28E3039B"/>
    <w:rsid w:val="28EB0DDF"/>
    <w:rsid w:val="2A21651D"/>
    <w:rsid w:val="2BEA0B91"/>
    <w:rsid w:val="2D5E7D0D"/>
    <w:rsid w:val="2DAE3EEE"/>
    <w:rsid w:val="2DE7A469"/>
    <w:rsid w:val="2DE80708"/>
    <w:rsid w:val="2DFF24FC"/>
    <w:rsid w:val="2DFFABF0"/>
    <w:rsid w:val="2E59EDC9"/>
    <w:rsid w:val="2EB01C1E"/>
    <w:rsid w:val="2EEF6D59"/>
    <w:rsid w:val="2F630248"/>
    <w:rsid w:val="2F756761"/>
    <w:rsid w:val="2F7D4EF2"/>
    <w:rsid w:val="2F917CA1"/>
    <w:rsid w:val="2FAF1B7F"/>
    <w:rsid w:val="2FC87215"/>
    <w:rsid w:val="2FEEA0C6"/>
    <w:rsid w:val="2FFAD717"/>
    <w:rsid w:val="300541EB"/>
    <w:rsid w:val="31E06661"/>
    <w:rsid w:val="31ED770A"/>
    <w:rsid w:val="330375A0"/>
    <w:rsid w:val="33694A5F"/>
    <w:rsid w:val="339F101A"/>
    <w:rsid w:val="3540129D"/>
    <w:rsid w:val="36873BAC"/>
    <w:rsid w:val="36BFEE0F"/>
    <w:rsid w:val="36CE0542"/>
    <w:rsid w:val="36D3294D"/>
    <w:rsid w:val="37140551"/>
    <w:rsid w:val="37AEC34E"/>
    <w:rsid w:val="39CF025C"/>
    <w:rsid w:val="39FE2D49"/>
    <w:rsid w:val="3AFB0A3D"/>
    <w:rsid w:val="3AFF4416"/>
    <w:rsid w:val="3B9F7094"/>
    <w:rsid w:val="3BF65293"/>
    <w:rsid w:val="3BFFD24B"/>
    <w:rsid w:val="3DDFF3D1"/>
    <w:rsid w:val="3DFD5369"/>
    <w:rsid w:val="3DFDB271"/>
    <w:rsid w:val="3E5F2391"/>
    <w:rsid w:val="3EADA5C5"/>
    <w:rsid w:val="3EBB0E4A"/>
    <w:rsid w:val="3F1FD29C"/>
    <w:rsid w:val="3F6EA7C7"/>
    <w:rsid w:val="3F936B62"/>
    <w:rsid w:val="3FAF11D7"/>
    <w:rsid w:val="3FB7E5B2"/>
    <w:rsid w:val="3FCDA09E"/>
    <w:rsid w:val="3FDFD866"/>
    <w:rsid w:val="3FEF933B"/>
    <w:rsid w:val="3FF72C96"/>
    <w:rsid w:val="3FFF0CA9"/>
    <w:rsid w:val="403C55A9"/>
    <w:rsid w:val="40E70BAA"/>
    <w:rsid w:val="413466DE"/>
    <w:rsid w:val="43985A81"/>
    <w:rsid w:val="449F35E0"/>
    <w:rsid w:val="454B049A"/>
    <w:rsid w:val="457E0E5B"/>
    <w:rsid w:val="46160EB3"/>
    <w:rsid w:val="46DB1866"/>
    <w:rsid w:val="47EB054E"/>
    <w:rsid w:val="48757D08"/>
    <w:rsid w:val="49FF1096"/>
    <w:rsid w:val="4A433348"/>
    <w:rsid w:val="4BB7F082"/>
    <w:rsid w:val="4D3D7716"/>
    <w:rsid w:val="4D7F8529"/>
    <w:rsid w:val="4F17BA65"/>
    <w:rsid w:val="4FBFCB26"/>
    <w:rsid w:val="4FDF84B8"/>
    <w:rsid w:val="4FE736DA"/>
    <w:rsid w:val="4FF7C308"/>
    <w:rsid w:val="505E72D4"/>
    <w:rsid w:val="51AA3E0A"/>
    <w:rsid w:val="5263372B"/>
    <w:rsid w:val="537F4161"/>
    <w:rsid w:val="54447963"/>
    <w:rsid w:val="55776AE1"/>
    <w:rsid w:val="559EB073"/>
    <w:rsid w:val="568F0E0B"/>
    <w:rsid w:val="573F305C"/>
    <w:rsid w:val="577BFB6A"/>
    <w:rsid w:val="57CE922F"/>
    <w:rsid w:val="57DD9579"/>
    <w:rsid w:val="57DFF0BE"/>
    <w:rsid w:val="57EF05FD"/>
    <w:rsid w:val="57FE1FE1"/>
    <w:rsid w:val="57FF76D7"/>
    <w:rsid w:val="581A7BFD"/>
    <w:rsid w:val="59BB9A12"/>
    <w:rsid w:val="59FF4798"/>
    <w:rsid w:val="5AF76EDB"/>
    <w:rsid w:val="5AFF7AF7"/>
    <w:rsid w:val="5BD58CC3"/>
    <w:rsid w:val="5BEFD8DB"/>
    <w:rsid w:val="5BF3E3B4"/>
    <w:rsid w:val="5BFF64BB"/>
    <w:rsid w:val="5CBD6A4B"/>
    <w:rsid w:val="5CFC1573"/>
    <w:rsid w:val="5D7E959C"/>
    <w:rsid w:val="5DCB1900"/>
    <w:rsid w:val="5DEDB6FC"/>
    <w:rsid w:val="5DF626E4"/>
    <w:rsid w:val="5E7D44EB"/>
    <w:rsid w:val="5EE77BBF"/>
    <w:rsid w:val="5F01512C"/>
    <w:rsid w:val="5F0BED5C"/>
    <w:rsid w:val="5F6F904F"/>
    <w:rsid w:val="5FBF711D"/>
    <w:rsid w:val="5FD6077C"/>
    <w:rsid w:val="5FE5A935"/>
    <w:rsid w:val="5FEF25A4"/>
    <w:rsid w:val="5FFA8326"/>
    <w:rsid w:val="60251BBC"/>
    <w:rsid w:val="60B238B3"/>
    <w:rsid w:val="61C701E5"/>
    <w:rsid w:val="61E6E27F"/>
    <w:rsid w:val="61F5E105"/>
    <w:rsid w:val="633B4B8D"/>
    <w:rsid w:val="63EE5DCD"/>
    <w:rsid w:val="659436FE"/>
    <w:rsid w:val="65BF8F9E"/>
    <w:rsid w:val="65DF140D"/>
    <w:rsid w:val="666BA325"/>
    <w:rsid w:val="674476CD"/>
    <w:rsid w:val="67A11F04"/>
    <w:rsid w:val="67BB4760"/>
    <w:rsid w:val="67DB1B31"/>
    <w:rsid w:val="67DFCA7E"/>
    <w:rsid w:val="67F37C40"/>
    <w:rsid w:val="67FFEDCD"/>
    <w:rsid w:val="68E819D9"/>
    <w:rsid w:val="6937FA09"/>
    <w:rsid w:val="6977F670"/>
    <w:rsid w:val="6B6D350E"/>
    <w:rsid w:val="6B7F5FE7"/>
    <w:rsid w:val="6BBE6349"/>
    <w:rsid w:val="6BBE98F9"/>
    <w:rsid w:val="6BF516E4"/>
    <w:rsid w:val="6BFBFD00"/>
    <w:rsid w:val="6BFE75D5"/>
    <w:rsid w:val="6BFF588B"/>
    <w:rsid w:val="6DFD653C"/>
    <w:rsid w:val="6E97AF2A"/>
    <w:rsid w:val="6EDF198C"/>
    <w:rsid w:val="6F7637EB"/>
    <w:rsid w:val="6F7F82B0"/>
    <w:rsid w:val="6F8F5CC4"/>
    <w:rsid w:val="6FB10D76"/>
    <w:rsid w:val="6FD76373"/>
    <w:rsid w:val="6FDB7610"/>
    <w:rsid w:val="6FDC5B80"/>
    <w:rsid w:val="6FF8AB9B"/>
    <w:rsid w:val="6FFF67A4"/>
    <w:rsid w:val="70C44AD9"/>
    <w:rsid w:val="725974A3"/>
    <w:rsid w:val="72771EE8"/>
    <w:rsid w:val="72E2ECD3"/>
    <w:rsid w:val="733FC7B1"/>
    <w:rsid w:val="73D70FC8"/>
    <w:rsid w:val="73DB129D"/>
    <w:rsid w:val="73E7B325"/>
    <w:rsid w:val="73F9F5D7"/>
    <w:rsid w:val="73FF4C2A"/>
    <w:rsid w:val="73FF8830"/>
    <w:rsid w:val="747412B2"/>
    <w:rsid w:val="74F3CD87"/>
    <w:rsid w:val="74FF4332"/>
    <w:rsid w:val="75774654"/>
    <w:rsid w:val="76DDFB12"/>
    <w:rsid w:val="76FFF5C5"/>
    <w:rsid w:val="772DE4FA"/>
    <w:rsid w:val="773FB48C"/>
    <w:rsid w:val="776E59C8"/>
    <w:rsid w:val="777DCB8F"/>
    <w:rsid w:val="777F70D7"/>
    <w:rsid w:val="77AF87D2"/>
    <w:rsid w:val="77AFEBD2"/>
    <w:rsid w:val="77B7B382"/>
    <w:rsid w:val="77DF0B1B"/>
    <w:rsid w:val="77EF2C7A"/>
    <w:rsid w:val="77F6FAEB"/>
    <w:rsid w:val="77F730CE"/>
    <w:rsid w:val="77FFF751"/>
    <w:rsid w:val="78162E3E"/>
    <w:rsid w:val="79352A18"/>
    <w:rsid w:val="796230E1"/>
    <w:rsid w:val="79BA0BE2"/>
    <w:rsid w:val="79DF3670"/>
    <w:rsid w:val="79F92AB2"/>
    <w:rsid w:val="79F9D248"/>
    <w:rsid w:val="79FF5D0A"/>
    <w:rsid w:val="7A7E3AEF"/>
    <w:rsid w:val="7ADF9820"/>
    <w:rsid w:val="7AF46BE4"/>
    <w:rsid w:val="7B2BD677"/>
    <w:rsid w:val="7B7564F2"/>
    <w:rsid w:val="7B7F74A5"/>
    <w:rsid w:val="7BAD26C7"/>
    <w:rsid w:val="7BB5432D"/>
    <w:rsid w:val="7BDDE3F3"/>
    <w:rsid w:val="7BFD4D4E"/>
    <w:rsid w:val="7C57A3A0"/>
    <w:rsid w:val="7C5EC734"/>
    <w:rsid w:val="7CB68906"/>
    <w:rsid w:val="7CF20C20"/>
    <w:rsid w:val="7CFB6D4F"/>
    <w:rsid w:val="7D657B99"/>
    <w:rsid w:val="7DBC85FA"/>
    <w:rsid w:val="7DBDA5D5"/>
    <w:rsid w:val="7DCB716E"/>
    <w:rsid w:val="7DCF7D4F"/>
    <w:rsid w:val="7DD3D38B"/>
    <w:rsid w:val="7DD3DD2E"/>
    <w:rsid w:val="7DD5B0B8"/>
    <w:rsid w:val="7DFBCF34"/>
    <w:rsid w:val="7E174DE1"/>
    <w:rsid w:val="7E676EAD"/>
    <w:rsid w:val="7EFB7739"/>
    <w:rsid w:val="7EFD8211"/>
    <w:rsid w:val="7EFEEC4F"/>
    <w:rsid w:val="7EFF0A40"/>
    <w:rsid w:val="7F3BBFC5"/>
    <w:rsid w:val="7F7DEBF6"/>
    <w:rsid w:val="7F7F8681"/>
    <w:rsid w:val="7F7F989F"/>
    <w:rsid w:val="7F852155"/>
    <w:rsid w:val="7F914720"/>
    <w:rsid w:val="7FAE37CC"/>
    <w:rsid w:val="7FAFE307"/>
    <w:rsid w:val="7FB8958F"/>
    <w:rsid w:val="7FBBCF1C"/>
    <w:rsid w:val="7FCFB7E6"/>
    <w:rsid w:val="7FD543A6"/>
    <w:rsid w:val="7FD7439A"/>
    <w:rsid w:val="7FDEB040"/>
    <w:rsid w:val="7FDEC979"/>
    <w:rsid w:val="7FE7372C"/>
    <w:rsid w:val="7FEC9960"/>
    <w:rsid w:val="7FEEA96D"/>
    <w:rsid w:val="7FF72A32"/>
    <w:rsid w:val="7FF77046"/>
    <w:rsid w:val="7FFE3DA2"/>
    <w:rsid w:val="7FFF8CB7"/>
    <w:rsid w:val="7FFFB951"/>
    <w:rsid w:val="857FF482"/>
    <w:rsid w:val="93BEA49A"/>
    <w:rsid w:val="9ADFCFEC"/>
    <w:rsid w:val="9B3DD44F"/>
    <w:rsid w:val="9D5BF8C6"/>
    <w:rsid w:val="9DB6C2CB"/>
    <w:rsid w:val="9F372FBB"/>
    <w:rsid w:val="A7FD9EFB"/>
    <w:rsid w:val="ABF5F1AD"/>
    <w:rsid w:val="AD2DD9FD"/>
    <w:rsid w:val="AD6ABC32"/>
    <w:rsid w:val="AF74CC50"/>
    <w:rsid w:val="B3F739F7"/>
    <w:rsid w:val="B6E523AA"/>
    <w:rsid w:val="B6FF2B83"/>
    <w:rsid w:val="B71F4D8A"/>
    <w:rsid w:val="B7CFA343"/>
    <w:rsid w:val="B7F6F5ED"/>
    <w:rsid w:val="B7F75692"/>
    <w:rsid w:val="B7FFEF7F"/>
    <w:rsid w:val="B8EFC2CF"/>
    <w:rsid w:val="B976ACDC"/>
    <w:rsid w:val="BA4659DC"/>
    <w:rsid w:val="BBE7D4AD"/>
    <w:rsid w:val="BBF31890"/>
    <w:rsid w:val="BBF4646E"/>
    <w:rsid w:val="BBF90954"/>
    <w:rsid w:val="BBFB5B7E"/>
    <w:rsid w:val="BCD7DF3F"/>
    <w:rsid w:val="BD2DC38A"/>
    <w:rsid w:val="BDDF240C"/>
    <w:rsid w:val="BDFB8D48"/>
    <w:rsid w:val="BDFFAB1B"/>
    <w:rsid w:val="BEBDA5E6"/>
    <w:rsid w:val="BEEF74A0"/>
    <w:rsid w:val="BEEFEE05"/>
    <w:rsid w:val="BF754C94"/>
    <w:rsid w:val="BFED0AC3"/>
    <w:rsid w:val="BFF33C6F"/>
    <w:rsid w:val="BFFF3CE8"/>
    <w:rsid w:val="BFFF5D1F"/>
    <w:rsid w:val="C79FAEAF"/>
    <w:rsid w:val="CAA5C780"/>
    <w:rsid w:val="CB5FF2C1"/>
    <w:rsid w:val="CB9D0DFD"/>
    <w:rsid w:val="CBFF2CBA"/>
    <w:rsid w:val="CD7F2077"/>
    <w:rsid w:val="CDBD2805"/>
    <w:rsid w:val="CEF3B34A"/>
    <w:rsid w:val="CF725096"/>
    <w:rsid w:val="CFCE54CE"/>
    <w:rsid w:val="CFED3EB7"/>
    <w:rsid w:val="D1AFE997"/>
    <w:rsid w:val="D57C44E4"/>
    <w:rsid w:val="D77C983D"/>
    <w:rsid w:val="D77CAE95"/>
    <w:rsid w:val="D7DE8D68"/>
    <w:rsid w:val="D7DFD0E2"/>
    <w:rsid w:val="D9FF3588"/>
    <w:rsid w:val="DA5FE828"/>
    <w:rsid w:val="DAF7881B"/>
    <w:rsid w:val="DB5F2218"/>
    <w:rsid w:val="DBFF3C12"/>
    <w:rsid w:val="DDBBF3DA"/>
    <w:rsid w:val="DDFF5A97"/>
    <w:rsid w:val="DE4F8E74"/>
    <w:rsid w:val="DE5F0814"/>
    <w:rsid w:val="DEFF7613"/>
    <w:rsid w:val="DF7728E8"/>
    <w:rsid w:val="DF7E7363"/>
    <w:rsid w:val="DF969C1B"/>
    <w:rsid w:val="DFBF3857"/>
    <w:rsid w:val="DFBF4541"/>
    <w:rsid w:val="DFE57474"/>
    <w:rsid w:val="DFEB482E"/>
    <w:rsid w:val="DFFBFF0D"/>
    <w:rsid w:val="DFFD6421"/>
    <w:rsid w:val="DFFD79CA"/>
    <w:rsid w:val="DFFDD670"/>
    <w:rsid w:val="DFFECDAB"/>
    <w:rsid w:val="DFFF7D3B"/>
    <w:rsid w:val="DFFFCA8C"/>
    <w:rsid w:val="E57C9CDD"/>
    <w:rsid w:val="E5FCFFFF"/>
    <w:rsid w:val="E5FF7CF1"/>
    <w:rsid w:val="E65FBFEF"/>
    <w:rsid w:val="E66BC29C"/>
    <w:rsid w:val="E77DDCC3"/>
    <w:rsid w:val="E7AF3C58"/>
    <w:rsid w:val="E7BB1F6F"/>
    <w:rsid w:val="EAB7383B"/>
    <w:rsid w:val="EAFEDCF2"/>
    <w:rsid w:val="EBF48158"/>
    <w:rsid w:val="EDC799E6"/>
    <w:rsid w:val="EDCC6E7D"/>
    <w:rsid w:val="EDFDCC9F"/>
    <w:rsid w:val="EE5BEC96"/>
    <w:rsid w:val="EEB35E05"/>
    <w:rsid w:val="EED9289A"/>
    <w:rsid w:val="EEFD96AF"/>
    <w:rsid w:val="EF5F50C8"/>
    <w:rsid w:val="EF7B20C7"/>
    <w:rsid w:val="EF7FDD29"/>
    <w:rsid w:val="EFABE1E2"/>
    <w:rsid w:val="EFCFAAE2"/>
    <w:rsid w:val="EFDF29C7"/>
    <w:rsid w:val="EFED732A"/>
    <w:rsid w:val="EFF5D424"/>
    <w:rsid w:val="EFFF1C67"/>
    <w:rsid w:val="F13FC9E4"/>
    <w:rsid w:val="F1AC6F34"/>
    <w:rsid w:val="F1CC5CF4"/>
    <w:rsid w:val="F1FD18CB"/>
    <w:rsid w:val="F3732C24"/>
    <w:rsid w:val="F3CF3C24"/>
    <w:rsid w:val="F3E7D9DF"/>
    <w:rsid w:val="F3F54AD3"/>
    <w:rsid w:val="F3FBDAE8"/>
    <w:rsid w:val="F3FE7534"/>
    <w:rsid w:val="F4691551"/>
    <w:rsid w:val="F4FD840F"/>
    <w:rsid w:val="F5E77AD7"/>
    <w:rsid w:val="F5EFBB2C"/>
    <w:rsid w:val="F5EFF3BC"/>
    <w:rsid w:val="F67FA818"/>
    <w:rsid w:val="F7757CC6"/>
    <w:rsid w:val="F7B79A3E"/>
    <w:rsid w:val="F7DE25A2"/>
    <w:rsid w:val="F7E95DF2"/>
    <w:rsid w:val="F7EDCA33"/>
    <w:rsid w:val="F7F1A4C9"/>
    <w:rsid w:val="F7FA6873"/>
    <w:rsid w:val="F7FF9D09"/>
    <w:rsid w:val="F9BF05D1"/>
    <w:rsid w:val="F9FCB701"/>
    <w:rsid w:val="F9FE474F"/>
    <w:rsid w:val="FA7F9C08"/>
    <w:rsid w:val="FADFD8F8"/>
    <w:rsid w:val="FB6B8D45"/>
    <w:rsid w:val="FB7FB74C"/>
    <w:rsid w:val="FBDF3279"/>
    <w:rsid w:val="FBEB9983"/>
    <w:rsid w:val="FBF538D3"/>
    <w:rsid w:val="FBFF9F8D"/>
    <w:rsid w:val="FBFFCE3C"/>
    <w:rsid w:val="FC6F6E77"/>
    <w:rsid w:val="FCAF5ADE"/>
    <w:rsid w:val="FCFFC96B"/>
    <w:rsid w:val="FD17915B"/>
    <w:rsid w:val="FD24F768"/>
    <w:rsid w:val="FD5DBEBA"/>
    <w:rsid w:val="FDAC7E5F"/>
    <w:rsid w:val="FDAD6823"/>
    <w:rsid w:val="FDDEC4DD"/>
    <w:rsid w:val="FDFF1C53"/>
    <w:rsid w:val="FDFF510F"/>
    <w:rsid w:val="FE6ECF95"/>
    <w:rsid w:val="FE709786"/>
    <w:rsid w:val="FE7F2589"/>
    <w:rsid w:val="FECEF67D"/>
    <w:rsid w:val="FED6B845"/>
    <w:rsid w:val="FEEC0E64"/>
    <w:rsid w:val="FEFF0C16"/>
    <w:rsid w:val="FF2F936F"/>
    <w:rsid w:val="FF347CBD"/>
    <w:rsid w:val="FF4D6F17"/>
    <w:rsid w:val="FF65FCDE"/>
    <w:rsid w:val="FF99B032"/>
    <w:rsid w:val="FF9FE209"/>
    <w:rsid w:val="FFAD0E2A"/>
    <w:rsid w:val="FFB5CC50"/>
    <w:rsid w:val="FFBE1578"/>
    <w:rsid w:val="FFBE7446"/>
    <w:rsid w:val="FFBFB1D7"/>
    <w:rsid w:val="FFD53A75"/>
    <w:rsid w:val="FFD67253"/>
    <w:rsid w:val="FFE552EF"/>
    <w:rsid w:val="FFEB13F4"/>
    <w:rsid w:val="FFEE4255"/>
    <w:rsid w:val="FFEFF255"/>
    <w:rsid w:val="FFF8E18C"/>
    <w:rsid w:val="FFFB34AB"/>
    <w:rsid w:val="FFFD0159"/>
    <w:rsid w:val="FFFF3E30"/>
    <w:rsid w:val="FFFF6DF9"/>
    <w:rsid w:val="FFFF6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pacing w:beforeLines="35" w:line="460" w:lineRule="exact"/>
      <w:ind w:firstLine="200" w:firstLineChars="200"/>
    </w:pPr>
  </w:style>
  <w:style w:type="paragraph" w:styleId="4">
    <w:name w:val="Body Text Indent"/>
    <w:basedOn w:val="1"/>
    <w:qFormat/>
    <w:uiPriority w:val="0"/>
    <w:pPr>
      <w:spacing w:line="360" w:lineRule="auto"/>
      <w:ind w:firstLine="1044" w:firstLineChars="200"/>
    </w:pPr>
    <w:rPr>
      <w:spacing w:val="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Body Text First Indent 2"/>
    <w:basedOn w:val="4"/>
    <w:autoRedefine/>
    <w:unhideWhenUsed/>
    <w:qFormat/>
    <w:uiPriority w:val="99"/>
    <w:pPr>
      <w:widowControl w:val="0"/>
      <w:wordWrap/>
      <w:spacing w:before="0" w:beforeAutospacing="0" w:after="120" w:afterAutospacing="0" w:line="360" w:lineRule="auto"/>
      <w:ind w:left="0" w:leftChars="0" w:firstLine="420" w:firstLineChars="200"/>
      <w:jc w:val="left"/>
    </w:pPr>
    <w:rPr>
      <w:color w:val="auto"/>
      <w:sz w:val="2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宋四正文"/>
    <w:basedOn w:val="1"/>
    <w:autoRedefine/>
    <w:qFormat/>
    <w:uiPriority w:val="0"/>
    <w:pPr>
      <w:ind w:left="420" w:leftChars="200"/>
      <w:jc w:val="left"/>
    </w:pPr>
    <w:rPr>
      <w:rFonts w:ascii="Calibri" w:hAnsi="Calibri"/>
      <w:sz w:val="28"/>
    </w:rPr>
  </w:style>
  <w:style w:type="paragraph" w:customStyle="1" w:styleId="16">
    <w:name w:val="名称"/>
    <w:basedOn w:val="1"/>
    <w:autoRedefine/>
    <w:qFormat/>
    <w:uiPriority w:val="0"/>
    <w:pPr>
      <w:jc w:val="center"/>
    </w:pPr>
    <w:rPr>
      <w:b/>
      <w:spacing w:val="240"/>
      <w:sz w:val="36"/>
    </w:rPr>
  </w:style>
  <w:style w:type="paragraph" w:customStyle="1" w:styleId="17">
    <w:name w:val="样式 正文缩进d + 首行缩进:  2 字符 段前: 0.35 行"/>
    <w:basedOn w:val="3"/>
    <w:autoRedefine/>
    <w:qFormat/>
    <w:uiPriority w:val="0"/>
    <w:pPr>
      <w:spacing w:before="84"/>
      <w:ind w:firstLine="560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6605</Words>
  <Characters>6762</Characters>
  <Lines>0</Lines>
  <Paragraphs>0</Paragraphs>
  <TotalTime>36</TotalTime>
  <ScaleCrop>false</ScaleCrop>
  <LinksUpToDate>false</LinksUpToDate>
  <CharactersWithSpaces>6775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2021-03-20T07:59:00Z</dcterms:created>
  <dc:creator>Administrator</dc:creator>
  <cp:lastModifiedBy>魏帅</cp:lastModifiedBy>
  <cp:lastPrinted>2024-01-22T05:55:00Z</cp:lastPrinted>
  <dcterms:modified xsi:type="dcterms:W3CDTF">2025-04-14T15:57:09Z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0E0E8915E8CA4CEE86206A2DBD23FE04_13</vt:lpwstr>
  </property>
</Properties>
</file>