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BE" w:rsidRDefault="00083EA9">
      <w:proofErr w:type="gramStart"/>
      <w:r w:rsidRPr="00DD50BE">
        <w:rPr>
          <w:rFonts w:hint="eastAsia"/>
          <w:b/>
        </w:rPr>
        <w:t>毕设题目</w:t>
      </w:r>
      <w:proofErr w:type="gramEnd"/>
      <w:r w:rsidRPr="00DD50BE">
        <w:rPr>
          <w:rFonts w:hint="eastAsia"/>
          <w:b/>
        </w:rPr>
        <w:t>：</w:t>
      </w:r>
      <w:r w:rsidR="00912699">
        <w:rPr>
          <w:rFonts w:hint="eastAsia"/>
        </w:rPr>
        <w:t>针对动态神经网络的</w:t>
      </w:r>
      <w:r w:rsidR="00855263">
        <w:rPr>
          <w:rFonts w:hint="eastAsia"/>
        </w:rPr>
        <w:t>显存管理优化</w:t>
      </w:r>
    </w:p>
    <w:p w:rsidR="00DD50BE" w:rsidRDefault="00083EA9">
      <w:r w:rsidRPr="00DD50BE">
        <w:rPr>
          <w:rFonts w:hint="eastAsia"/>
          <w:b/>
        </w:rPr>
        <w:t>目的要求：</w:t>
      </w:r>
      <w:r w:rsidR="008A246C">
        <w:rPr>
          <w:rFonts w:hint="eastAsia"/>
        </w:rPr>
        <w:t>深度神经网络随着</w:t>
      </w:r>
      <w:r w:rsidR="004C7EE5">
        <w:rPr>
          <w:rFonts w:hint="eastAsia"/>
        </w:rPr>
        <w:t>计算设备能力的增强变得越来越流行，并在许多方面取得了令人惊叹的进展，例如计算机视觉，自然语言处理。</w:t>
      </w:r>
      <w:r w:rsidR="00836A21">
        <w:rPr>
          <w:rFonts w:hint="eastAsia"/>
        </w:rPr>
        <w:t>虽然设备的计算能力是在不断地增强，但是设备上的高带宽内存往往是有限的，例如在</w:t>
      </w:r>
      <w:r w:rsidR="00836A21">
        <w:rPr>
          <w:rFonts w:hint="eastAsia"/>
        </w:rPr>
        <w:t>NVIDIA</w:t>
      </w:r>
      <w:r w:rsidR="00836A21">
        <w:t xml:space="preserve"> </w:t>
      </w:r>
      <w:r w:rsidR="00836A21">
        <w:rPr>
          <w:rFonts w:hint="eastAsia"/>
        </w:rPr>
        <w:t>P</w:t>
      </w:r>
      <w:r w:rsidR="00836A21">
        <w:t>100</w:t>
      </w:r>
      <w:r w:rsidR="00836A21">
        <w:rPr>
          <w:rFonts w:hint="eastAsia"/>
        </w:rPr>
        <w:t>上只有</w:t>
      </w:r>
      <w:r w:rsidR="00836A21">
        <w:rPr>
          <w:rFonts w:hint="eastAsia"/>
        </w:rPr>
        <w:t>1</w:t>
      </w:r>
      <w:r w:rsidR="00836A21">
        <w:t>6</w:t>
      </w:r>
      <w:r w:rsidR="00836A21">
        <w:rPr>
          <w:rFonts w:hint="eastAsia"/>
        </w:rPr>
        <w:t>GB</w:t>
      </w:r>
      <w:r w:rsidR="00836A21">
        <w:rPr>
          <w:rFonts w:hint="eastAsia"/>
        </w:rPr>
        <w:t>的显存。</w:t>
      </w:r>
      <w:r w:rsidR="004C7EE5">
        <w:rPr>
          <w:rFonts w:hint="eastAsia"/>
        </w:rPr>
        <w:t>在</w:t>
      </w:r>
      <w:r w:rsidR="002F6BCD">
        <w:rPr>
          <w:rFonts w:hint="eastAsia"/>
        </w:rPr>
        <w:t>一</w:t>
      </w:r>
      <w:r w:rsidR="004C7EE5">
        <w:rPr>
          <w:rFonts w:hint="eastAsia"/>
        </w:rPr>
        <w:t>开始的计算机视觉领域，深度神经网络往往都是静态的，也就是说在还没有运行之前就能看到神经网络</w:t>
      </w:r>
      <w:r w:rsidR="00494A20">
        <w:rPr>
          <w:rFonts w:hint="eastAsia"/>
        </w:rPr>
        <w:t>的整个结构，所以针对这种静态深度神经网络，现在</w:t>
      </w:r>
      <w:r w:rsidR="00836A21">
        <w:rPr>
          <w:rFonts w:hint="eastAsia"/>
        </w:rPr>
        <w:t>有一些工作是通过分析该静态神经网络来做</w:t>
      </w:r>
      <w:proofErr w:type="gramStart"/>
      <w:r w:rsidR="00836A21">
        <w:rPr>
          <w:rFonts w:hint="eastAsia"/>
        </w:rPr>
        <w:t>一些显</w:t>
      </w:r>
      <w:proofErr w:type="gramEnd"/>
      <w:r w:rsidR="00836A21">
        <w:rPr>
          <w:rFonts w:hint="eastAsia"/>
        </w:rPr>
        <w:t>存管理优化，但是对于像自然语言处理等新兴领域往往都是一些动态神经网络，它的结构会和输入有关，因此，在没有运行之前是不能获得网络结构信息，从而导致之前的工作并不能适用。因此，针对动态神经网络</w:t>
      </w:r>
      <w:r w:rsidR="00506EC7">
        <w:rPr>
          <w:rFonts w:hint="eastAsia"/>
        </w:rPr>
        <w:t>需要有一套新的</w:t>
      </w:r>
      <w:r w:rsidR="003844EB">
        <w:rPr>
          <w:rFonts w:hint="eastAsia"/>
        </w:rPr>
        <w:t>显存管理方案来容纳更大的神经网络并保证较好的训练性能。</w:t>
      </w:r>
    </w:p>
    <w:p w:rsidR="00DD50BE" w:rsidRDefault="00083EA9">
      <w:r w:rsidRPr="00DD50BE">
        <w:rPr>
          <w:rFonts w:hint="eastAsia"/>
          <w:b/>
        </w:rPr>
        <w:t>主要内容：</w:t>
      </w:r>
      <w:r w:rsidR="006B5C18">
        <w:rPr>
          <w:rFonts w:hint="eastAsia"/>
        </w:rPr>
        <w:t>分析</w:t>
      </w:r>
      <w:r w:rsidR="009340B0">
        <w:rPr>
          <w:rFonts w:hint="eastAsia"/>
        </w:rPr>
        <w:t>现有的动态神经网络的训练过程</w:t>
      </w:r>
      <w:r w:rsidR="006B5C18">
        <w:rPr>
          <w:rFonts w:hint="eastAsia"/>
        </w:rPr>
        <w:t>相对于静态神经网络的不同，并提取其关键特征</w:t>
      </w:r>
      <w:r w:rsidR="009340B0">
        <w:rPr>
          <w:rFonts w:hint="eastAsia"/>
        </w:rPr>
        <w:t>，</w:t>
      </w:r>
      <w:r w:rsidR="006B5C18">
        <w:rPr>
          <w:rFonts w:hint="eastAsia"/>
        </w:rPr>
        <w:t>针对这些特征</w:t>
      </w:r>
      <w:r w:rsidR="009340B0">
        <w:rPr>
          <w:rFonts w:hint="eastAsia"/>
        </w:rPr>
        <w:t>提出一套专有的显存管理方案，</w:t>
      </w:r>
      <w:r w:rsidR="006B5C18">
        <w:rPr>
          <w:rFonts w:hint="eastAsia"/>
        </w:rPr>
        <w:t>使得在实现较高内存占用减少的情况下，保持较好的训练性能。</w:t>
      </w:r>
    </w:p>
    <w:p w:rsidR="00DD50BE" w:rsidRPr="00DD50BE" w:rsidRDefault="00083EA9">
      <w:pPr>
        <w:rPr>
          <w:b/>
        </w:rPr>
      </w:pPr>
      <w:r w:rsidRPr="00DD50BE">
        <w:rPr>
          <w:rFonts w:hint="eastAsia"/>
          <w:b/>
        </w:rPr>
        <w:t>预期目标：</w:t>
      </w:r>
    </w:p>
    <w:p w:rsidR="00DD50BE" w:rsidRDefault="00DD50BE" w:rsidP="00DD50BE">
      <w:r>
        <w:rPr>
          <w:rFonts w:hint="eastAsia"/>
        </w:rPr>
        <w:t xml:space="preserve">1. </w:t>
      </w:r>
      <w:r>
        <w:rPr>
          <w:rFonts w:hint="eastAsia"/>
        </w:rPr>
        <w:t>了解深度神经网络及其训练过程的内存使用特征。</w:t>
      </w:r>
    </w:p>
    <w:p w:rsidR="00DD50BE" w:rsidRDefault="00DD50BE" w:rsidP="00DD50BE">
      <w:pPr>
        <w:rPr>
          <w:rFonts w:hint="eastAsia"/>
        </w:rPr>
      </w:pPr>
      <w:r>
        <w:t xml:space="preserve">2. </w:t>
      </w:r>
      <w:r>
        <w:rPr>
          <w:rFonts w:hint="eastAsia"/>
        </w:rPr>
        <w:t>理解现有</w:t>
      </w:r>
      <w:r w:rsidR="00BD31C0">
        <w:rPr>
          <w:rFonts w:hint="eastAsia"/>
        </w:rPr>
        <w:t>针对深度神经网络的</w:t>
      </w:r>
      <w:r>
        <w:rPr>
          <w:rFonts w:hint="eastAsia"/>
        </w:rPr>
        <w:t>显存管理方法的缺点</w:t>
      </w:r>
      <w:r w:rsidR="00BD31C0">
        <w:rPr>
          <w:rFonts w:hint="eastAsia"/>
        </w:rPr>
        <w:t>与</w:t>
      </w:r>
      <w:r>
        <w:rPr>
          <w:rFonts w:hint="eastAsia"/>
        </w:rPr>
        <w:t>不足。</w:t>
      </w:r>
    </w:p>
    <w:p w:rsidR="00DD50BE" w:rsidRDefault="00DD50BE" w:rsidP="00DD50BE">
      <w:pPr>
        <w:rPr>
          <w:rFonts w:hint="eastAsia"/>
        </w:rPr>
      </w:pPr>
      <w:r>
        <w:t xml:space="preserve">3. </w:t>
      </w:r>
      <w:r w:rsidR="003844EB">
        <w:rPr>
          <w:rFonts w:hint="eastAsia"/>
        </w:rPr>
        <w:t>能够针对现有典型的动态神经网络实现</w:t>
      </w:r>
      <w:r w:rsidR="002F6BCD">
        <w:rPr>
          <w:rFonts w:hint="eastAsia"/>
        </w:rPr>
        <w:t>在</w:t>
      </w:r>
      <w:r w:rsidR="003844EB">
        <w:rPr>
          <w:rFonts w:hint="eastAsia"/>
        </w:rPr>
        <w:t>3</w:t>
      </w:r>
      <w:r w:rsidR="003844EB">
        <w:t>0</w:t>
      </w:r>
      <w:r w:rsidR="003844EB">
        <w:rPr>
          <w:rFonts w:hint="eastAsia"/>
        </w:rPr>
        <w:t>%-</w:t>
      </w:r>
      <w:r w:rsidR="003844EB">
        <w:t>40</w:t>
      </w:r>
      <w:r w:rsidR="003844EB">
        <w:rPr>
          <w:rFonts w:hint="eastAsia"/>
        </w:rPr>
        <w:t>%</w:t>
      </w:r>
      <w:r w:rsidR="003844EB">
        <w:rPr>
          <w:rFonts w:hint="eastAsia"/>
        </w:rPr>
        <w:t>的内存</w:t>
      </w:r>
      <w:r w:rsidR="006B5C18">
        <w:rPr>
          <w:rFonts w:hint="eastAsia"/>
        </w:rPr>
        <w:t>占用</w:t>
      </w:r>
      <w:r w:rsidR="003844EB">
        <w:rPr>
          <w:rFonts w:hint="eastAsia"/>
        </w:rPr>
        <w:t>减少</w:t>
      </w:r>
      <w:r w:rsidR="002F6BCD">
        <w:rPr>
          <w:rFonts w:hint="eastAsia"/>
        </w:rPr>
        <w:t>情况下，训练的性能损失在</w:t>
      </w:r>
      <w:r w:rsidR="002F6BCD">
        <w:t>20</w:t>
      </w:r>
      <w:r w:rsidR="002F6BCD">
        <w:rPr>
          <w:rFonts w:hint="eastAsia"/>
        </w:rPr>
        <w:t>-</w:t>
      </w:r>
      <w:r w:rsidR="002F6BCD">
        <w:t>30</w:t>
      </w:r>
      <w:r w:rsidR="002F6BCD">
        <w:rPr>
          <w:rFonts w:hint="eastAsia"/>
        </w:rPr>
        <w:t>%</w:t>
      </w:r>
      <w:r w:rsidR="002F6BCD">
        <w:rPr>
          <w:rFonts w:hint="eastAsia"/>
        </w:rPr>
        <w:t>以内。</w:t>
      </w:r>
    </w:p>
    <w:p w:rsidR="009340B0" w:rsidRPr="00DD50BE" w:rsidRDefault="00083EA9">
      <w:pPr>
        <w:rPr>
          <w:b/>
        </w:rPr>
      </w:pPr>
      <w:r w:rsidRPr="00DD50BE">
        <w:rPr>
          <w:rFonts w:hint="eastAsia"/>
          <w:b/>
        </w:rPr>
        <w:t>参考资料</w:t>
      </w:r>
    </w:p>
    <w:p w:rsidR="009340B0" w:rsidRDefault="009340B0">
      <w:r>
        <w:t xml:space="preserve">[1].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Rhu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Gimelshein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Clemons, J., Zulfiqar, A. and Keckler, S.W., 2016, October.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vDNN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: Virtualized deep neural networks for scalable, memory-efficient neural network design. In </w:t>
      </w:r>
      <w:r w:rsidR="00BD31C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49th Annual IEEE/ACM International Symposium on Microarchitecture</w:t>
      </w:r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18). IEEE Press.</w:t>
      </w:r>
    </w:p>
    <w:p w:rsidR="009340B0" w:rsidRDefault="009340B0">
      <w:r>
        <w:t xml:space="preserve">[2]. </w:t>
      </w:r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L., Ye, J., Zhao, Y., Wu, W., Li, A., Song, S.L., Xu, Z. and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Kraska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2018, February.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Superneurons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: dynamic GPU memory management for training deep neural networks. In </w:t>
      </w:r>
      <w:r w:rsidR="00BD31C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23rd ACM SIGPLAN Symposium on Principles and Practice of Parallel Programming</w:t>
      </w:r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41-53). ACM.</w:t>
      </w:r>
    </w:p>
    <w:p w:rsidR="009340B0" w:rsidRDefault="009340B0">
      <w:r>
        <w:t xml:space="preserve">[3]. </w:t>
      </w:r>
      <w:r w:rsidR="00BD31C0" w:rsidRPr="00C50328">
        <w:t xml:space="preserve">T. Chen, B. Xu, C. Zhang, and C. </w:t>
      </w:r>
      <w:proofErr w:type="spellStart"/>
      <w:r w:rsidR="00BD31C0" w:rsidRPr="00C50328">
        <w:t>Guestrin</w:t>
      </w:r>
      <w:proofErr w:type="spellEnd"/>
      <w:r w:rsidR="00BD31C0" w:rsidRPr="00C50328">
        <w:t xml:space="preserve">. Training deep nets with sublinear memory cost. </w:t>
      </w:r>
      <w:proofErr w:type="spellStart"/>
      <w:r w:rsidR="00BD31C0" w:rsidRPr="00C50328">
        <w:rPr>
          <w:i/>
          <w:iCs/>
        </w:rPr>
        <w:t>arXiv</w:t>
      </w:r>
      <w:proofErr w:type="spellEnd"/>
      <w:r w:rsidR="00BD31C0" w:rsidRPr="00C50328">
        <w:rPr>
          <w:i/>
          <w:iCs/>
        </w:rPr>
        <w:t xml:space="preserve"> preprint arXiv:1604.06174</w:t>
      </w:r>
      <w:r w:rsidR="00BD31C0" w:rsidRPr="00C50328">
        <w:t>, 2016.</w:t>
      </w:r>
    </w:p>
    <w:p w:rsidR="009340B0" w:rsidRDefault="009340B0">
      <w:r>
        <w:t xml:space="preserve">[4]. </w:t>
      </w:r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Meng, C., Sun, M., Yang, J.,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Qiu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and Gu, Y., 2017. Training deeper models by GPU memory optimization on TensorFlow. In </w:t>
      </w:r>
      <w:r w:rsidR="00BD31C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Proc. of ML Systems Workshop in NIPS</w:t>
      </w:r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340B0" w:rsidRDefault="009340B0">
      <w:pPr>
        <w:rPr>
          <w:rFonts w:hint="eastAsia"/>
        </w:rPr>
      </w:pPr>
      <w:r>
        <w:t xml:space="preserve">[5].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Neubig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Dyer, C., Goldberg, Y., Matthews, A., Ammar, W.,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Anastasopoulos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Ballesteros, M., Chiang, D.,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Clothiaux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Cohn, T. and Duh, K., 2017. </w:t>
      </w:r>
      <w:proofErr w:type="spellStart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Dynet</w:t>
      </w:r>
      <w:proofErr w:type="spellEnd"/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: The dynamic neural network toolkit. </w:t>
      </w:r>
      <w:proofErr w:type="spellStart"/>
      <w:r w:rsidR="00BD31C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="00BD31C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arXiv:1701.03980</w:t>
      </w:r>
      <w:r w:rsidR="00BD31C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83EA9" w:rsidRDefault="00083EA9"/>
    <w:p w:rsidR="00DD50BE" w:rsidRDefault="00DD50BE"/>
    <w:p w:rsidR="00DD50BE" w:rsidRDefault="008A755F" w:rsidP="008A755F">
      <w:proofErr w:type="gramStart"/>
      <w:r w:rsidRPr="00DD50BE">
        <w:rPr>
          <w:rFonts w:hint="eastAsia"/>
          <w:b/>
        </w:rPr>
        <w:lastRenderedPageBreak/>
        <w:t>毕设题目</w:t>
      </w:r>
      <w:proofErr w:type="gramEnd"/>
      <w:r w:rsidRPr="00DD50BE">
        <w:rPr>
          <w:rFonts w:hint="eastAsia"/>
          <w:b/>
        </w:rPr>
        <w:t>：</w:t>
      </w:r>
      <w:r w:rsidR="00662703" w:rsidRPr="00662703">
        <w:rPr>
          <w:rFonts w:hint="eastAsia"/>
        </w:rPr>
        <w:t>高效时序数据库存储结构的设计与实现</w:t>
      </w:r>
    </w:p>
    <w:p w:rsidR="00DD50BE" w:rsidRDefault="008A755F" w:rsidP="008A755F">
      <w:r w:rsidRPr="00DD50BE">
        <w:rPr>
          <w:rFonts w:hint="eastAsia"/>
          <w:b/>
        </w:rPr>
        <w:t>课题来源：</w:t>
      </w:r>
      <w:r w:rsidR="00662703" w:rsidRPr="00662703">
        <w:rPr>
          <w:rFonts w:hint="eastAsia"/>
        </w:rPr>
        <w:t>随着互联网和</w:t>
      </w:r>
      <w:proofErr w:type="gramStart"/>
      <w:r w:rsidR="00662703" w:rsidRPr="00662703">
        <w:rPr>
          <w:rFonts w:hint="eastAsia"/>
        </w:rPr>
        <w:t>物联网</w:t>
      </w:r>
      <w:proofErr w:type="gramEnd"/>
      <w:r w:rsidR="00662703" w:rsidRPr="00662703">
        <w:rPr>
          <w:rFonts w:hint="eastAsia"/>
        </w:rPr>
        <w:t>的快速发展，时间序列数据成爆发式增加。高精度，高采样率测量时间序列的增加给现有的时间序列数据库带来了问题。这些数据库既不能满足吞吐量需求，也不能提供处理时</w:t>
      </w:r>
      <w:r w:rsidR="008B5F43">
        <w:rPr>
          <w:rFonts w:hint="eastAsia"/>
        </w:rPr>
        <w:t>序</w:t>
      </w:r>
      <w:r w:rsidR="00662703" w:rsidRPr="00662703">
        <w:rPr>
          <w:rFonts w:hint="eastAsia"/>
        </w:rPr>
        <w:t>数据所必要的查询能力。时序数据存储结构设计是时序数据库设计中最重要的部分，时序数据库具有独特的数据特征和应用需求，使得压存储结构的设计在读写性能等方面存在很大的提升空间。</w:t>
      </w:r>
    </w:p>
    <w:p w:rsidR="00BD31C0" w:rsidRDefault="008A755F" w:rsidP="00BD31C0">
      <w:pPr>
        <w:rPr>
          <w:rFonts w:hint="eastAsia"/>
        </w:rPr>
      </w:pPr>
      <w:r w:rsidRPr="00DD50BE">
        <w:rPr>
          <w:rFonts w:hint="eastAsia"/>
          <w:b/>
        </w:rPr>
        <w:t>目的要求：</w:t>
      </w:r>
      <w:r w:rsidR="00BD31C0">
        <w:rPr>
          <w:rFonts w:hint="eastAsia"/>
        </w:rPr>
        <w:t>查阅本课题国内外的相关论文和资料，总结传统数据库的存储结构在处理大量时间序列数据的局限和局限，并设计一种基于时</w:t>
      </w:r>
      <w:r w:rsidR="00BD31C0">
        <w:rPr>
          <w:rFonts w:hint="eastAsia"/>
        </w:rPr>
        <w:t>序</w:t>
      </w:r>
      <w:r w:rsidR="00BD31C0">
        <w:rPr>
          <w:rFonts w:hint="eastAsia"/>
        </w:rPr>
        <w:t>数据特征的高效的存储结构。</w:t>
      </w:r>
    </w:p>
    <w:p w:rsidR="00BD31C0" w:rsidRDefault="00BD31C0" w:rsidP="00BD31C0">
      <w:r>
        <w:rPr>
          <w:rFonts w:hint="eastAsia"/>
        </w:rPr>
        <w:t>通过毕业论文的设计写作培养和提高学生对所学理论、知识和技能的运用能力，加强学生创新意识、创新能力和创新精神的培养，同时培养学生实事求是的科学精神、严肃认真的工作态度和良好的工程设计能力，并培养学生的创新意识和创新精神，继承和发现探索与创造的能力，加强学生的主观能动性与团队合作交流精神。</w:t>
      </w:r>
    </w:p>
    <w:p w:rsidR="00662703" w:rsidRPr="00DD50BE" w:rsidRDefault="008A755F" w:rsidP="00BD31C0">
      <w:pPr>
        <w:rPr>
          <w:b/>
        </w:rPr>
      </w:pPr>
      <w:r w:rsidRPr="00DD50BE">
        <w:rPr>
          <w:rFonts w:hint="eastAsia"/>
          <w:b/>
        </w:rPr>
        <w:t>主要内容：</w:t>
      </w:r>
    </w:p>
    <w:p w:rsidR="00662703" w:rsidRDefault="00662703" w:rsidP="0066270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总结时序数据和时序数据库的特征</w:t>
      </w:r>
    </w:p>
    <w:p w:rsidR="00662703" w:rsidRDefault="00662703" w:rsidP="0066270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传统数据库和时序数据库的存储结构研究现状</w:t>
      </w:r>
    </w:p>
    <w:p w:rsidR="00662703" w:rsidRDefault="00662703" w:rsidP="0066270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基于时序数据特征的存储结构的设计</w:t>
      </w:r>
    </w:p>
    <w:p w:rsidR="00DD50BE" w:rsidRDefault="00662703" w:rsidP="00662703">
      <w:r>
        <w:rPr>
          <w:rFonts w:hint="eastAsia"/>
        </w:rPr>
        <w:t xml:space="preserve">4. </w:t>
      </w:r>
      <w:r>
        <w:rPr>
          <w:rFonts w:hint="eastAsia"/>
        </w:rPr>
        <w:t>实现并优化时许数据库存储结构</w:t>
      </w:r>
    </w:p>
    <w:p w:rsidR="00DD50BE" w:rsidRDefault="008A755F" w:rsidP="008A755F">
      <w:pPr>
        <w:rPr>
          <w:rFonts w:hint="eastAsia"/>
        </w:rPr>
      </w:pPr>
      <w:r w:rsidRPr="00DD50BE">
        <w:rPr>
          <w:rFonts w:hint="eastAsia"/>
          <w:b/>
        </w:rPr>
        <w:t>预期目标：</w:t>
      </w:r>
      <w:r w:rsidR="00662703" w:rsidRPr="00662703">
        <w:rPr>
          <w:rFonts w:hint="eastAsia"/>
        </w:rPr>
        <w:t>总结传统数据库的存储结构在处理大量时间序列数据的局限和局限，设计并实现一种基于时</w:t>
      </w:r>
      <w:r w:rsidR="00DD50BE">
        <w:rPr>
          <w:rFonts w:hint="eastAsia"/>
        </w:rPr>
        <w:t>序</w:t>
      </w:r>
      <w:r w:rsidR="00662703" w:rsidRPr="00662703">
        <w:rPr>
          <w:rFonts w:hint="eastAsia"/>
        </w:rPr>
        <w:t>数据特征的高效的存储结构。</w:t>
      </w:r>
    </w:p>
    <w:p w:rsidR="008A755F" w:rsidRPr="00DD50BE" w:rsidRDefault="008A755F" w:rsidP="008A755F">
      <w:pPr>
        <w:rPr>
          <w:b/>
        </w:rPr>
      </w:pPr>
      <w:r w:rsidRPr="00DD50BE">
        <w:rPr>
          <w:rFonts w:hint="eastAsia"/>
          <w:b/>
        </w:rPr>
        <w:t>参考资料</w:t>
      </w:r>
    </w:p>
    <w:p w:rsidR="00662703" w:rsidRDefault="00662703" w:rsidP="00662703">
      <w:r>
        <w:t xml:space="preserve">1. Andersen M P, Culler D E. </w:t>
      </w:r>
      <w:proofErr w:type="spellStart"/>
      <w:r>
        <w:t>BTrDB</w:t>
      </w:r>
      <w:proofErr w:type="spellEnd"/>
      <w:r>
        <w:t>: Optimizing Storage System Design for Timeseries Processing[C]//FAST. 2016: 39-52.</w:t>
      </w:r>
    </w:p>
    <w:p w:rsidR="00662703" w:rsidRDefault="00662703" w:rsidP="00662703">
      <w:r>
        <w:t xml:space="preserve">2. Deri L, </w:t>
      </w:r>
      <w:proofErr w:type="spellStart"/>
      <w:r>
        <w:t>Mainardi</w:t>
      </w:r>
      <w:proofErr w:type="spellEnd"/>
      <w:r>
        <w:t xml:space="preserve"> S, Fusco F. </w:t>
      </w:r>
      <w:proofErr w:type="spellStart"/>
      <w:r>
        <w:t>tsdb</w:t>
      </w:r>
      <w:proofErr w:type="spellEnd"/>
      <w:r>
        <w:t>: A compressed database for time series[C]//International Workshop on Traffic Monitoring and Analysis. Springer, Berlin, Heidelberg, 2012: 143-156.</w:t>
      </w:r>
    </w:p>
    <w:p w:rsidR="00662703" w:rsidRDefault="00662703" w:rsidP="00662703">
      <w:r>
        <w:t xml:space="preserve">3. Jensen S K, Pedersen T B, Thomsen C. </w:t>
      </w:r>
      <w:proofErr w:type="spellStart"/>
      <w:r>
        <w:t>ModelarDB</w:t>
      </w:r>
      <w:proofErr w:type="spellEnd"/>
      <w:r>
        <w:t xml:space="preserve">: modular model-based time series management with spark and </w:t>
      </w:r>
      <w:proofErr w:type="spellStart"/>
      <w:r>
        <w:t>cassandra</w:t>
      </w:r>
      <w:proofErr w:type="spellEnd"/>
      <w:r>
        <w:t>[J]. Proceedings of the VLDB Endowment, 2018, 11(11): 1688-1701.</w:t>
      </w:r>
    </w:p>
    <w:p w:rsidR="008A755F" w:rsidRDefault="00662703" w:rsidP="00662703">
      <w:pPr>
        <w:rPr>
          <w:rFonts w:hint="eastAsia"/>
        </w:rPr>
      </w:pPr>
      <w:r>
        <w:t xml:space="preserve">4. </w:t>
      </w:r>
      <w:proofErr w:type="spellStart"/>
      <w:r>
        <w:t>Siow</w:t>
      </w:r>
      <w:proofErr w:type="spellEnd"/>
      <w:r>
        <w:t xml:space="preserve"> E, </w:t>
      </w:r>
      <w:proofErr w:type="spellStart"/>
      <w:r>
        <w:t>Tiropanis</w:t>
      </w:r>
      <w:proofErr w:type="spellEnd"/>
      <w:r>
        <w:t xml:space="preserve"> T, Wang X, et al. </w:t>
      </w:r>
      <w:proofErr w:type="spellStart"/>
      <w:r>
        <w:t>TritanDB</w:t>
      </w:r>
      <w:proofErr w:type="spellEnd"/>
      <w:r>
        <w:t xml:space="preserve">: Time-series Rapid Internet of Things Analytics[J]. </w:t>
      </w:r>
      <w:proofErr w:type="spellStart"/>
      <w:r>
        <w:t>arXiv</w:t>
      </w:r>
      <w:proofErr w:type="spellEnd"/>
      <w:r>
        <w:t xml:space="preserve"> preprint arXiv:1801.07947, 2018.</w:t>
      </w:r>
    </w:p>
    <w:p w:rsidR="005B1666" w:rsidRDefault="005B1666"/>
    <w:p w:rsidR="00DD50BE" w:rsidRDefault="00DD50BE"/>
    <w:p w:rsidR="00DD50BE" w:rsidRDefault="00DD50BE"/>
    <w:p w:rsidR="005B1666" w:rsidRDefault="00296DDC" w:rsidP="00296DDC">
      <w:proofErr w:type="gramStart"/>
      <w:r w:rsidRPr="00DD50BE">
        <w:rPr>
          <w:rFonts w:hint="eastAsia"/>
          <w:b/>
        </w:rPr>
        <w:lastRenderedPageBreak/>
        <w:t>毕设题目</w:t>
      </w:r>
      <w:proofErr w:type="gramEnd"/>
      <w:r w:rsidRPr="00DD50BE">
        <w:rPr>
          <w:rFonts w:hint="eastAsia"/>
          <w:b/>
        </w:rPr>
        <w:t>：</w:t>
      </w:r>
      <w:r w:rsidRPr="00296DDC">
        <w:rPr>
          <w:rFonts w:hint="eastAsia"/>
        </w:rPr>
        <w:t>基于并行计算架构的大规模</w:t>
      </w:r>
      <w:proofErr w:type="gramStart"/>
      <w:r w:rsidRPr="00296DDC">
        <w:rPr>
          <w:rFonts w:hint="eastAsia"/>
        </w:rPr>
        <w:t>图平衡</w:t>
      </w:r>
      <w:proofErr w:type="gramEnd"/>
      <w:r w:rsidRPr="00296DDC">
        <w:rPr>
          <w:rFonts w:hint="eastAsia"/>
        </w:rPr>
        <w:t>着色算法</w:t>
      </w:r>
    </w:p>
    <w:p w:rsidR="005B1666" w:rsidRDefault="00296DDC" w:rsidP="00296DDC">
      <w:r w:rsidRPr="00DD50BE">
        <w:rPr>
          <w:rFonts w:hint="eastAsia"/>
          <w:b/>
        </w:rPr>
        <w:t>目的要求：</w:t>
      </w:r>
      <w:r w:rsidR="005B1666" w:rsidRPr="005B1666">
        <w:rPr>
          <w:rFonts w:hint="eastAsia"/>
        </w:rPr>
        <w:t>在并行计算应用中，图着色算法被广泛用来识别并行计算的</w:t>
      </w:r>
      <w:proofErr w:type="gramStart"/>
      <w:r w:rsidR="005B1666" w:rsidRPr="005B1666">
        <w:rPr>
          <w:rFonts w:hint="eastAsia"/>
        </w:rPr>
        <w:t>独立任务</w:t>
      </w:r>
      <w:proofErr w:type="gramEnd"/>
      <w:r w:rsidR="005B1666" w:rsidRPr="005B1666">
        <w:rPr>
          <w:rFonts w:hint="eastAsia"/>
        </w:rPr>
        <w:t>的子集。传统的启发式着色方法旨在减少颜色的数量，因为该数量也对应于应用程序中迭代步骤的数量。但是，如果生成的颜色类存在明显的差异，则会导致计算负载不均、硬件资源的利用效率低下等问题。均匀着色是一种理论上的着色公式，它保证了颜色类之间的完美平衡，在实际应用中往往会对均匀着色进行一定的松弛处理，这种被松弛处理的均匀着色被称为平衡着色。本课题旨在重新审视并行计算环境中均衡着色的问题，拟提出并设计一种基于并行计算架构的</w:t>
      </w:r>
      <w:proofErr w:type="gramStart"/>
      <w:r w:rsidR="005B1666" w:rsidRPr="005B1666">
        <w:rPr>
          <w:rFonts w:hint="eastAsia"/>
        </w:rPr>
        <w:t>平衡图</w:t>
      </w:r>
      <w:proofErr w:type="gramEnd"/>
      <w:r w:rsidR="005B1666" w:rsidRPr="005B1666">
        <w:rPr>
          <w:rFonts w:hint="eastAsia"/>
        </w:rPr>
        <w:t>着色算法，在不增加颜色数的前提下保证各颜色块中顶点数量的均衡，帮助程序开发人员提高应用程序的并行性能。</w:t>
      </w:r>
    </w:p>
    <w:p w:rsidR="005B1666" w:rsidRPr="00DD50BE" w:rsidRDefault="00296DDC" w:rsidP="00296DDC">
      <w:pPr>
        <w:rPr>
          <w:b/>
        </w:rPr>
      </w:pPr>
      <w:r w:rsidRPr="00DD50BE">
        <w:rPr>
          <w:rFonts w:hint="eastAsia"/>
          <w:b/>
        </w:rPr>
        <w:t>主要内容：</w:t>
      </w:r>
    </w:p>
    <w:p w:rsidR="005B1666" w:rsidRPr="005B1666" w:rsidRDefault="005B1666" w:rsidP="005B1666">
      <w:pPr>
        <w:numPr>
          <w:ilvl w:val="0"/>
          <w:numId w:val="3"/>
        </w:numPr>
      </w:pPr>
      <w:r w:rsidRPr="005B1666">
        <w:rPr>
          <w:rFonts w:hint="eastAsia"/>
        </w:rPr>
        <w:t>了解</w:t>
      </w:r>
      <w:r w:rsidRPr="005B1666">
        <w:t>GPU</w:t>
      </w:r>
      <w:r w:rsidRPr="005B1666">
        <w:t>体系结构</w:t>
      </w:r>
      <w:r w:rsidRPr="005B1666">
        <w:rPr>
          <w:rFonts w:hint="eastAsia"/>
        </w:rPr>
        <w:t>以及开发环境的配置，并学习</w:t>
      </w:r>
      <w:r w:rsidRPr="005B1666">
        <w:rPr>
          <w:rFonts w:hint="eastAsia"/>
        </w:rPr>
        <w:t>CUDA</w:t>
      </w:r>
      <w:r w:rsidRPr="005B1666">
        <w:rPr>
          <w:rFonts w:hint="eastAsia"/>
        </w:rPr>
        <w:t>编程方法</w:t>
      </w:r>
    </w:p>
    <w:p w:rsidR="005B1666" w:rsidRPr="005B1666" w:rsidRDefault="005B1666" w:rsidP="005B1666">
      <w:pPr>
        <w:numPr>
          <w:ilvl w:val="0"/>
          <w:numId w:val="3"/>
        </w:numPr>
      </w:pPr>
      <w:r w:rsidRPr="005B1666">
        <w:rPr>
          <w:rFonts w:hint="eastAsia"/>
        </w:rPr>
        <w:t>理解大规模图着色算法</w:t>
      </w:r>
    </w:p>
    <w:p w:rsidR="005B1666" w:rsidRPr="005B1666" w:rsidRDefault="005B1666" w:rsidP="005B1666">
      <w:pPr>
        <w:numPr>
          <w:ilvl w:val="0"/>
          <w:numId w:val="3"/>
        </w:numPr>
      </w:pPr>
      <w:r w:rsidRPr="005B1666">
        <w:rPr>
          <w:rFonts w:hint="eastAsia"/>
        </w:rPr>
        <w:t>熟悉并行消息通信方法</w:t>
      </w:r>
    </w:p>
    <w:p w:rsidR="00296DDC" w:rsidRDefault="005B1666" w:rsidP="00296DDC">
      <w:pPr>
        <w:numPr>
          <w:ilvl w:val="0"/>
          <w:numId w:val="3"/>
        </w:numPr>
      </w:pPr>
      <w:r w:rsidRPr="005B1666">
        <w:rPr>
          <w:rFonts w:hint="eastAsia"/>
        </w:rPr>
        <w:t>实现一种基于</w:t>
      </w:r>
      <w:r w:rsidRPr="005B1666">
        <w:rPr>
          <w:rFonts w:hint="eastAsia"/>
        </w:rPr>
        <w:t>GPU</w:t>
      </w:r>
      <w:r w:rsidRPr="005B1666">
        <w:rPr>
          <w:rFonts w:hint="eastAsia"/>
        </w:rPr>
        <w:t>的平衡着色算法</w:t>
      </w:r>
      <w:r w:rsidRPr="005B1666">
        <w:t>，并能照顾到</w:t>
      </w:r>
      <w:r w:rsidRPr="005B1666">
        <w:t>GPU</w:t>
      </w:r>
      <w:r w:rsidRPr="005B1666">
        <w:t>访存模式，尽可能充分利用</w:t>
      </w:r>
      <w:r w:rsidRPr="005B1666">
        <w:t>GPU</w:t>
      </w:r>
      <w:r w:rsidRPr="005B1666">
        <w:t>的计算能力</w:t>
      </w:r>
    </w:p>
    <w:p w:rsidR="00296DDC" w:rsidRPr="00DD50BE" w:rsidRDefault="00296DDC" w:rsidP="00296DDC">
      <w:pPr>
        <w:rPr>
          <w:b/>
        </w:rPr>
      </w:pPr>
      <w:r w:rsidRPr="00DD50BE">
        <w:rPr>
          <w:rFonts w:hint="eastAsia"/>
          <w:b/>
        </w:rPr>
        <w:t>预期目标：</w:t>
      </w:r>
    </w:p>
    <w:p w:rsidR="005B1666" w:rsidRPr="005B1666" w:rsidRDefault="005B1666" w:rsidP="005B1666">
      <w:pPr>
        <w:numPr>
          <w:ilvl w:val="0"/>
          <w:numId w:val="4"/>
        </w:numPr>
      </w:pPr>
      <w:r w:rsidRPr="005B1666">
        <w:rPr>
          <w:rFonts w:hint="eastAsia"/>
        </w:rPr>
        <w:t>了解</w:t>
      </w:r>
      <w:r w:rsidRPr="005B1666">
        <w:t>GPU</w:t>
      </w:r>
      <w:r w:rsidRPr="005B1666">
        <w:t>体系结构以及</w:t>
      </w:r>
      <w:r w:rsidRPr="005B1666">
        <w:t>CUDA</w:t>
      </w:r>
      <w:r w:rsidRPr="005B1666">
        <w:t>编程方法</w:t>
      </w:r>
    </w:p>
    <w:p w:rsidR="005B1666" w:rsidRPr="005B1666" w:rsidRDefault="005B1666" w:rsidP="005B1666">
      <w:pPr>
        <w:numPr>
          <w:ilvl w:val="0"/>
          <w:numId w:val="4"/>
        </w:numPr>
      </w:pPr>
      <w:r w:rsidRPr="005B1666">
        <w:rPr>
          <w:rFonts w:hint="eastAsia"/>
        </w:rPr>
        <w:t>理解平衡着色算法</w:t>
      </w:r>
    </w:p>
    <w:p w:rsidR="005B1666" w:rsidRPr="005B1666" w:rsidRDefault="005B1666" w:rsidP="005B1666">
      <w:pPr>
        <w:numPr>
          <w:ilvl w:val="0"/>
          <w:numId w:val="4"/>
        </w:numPr>
      </w:pPr>
      <w:r w:rsidRPr="005B1666">
        <w:rPr>
          <w:rFonts w:hint="eastAsia"/>
        </w:rPr>
        <w:t>掌握需求分析和系统设计方法</w:t>
      </w:r>
      <w:bookmarkStart w:id="0" w:name="_GoBack"/>
      <w:bookmarkEnd w:id="0"/>
    </w:p>
    <w:p w:rsidR="005B1666" w:rsidRPr="005B1666" w:rsidRDefault="005B1666" w:rsidP="005B1666">
      <w:pPr>
        <w:numPr>
          <w:ilvl w:val="0"/>
          <w:numId w:val="4"/>
        </w:numPr>
      </w:pPr>
      <w:r w:rsidRPr="005B1666">
        <w:rPr>
          <w:rFonts w:hint="eastAsia"/>
        </w:rPr>
        <w:t>掌握项目研发流程和规范，熟悉系统项目的研发生命周期，掌握开发的过程和方法</w:t>
      </w:r>
    </w:p>
    <w:p w:rsidR="005B1666" w:rsidRDefault="005B1666" w:rsidP="00296DDC">
      <w:pPr>
        <w:numPr>
          <w:ilvl w:val="0"/>
          <w:numId w:val="4"/>
        </w:numPr>
        <w:rPr>
          <w:rFonts w:hint="eastAsia"/>
        </w:rPr>
      </w:pPr>
      <w:r w:rsidRPr="005B1666">
        <w:rPr>
          <w:rFonts w:hint="eastAsia"/>
        </w:rPr>
        <w:t>设计并实现一种基于并行计算架构的平衡着色算法</w:t>
      </w:r>
    </w:p>
    <w:p w:rsidR="00296DDC" w:rsidRPr="00DD50BE" w:rsidRDefault="00296DDC" w:rsidP="00296DDC">
      <w:pPr>
        <w:rPr>
          <w:b/>
        </w:rPr>
      </w:pPr>
      <w:r w:rsidRPr="00DD50BE">
        <w:rPr>
          <w:rFonts w:hint="eastAsia"/>
          <w:b/>
        </w:rPr>
        <w:t>参考资料</w:t>
      </w:r>
    </w:p>
    <w:p w:rsidR="00296DDC" w:rsidRPr="00332A02" w:rsidRDefault="00296DDC" w:rsidP="00296DDC">
      <w:pPr>
        <w:pStyle w:val="a3"/>
        <w:numPr>
          <w:ilvl w:val="0"/>
          <w:numId w:val="2"/>
        </w:numPr>
        <w:spacing w:line="300" w:lineRule="auto"/>
        <w:ind w:firstLineChars="0" w:hanging="136"/>
        <w:rPr>
          <w:rFonts w:ascii="Times New Roman" w:eastAsia="宋体" w:hAnsi="Times New Roman" w:cs="Times New Roman"/>
          <w:sz w:val="24"/>
        </w:rPr>
      </w:pPr>
      <w:r w:rsidRPr="00332A02">
        <w:rPr>
          <w:rFonts w:ascii="Times New Roman" w:eastAsia="宋体" w:hAnsi="Times New Roman" w:cs="Times New Roman"/>
          <w:sz w:val="24"/>
        </w:rPr>
        <w:t xml:space="preserve">Hao Lu,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Mahantesh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Halappanavar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, Daniel G.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Chavarría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-Miranda,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Assefaw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Hadish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Gebremedhin, Ajay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Panyala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, Ananth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Kalyanaraman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: Algorithms for Balanced Graph Colorings with Applications in Parallel Computing. IEEE Trans. Parallel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Distrib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>. Syst. 28(5): 1240-1256 (2017)</w:t>
      </w:r>
    </w:p>
    <w:p w:rsidR="00296DDC" w:rsidRPr="00332A02" w:rsidRDefault="00296DDC" w:rsidP="00296DDC">
      <w:pPr>
        <w:pStyle w:val="a3"/>
        <w:numPr>
          <w:ilvl w:val="0"/>
          <w:numId w:val="2"/>
        </w:numPr>
        <w:spacing w:line="300" w:lineRule="auto"/>
        <w:ind w:firstLineChars="0" w:hanging="136"/>
        <w:rPr>
          <w:rFonts w:ascii="Times New Roman" w:eastAsia="宋体" w:hAnsi="Times New Roman" w:cs="Times New Roman"/>
          <w:sz w:val="24"/>
        </w:rPr>
      </w:pPr>
      <w:r w:rsidRPr="00332A02">
        <w:rPr>
          <w:rFonts w:ascii="Times New Roman" w:eastAsia="宋体" w:hAnsi="Times New Roman" w:cs="Times New Roman"/>
          <w:sz w:val="24"/>
        </w:rPr>
        <w:t xml:space="preserve">Hao Lu,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Mahantesh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Halappanavar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, Daniel G.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Chavarría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-Miranda,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Assefaw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Hadish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Gebremedhin, Ananth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Kalyanaraman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>: Balanced Coloring for Parallel Computing Applications. IPDPS 2015: 7-16</w:t>
      </w:r>
    </w:p>
    <w:p w:rsidR="00296DDC" w:rsidRPr="00332A02" w:rsidRDefault="00296DDC" w:rsidP="00296DDC">
      <w:pPr>
        <w:pStyle w:val="a3"/>
        <w:numPr>
          <w:ilvl w:val="0"/>
          <w:numId w:val="2"/>
        </w:numPr>
        <w:spacing w:line="300" w:lineRule="auto"/>
        <w:ind w:firstLineChars="0" w:hanging="136"/>
        <w:rPr>
          <w:rFonts w:ascii="Times New Roman" w:eastAsia="宋体" w:hAnsi="Times New Roman" w:cs="Times New Roman"/>
          <w:sz w:val="24"/>
        </w:rPr>
      </w:pPr>
      <w:proofErr w:type="spellStart"/>
      <w:r w:rsidRPr="00332A02">
        <w:rPr>
          <w:rFonts w:ascii="Times New Roman" w:eastAsia="宋体" w:hAnsi="Times New Roman" w:cs="Times New Roman"/>
          <w:sz w:val="24"/>
        </w:rPr>
        <w:t>Aijun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Dong, Xin Zhang: Equitable coloring and equitable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choosability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of graphs with small maximum average degree.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Discussiones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Mathematicae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Graph Theory 38(3): 829-839 (2018)</w:t>
      </w:r>
    </w:p>
    <w:p w:rsidR="00296DDC" w:rsidRDefault="00296DDC" w:rsidP="00296DDC">
      <w:pPr>
        <w:pStyle w:val="a3"/>
        <w:numPr>
          <w:ilvl w:val="0"/>
          <w:numId w:val="2"/>
        </w:numPr>
        <w:spacing w:line="300" w:lineRule="auto"/>
        <w:ind w:firstLineChars="0" w:hanging="136"/>
        <w:rPr>
          <w:rFonts w:ascii="Times New Roman" w:eastAsia="宋体" w:hAnsi="Times New Roman" w:cs="Times New Roman"/>
          <w:sz w:val="24"/>
        </w:rPr>
      </w:pPr>
      <w:proofErr w:type="spellStart"/>
      <w:r w:rsidRPr="00332A02">
        <w:rPr>
          <w:rFonts w:ascii="Times New Roman" w:eastAsia="宋体" w:hAnsi="Times New Roman" w:cs="Times New Roman"/>
          <w:sz w:val="24"/>
        </w:rPr>
        <w:lastRenderedPageBreak/>
        <w:t>Sudev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Naduvath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, K. P.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Chithra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, S. Satheesh, Johan </w:t>
      </w:r>
      <w:proofErr w:type="spellStart"/>
      <w:r w:rsidRPr="00332A02">
        <w:rPr>
          <w:rFonts w:ascii="Times New Roman" w:eastAsia="宋体" w:hAnsi="Times New Roman" w:cs="Times New Roman"/>
          <w:sz w:val="24"/>
        </w:rPr>
        <w:t>Kok</w:t>
      </w:r>
      <w:proofErr w:type="spellEnd"/>
      <w:r w:rsidRPr="00332A02">
        <w:rPr>
          <w:rFonts w:ascii="Times New Roman" w:eastAsia="宋体" w:hAnsi="Times New Roman" w:cs="Times New Roman"/>
          <w:sz w:val="24"/>
        </w:rPr>
        <w:t xml:space="preserve">: On certain parameters of equitable coloring of graphs. </w:t>
      </w:r>
      <w:r w:rsidRPr="003247BC">
        <w:rPr>
          <w:rFonts w:ascii="Times New Roman" w:eastAsia="宋体" w:hAnsi="Times New Roman" w:cs="Times New Roman"/>
          <w:sz w:val="24"/>
        </w:rPr>
        <w:t>Discrete Mathematics Algorithms and Applications</w:t>
      </w:r>
      <w:r w:rsidRPr="00332A02">
        <w:rPr>
          <w:rFonts w:ascii="Times New Roman" w:eastAsia="宋体" w:hAnsi="Times New Roman" w:cs="Times New Roman"/>
          <w:sz w:val="24"/>
        </w:rPr>
        <w:t xml:space="preserve"> 9(4): 1-11 (2017)</w:t>
      </w:r>
    </w:p>
    <w:p w:rsidR="00296DDC" w:rsidRDefault="00296DDC" w:rsidP="00296DDC">
      <w:pPr>
        <w:pStyle w:val="a3"/>
        <w:numPr>
          <w:ilvl w:val="0"/>
          <w:numId w:val="2"/>
        </w:numPr>
        <w:spacing w:line="300" w:lineRule="auto"/>
        <w:ind w:firstLineChars="0" w:hanging="136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R.M.R. Lewis. A guide to graph coloring: algorithms and applications. Springer. 2015</w:t>
      </w:r>
    </w:p>
    <w:p w:rsidR="00296DDC" w:rsidRDefault="00296DDC">
      <w:pPr>
        <w:rPr>
          <w:rFonts w:hint="eastAsia"/>
        </w:rPr>
      </w:pPr>
    </w:p>
    <w:sectPr w:rsidR="00296D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1E16"/>
    <w:multiLevelType w:val="hybridMultilevel"/>
    <w:tmpl w:val="0CD241A8"/>
    <w:lvl w:ilvl="0" w:tplc="98BCE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02D59"/>
    <w:multiLevelType w:val="hybridMultilevel"/>
    <w:tmpl w:val="CCD81A92"/>
    <w:lvl w:ilvl="0" w:tplc="FDB0CB5E">
      <w:start w:val="1"/>
      <w:numFmt w:val="decimal"/>
      <w:lvlText w:val="[%1]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5378B"/>
    <w:multiLevelType w:val="hybridMultilevel"/>
    <w:tmpl w:val="3EF8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20CF3"/>
    <w:multiLevelType w:val="hybridMultilevel"/>
    <w:tmpl w:val="0CD241A8"/>
    <w:lvl w:ilvl="0" w:tplc="98BCE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6575A"/>
    <w:multiLevelType w:val="hybridMultilevel"/>
    <w:tmpl w:val="0CD241A8"/>
    <w:lvl w:ilvl="0" w:tplc="98BCE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A9"/>
    <w:rsid w:val="00015FA4"/>
    <w:rsid w:val="00083EA9"/>
    <w:rsid w:val="00296DDC"/>
    <w:rsid w:val="002F6BCD"/>
    <w:rsid w:val="003844EB"/>
    <w:rsid w:val="00494A20"/>
    <w:rsid w:val="004C7EE5"/>
    <w:rsid w:val="00506EC7"/>
    <w:rsid w:val="005B1666"/>
    <w:rsid w:val="00662703"/>
    <w:rsid w:val="006B5C18"/>
    <w:rsid w:val="00737927"/>
    <w:rsid w:val="007A72B9"/>
    <w:rsid w:val="00836A21"/>
    <w:rsid w:val="00855263"/>
    <w:rsid w:val="00861930"/>
    <w:rsid w:val="008A246C"/>
    <w:rsid w:val="008A755F"/>
    <w:rsid w:val="008B5F43"/>
    <w:rsid w:val="00912699"/>
    <w:rsid w:val="009340B0"/>
    <w:rsid w:val="00997010"/>
    <w:rsid w:val="00A530F0"/>
    <w:rsid w:val="00AF4CDF"/>
    <w:rsid w:val="00BD31C0"/>
    <w:rsid w:val="00CC2F51"/>
    <w:rsid w:val="00CD57F3"/>
    <w:rsid w:val="00DD50BE"/>
    <w:rsid w:val="00EC5016"/>
    <w:rsid w:val="00EE096B"/>
    <w:rsid w:val="00FA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BB56"/>
  <w15:chartTrackingRefBased/>
  <w15:docId w15:val="{2A135FEF-5C12-410F-B61A-F9BF6546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DDC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xuan</dc:creator>
  <cp:keywords/>
  <dc:description/>
  <cp:lastModifiedBy>peng xuan</cp:lastModifiedBy>
  <cp:revision>5</cp:revision>
  <dcterms:created xsi:type="dcterms:W3CDTF">2019-01-07T05:20:00Z</dcterms:created>
  <dcterms:modified xsi:type="dcterms:W3CDTF">2019-01-07T11:58:00Z</dcterms:modified>
</cp:coreProperties>
</file>