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7365D"/>
          <w:sz w:val="32"/>
        </w:rPr>
        <w:t>Projektskizze – BTO 3 MaRisk</w:t>
      </w:r>
    </w:p>
    <w:p>
      <w:pPr>
        <w:spacing w:after="100"/>
      </w:pPr>
      <w:r>
        <w:rPr>
          <w:rFonts w:ascii="Aptos" w:hAnsi="Aptos"/>
          <w:i/>
          <w:color w:val="5B6B7B"/>
          <w:sz w:val="18"/>
        </w:rPr>
        <w:t>Tabellenübersicht für Copy-Paste in die PowerPoint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Projektergebnisse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9FBFD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Ist-Analysebericht mit Lückenmatrix und Quick Wins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Zielprozesshandbuch für BTO-3-konforme Abläufe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Kompetenzordnung, Funktionstrennung und Rollenmatrix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Reporting-Templates inkl. adressatengerechtem Gesamtbericht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Validierte Kernprozesse, Pilotierung, Schulungskonzept und Handover</w:t>
            </w:r>
          </w:p>
        </w:tc>
      </w:tr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Nicht Bestandteil des Projekts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FFFFF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Keine strategische Neuausrichtung des Immobilienportfolios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Keine operative Objektbewirtschaftung oder laufende Immobilienverwaltung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Keine vollständige IT-Neuentwicklung; Fokus auf Prozess- und Reportingdesign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Keine bankweite MaRisk-Gesamtumsetzung außerhalb von BTO 3</w:t>
            </w:r>
          </w:p>
        </w:tc>
      </w:tr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Erfolgskriterien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9FBFD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BTO-3-Konformität bis 31.12.2026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100 % Marktwertgutachten für relevante Bestandsimmobilien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Klare Funktionstrennung sowie schriftlich fixierte Rollen und Schnittstellen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Einheitliche Datenbasis und standardisierte Berichterstattung ab 2027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Mindestens 90 % geschulte Mitarbeitende und PLA-Abnahme M1–M4</w:t>
            </w:r>
          </w:p>
        </w:tc>
      </w:tr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Projektkunden und Projektnutzen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FFFFF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Projektkunde: Regionalbank; Anspruchsgruppen: Vorstand/PLA, Immobilienmanagement, Risikocontrolling, Interne Revision, IT, HR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Regulatorische Sicherheit und Vermeidung aufsichtlicher Feststellungen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Reduktion von Bewertungs- und Steuerungsrisiken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Höhere Transparenz, bessere Entscheidungen und Effizienzgewinn (ca. 0,4–0,5 MAK)</w:t>
            </w:r>
          </w:p>
        </w:tc>
      </w:tr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Meilensteine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9FBFD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M1 30.04.2026: Ist-Analysebericht + Lückenmatrix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M2 31.07.2026: Zielprozesshandbuch + Konzepte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M3 30.09.2026: Validierte Prozesse + Pilot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M4 30.11.2026: Operativer Eigenbetrieb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M5 Option A+ 31.08.2027: Nachhaltigkeitsprüfung; Abnahme jeweils durch den PLA</w:t>
            </w:r>
          </w:p>
        </w:tc>
      </w:tr>
      <w:tr>
        <w:tc>
          <w:tcPr>
            <w:tcW w:type="dxa" w:w="3061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D9E2F3" w:val="clea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7365D"/>
                <w:sz w:val="19"/>
              </w:rPr>
              <w:t>Projektbeteiligte und Aufwände (Kosten)</w:t>
            </w:r>
          </w:p>
        </w:tc>
        <w:tc>
          <w:tcPr>
            <w:tcW w:type="dxa" w:w="12132"/>
            <w:tcBorders>
              <w:left w:val="single" w:sz="8" w:color="C7D4E7" w:space="0"/>
              <w:top w:val="single" w:sz="8" w:color="C7D4E7" w:space="0"/>
              <w:right w:val="single" w:sz="8" w:color="C7D4E7" w:space="0"/>
              <w:bottom w:val="single" w:sz="8" w:color="C7D4E7" w:space="0"/>
            </w:tcBorders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  <w:shd w:fill="FFFFFF" w:val="clear"/>
          </w:tcPr>
          <w:p>
            <w:pPr>
              <w:spacing w:after="0" w:before="0"/>
            </w:pPr>
            <w:r/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Externe Beratung: Projektleitung, Analyse, Konzeption, Validierung, Qualitätssicherung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Interner Projektleiter: 2 Tage/Woche über 9 Monate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Immobilienmanagement und Risikocontrolling: je ca. 6 Std./Woche in Phase 1–3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IT und HR: je ca. 4 Std./Woche in Phase 2–4; PLA: ca. 4 Std. je Meilenstein</w:t>
            </w:r>
          </w:p>
          <w:p>
            <w:pPr>
              <w:pStyle w:val="ListBullet"/>
              <w:spacing w:after="0" w:before="0"/>
            </w:pPr>
            <w:r>
              <w:rPr>
                <w:rFonts w:ascii="Aptos" w:hAnsi="Aptos"/>
                <w:color w:val="1F1F1F"/>
                <w:sz w:val="16"/>
              </w:rPr>
              <w:t>Monetäre Projektkosten im Material nicht separat ausgewiesen; Kostenbasis = Beratung + interne Personalkapazitäten</w:t>
            </w:r>
          </w:p>
        </w:tc>
      </w:tr>
    </w:tbl>
    <w:p>
      <w:pPr>
        <w:spacing w:before="80" w:after="0"/>
      </w:pPr>
      <w:r>
        <w:rPr>
          <w:rFonts w:ascii="Aptos" w:hAnsi="Aptos"/>
          <w:color w:val="6E6E6E"/>
          <w:sz w:val="15"/>
        </w:rPr>
        <w:t>Hinweis: Der Kostenblock basiert auf Ressourcenaufwänden, da in den Unterlagen kein separates Euro-Budget ausgewiesen ist.</w:t>
      </w:r>
    </w:p>
    <w:sectPr w:rsidR="00FC693F" w:rsidRPr="0006063C" w:rsidSect="00034616">
      <w:pgSz w:w="15840" w:h="12240" w:orient="landscape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