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4012" w:rsidRDefault="003E6C04">
      <w:pPr>
        <w:pStyle w:val="Title"/>
      </w:pPr>
      <w:r>
        <w:t>Mealie quantity consistency failures</w:t>
      </w:r>
    </w:p>
    <w:p w:rsidR="00D74012" w:rsidRDefault="003E6C04">
      <w:pPr>
        <w:pStyle w:val="Subtitle"/>
      </w:pPr>
      <w:r>
        <w:t>Engineering investigation and research case study</w:t>
      </w:r>
    </w:p>
    <w:p w:rsidR="00D74012" w:rsidRDefault="003E6C04">
      <w:r>
        <w:t>Evidence freeze dated 4 October 2026</w:t>
      </w:r>
      <w:r>
        <w:br/>
        <w:t>System under test Mealie v3.28.0</w:t>
      </w:r>
      <w:r>
        <w:br/>
        <w:t>Record MQL 20261004  |  Status repeated semantic discrepancies</w:t>
      </w:r>
    </w:p>
    <w:p w:rsidR="00D74012" w:rsidRDefault="003E6C04">
      <w:pPr>
        <w:pStyle w:val="Heading2"/>
      </w:pPr>
      <w:r>
        <w:t>Executive finding</w:t>
      </w:r>
    </w:p>
    <w:p w:rsidR="00D74012" w:rsidRDefault="003E6C04">
      <w:r>
        <w:t xml:space="preserve">Generated Provengo scenarios repeatedly produced incorrect shopping list quantities while recipe associations remained consistent. The initial example expected 19 units after adding half a recipe contribution and read back 20. Follow-up tests also exposed </w:t>
      </w:r>
      <w:r>
        <w:t>residual or excessive removal after merging foods or units. These observations are retained as one defect family; a shared internal cause or separate implementation defects have not been established.</w:t>
      </w:r>
    </w:p>
    <w:p w:rsidR="00D74012" w:rsidRDefault="003E6C04">
      <w:r>
        <w:t>The main archive contains 24 relevant native runs: 18 se</w:t>
      </w:r>
      <w:r>
        <w:t>mantic discrepancies and 6 successful complete runs. Successful integer add/remove controls without merging returned every list to its original manual quantity of 7. With one merge, removing the recipe associations left an unwanted quantity of 2. Earlier t</w:t>
      </w:r>
      <w:r>
        <w:t>wo-merge tests produced both excessive subtraction and insufficient subtraction.</w:t>
      </w:r>
    </w:p>
    <w:p w:rsidR="00D74012" w:rsidRDefault="003E6C04">
      <w:pPr>
        <w:pStyle w:val="Heading2"/>
      </w:pPr>
      <w:r>
        <w:t>Decision</w:t>
      </w:r>
    </w:p>
    <w:p w:rsidR="00D74012" w:rsidRDefault="003E6C04">
      <w:r>
        <w:t>Preserve the generated models, schedules, live reviews, independent checks and engineering changes. Stop adding permutations around quantity aggregation. Continue dis</w:t>
      </w:r>
      <w:r>
        <w:t>covery with deletion of shared resources, using explicit expectations for rejection or relationship detachment before classifying any result.</w:t>
      </w:r>
    </w:p>
    <w:p w:rsidR="00D74012" w:rsidRDefault="003E6C04">
      <w:pPr>
        <w:pStyle w:val="Heading2"/>
      </w:pPr>
      <w:r>
        <w:t>What this record establishes</w:t>
      </w:r>
    </w:p>
    <w:p w:rsidR="00D74012" w:rsidRDefault="003E6C04">
      <w:r>
        <w:t>The discrepancies were observed through native Provengo execution against the local M</w:t>
      </w:r>
      <w:r>
        <w:t>ealie server, then checked offline from archived receipts and readbacks. Fresh resources reproduced the tested pairs. Different completed semantic orders were verified for the original confirmation and the merge and removal pairs. The evidence supports a r</w:t>
      </w:r>
      <w:r>
        <w:t>epeatable violation of the specified quantity expectations. It does not identify a source-code defect, prove general superiority over other tools, or establish completed reset/replay.</w:t>
      </w:r>
    </w:p>
    <w:p w:rsidR="00D74012" w:rsidRDefault="003E6C04">
      <w:r>
        <w:br w:type="page"/>
      </w:r>
    </w:p>
    <w:p w:rsidR="00D74012" w:rsidRDefault="003E6C04">
      <w:pPr>
        <w:pStyle w:val="Heading1"/>
      </w:pPr>
      <w:r>
        <w:lastRenderedPageBreak/>
        <w:t>1 System and generated test architecture</w:t>
      </w:r>
    </w:p>
    <w:p w:rsidR="00D74012" w:rsidRDefault="003E6C04">
      <w:r>
        <w:t>The local server was addresse</w:t>
      </w:r>
      <w:r>
        <w:t>d at http://127.0.0.1:9925. The pinned contract reports Mealie v3.28.0 and has SHA256 90e19aa713ab4ba15352627aca7dc37290f868b213eb65a3e1564f3b7a7ff292. Native execution used Provengo build ef04cca/20250714-0453/master. Requests in these studies are sequent</w:t>
      </w:r>
      <w:r>
        <w:t>ial; variation comes from interleaving enabled logical tasks rather than simultaneous HTTP calls.</w:t>
      </w:r>
    </w:p>
    <w:p w:rsidR="00D74012" w:rsidRDefault="003E6C04">
      <w:pPr>
        <w:pStyle w:val="Heading2"/>
      </w:pPr>
      <w:r>
        <w:t>Resource context</w:t>
      </w:r>
    </w:p>
    <w:p w:rsidR="00D74012" w:rsidRDefault="003E6C04">
      <w:r>
        <w:t xml:space="preserve">Foods and units are referenced by recipe ingredients and shopping list items. Several recipes share ingredient identities. Multiple shopping </w:t>
      </w:r>
      <w:r>
        <w:t>lists receive recipe contributions while retaining manual items. Food and unit merges change referenced identities across these views. This context is more demanding than isolated endpoint acceptance because a successful operation must preserve the state o</w:t>
      </w:r>
      <w:r>
        <w:t>f multiple dependent resources.</w:t>
      </w:r>
    </w:p>
    <w:p w:rsidR="00D74012" w:rsidRDefault="003E6C04">
      <w:pPr>
        <w:pStyle w:val="Heading2"/>
      </w:pPr>
      <w:r>
        <w:t>Generator responsibilities</w:t>
      </w:r>
    </w:p>
    <w:p w:rsidR="00D74012" w:rsidRDefault="003E6C04">
      <w:r>
        <w:t>The generic generator consumes OpenAPI operations and schemas together with opt-in relationship and runtime profiles. It builds resource identities, operation bindings and relationship tasks. Gener</w:t>
      </w:r>
      <w:r>
        <w:t>ated stories schedule actors and their prerequisites. Generated interfaces issue HTTP requests and perform callback checks. Runtime variables bind created identities to later routes and payloads.</w:t>
      </w:r>
    </w:p>
    <w:p w:rsidR="00D74012" w:rsidRDefault="003E6C04">
      <w:r>
        <w:t>The quantity oracle is domain-informed. OpenAPI provides req</w:t>
      </w:r>
      <w:r>
        <w:t>uest fields, types, operations and response structure; it does not, by itself, specify the arithmetic meaning of recipe contributions or merges. Those expectations are supplied in declarative profiles and verified against observed recipe and list views. Th</w:t>
      </w:r>
      <w:r>
        <w:t>e implementation remains generic, but the semantic assumptions must be reported as part of the experiment.</w:t>
      </w:r>
    </w:p>
    <w:p w:rsidR="00D74012" w:rsidRDefault="003E6C04">
      <w:pPr>
        <w:pStyle w:val="Heading2"/>
      </w:pPr>
      <w:r>
        <w:t>Controlled conditions</w:t>
      </w:r>
    </w:p>
    <w:p w:rsidR="00D74012" w:rsidRDefault="003E6C04">
      <w:r>
        <w:t>Recipe yield is fixed at 1. Ingredient quantities are 2. Manual list stock starts at 7. Keys combine food and unit identity; as</w:t>
      </w:r>
      <w:r>
        <w:t>sociations track recipe identity and contribution count. The profiles explicitly configure merge operations, reference paths, list paths, contribution multipliers and numeric tolerance. Each live replay creates its own resources. The archived source snapsh</w:t>
      </w:r>
      <w:r>
        <w:t>ot and generated files capture the tested configuration.</w:t>
      </w:r>
    </w:p>
    <w:p w:rsidR="00D74012" w:rsidRDefault="003E6C04">
      <w:pPr>
        <w:pStyle w:val="Heading2"/>
      </w:pPr>
      <w:r>
        <w:t>Transport boundary</w:t>
      </w:r>
    </w:p>
    <w:p w:rsidR="00D74012" w:rsidRDefault="003E6C04">
      <w:r>
        <w:t xml:space="preserve">All tested HTTP calls remain in interfaces. Stories determine ordering and invoke the generated interfaces. Local validation includes callback fault injection and native execution </w:t>
      </w:r>
      <w:r>
        <w:t>against a test fixture. Those local checks establish generator and oracle behavior; the uploaded live reviews establish the Mealie observations.</w:t>
      </w:r>
    </w:p>
    <w:p w:rsidR="00D74012" w:rsidRDefault="003E6C04">
      <w:r>
        <w:br w:type="page"/>
      </w:r>
    </w:p>
    <w:p w:rsidR="00D74012" w:rsidRDefault="003E6C04">
      <w:pPr>
        <w:pStyle w:val="Heading1"/>
      </w:pPr>
      <w:r>
        <w:lastRenderedPageBreak/>
        <w:t>2 Addition findings and scaling controls</w:t>
      </w:r>
    </w:p>
    <w:p w:rsidR="00D74012" w:rsidRDefault="003E6C04">
      <w:pPr>
        <w:pStyle w:val="Heading2"/>
      </w:pPr>
      <w:r>
        <w:t>Original repeated observation</w:t>
      </w:r>
    </w:p>
    <w:p w:rsidR="00D74012" w:rsidRDefault="003E6C04">
      <w:r>
        <w:t>Before the failing addition, the relev</w:t>
      </w:r>
      <w:r>
        <w:t xml:space="preserve">ant list contained 17 units and the fresh recipe view measured 4. Adding a contribution of 0.5 should increase the list by 2, giving 19. Both independent live runs read 20. The recipe association quantity was updated correctly. The two runs used different </w:t>
      </w:r>
      <w:r>
        <w:t>recipe identities and different completed semantic orders.</w:t>
      </w:r>
    </w:p>
    <w:tbl>
      <w:tblPr>
        <w:tblW w:w="0" w:type="auto"/>
        <w:tblLayout w:type="fixed"/>
        <w:tblLook w:val="04A0" w:firstRow="1" w:lastRow="0" w:firstColumn="1" w:lastColumn="0" w:noHBand="0" w:noVBand="1"/>
      </w:tblPr>
      <w:tblGrid>
        <w:gridCol w:w="3384"/>
        <w:gridCol w:w="792"/>
        <w:gridCol w:w="5904"/>
      </w:tblGrid>
      <w:tr w:rsidR="00D74012">
        <w:trPr>
          <w:tblHeader/>
        </w:trPr>
        <w:tc>
          <w:tcPr>
            <w:tcW w:w="338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Control family</w:t>
            </w:r>
          </w:p>
        </w:tc>
        <w:tc>
          <w:tcPr>
            <w:tcW w:w="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Runs</w:t>
            </w:r>
          </w:p>
        </w:tc>
        <w:tc>
          <w:tcPr>
            <w:tcW w:w="590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Observed outcome</w:t>
            </w:r>
          </w:p>
        </w:tc>
      </w:tr>
      <w:tr w:rsidR="00D74012">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Original collision</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Expected 19; observed 20</w:t>
            </w:r>
          </w:p>
        </w:tc>
      </w:tr>
      <w:tr w:rsidR="00D74012">
        <w:tc>
          <w:tcPr>
            <w:tcW w:w="33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Duplicate ingredients without merge</w:t>
            </w:r>
          </w:p>
        </w:tc>
        <w:tc>
          <w:tcPr>
            <w:tcW w:w="79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Contribution 2: expected increment 8; observed increment 6</w:t>
            </w:r>
          </w:p>
        </w:tc>
      </w:tr>
      <w:tr w:rsidR="00D74012">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 xml:space="preserve">Merge </w:t>
            </w:r>
            <w:r>
              <w:rPr>
                <w:sz w:val="20"/>
              </w:rPr>
              <w:t>without prior decrement</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Contribution 0.5: affected group expected 23; observed 24</w:t>
            </w:r>
          </w:p>
        </w:tc>
      </w:tr>
      <w:tr w:rsidR="00D74012">
        <w:tc>
          <w:tcPr>
            <w:tcW w:w="33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Single ingredient</w:t>
            </w:r>
          </w:p>
        </w:tc>
        <w:tc>
          <w:tcPr>
            <w:tcW w:w="79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Complete schedules passed</w:t>
            </w:r>
          </w:p>
        </w:tc>
      </w:tr>
      <w:tr w:rsidR="00D74012">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Three ingredients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Contribution 0.5: one collapsed group was 1 too high</w:t>
            </w:r>
          </w:p>
        </w:tc>
      </w:tr>
      <w:tr w:rsidR="00D74012">
        <w:tc>
          <w:tcPr>
            <w:tcW w:w="33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Chained merge and planned re-add</w:t>
            </w:r>
          </w:p>
        </w:tc>
        <w:tc>
          <w:tcPr>
            <w:tcW w:w="79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Addition after a decrement: expected 25; observed 26</w:t>
            </w:r>
          </w:p>
        </w:tc>
      </w:tr>
    </w:tbl>
    <w:p w:rsidR="00D74012" w:rsidRDefault="00D74012"/>
    <w:p w:rsidR="00D74012" w:rsidRDefault="003E6C04">
      <w:r>
        <w:t>These ten controls produced eight semantic failures and two complete successful schedules. The no-merge duplicate case shows that a merge is not necessary for the earlier scaling manifestation. The mer</w:t>
      </w:r>
      <w:r>
        <w:t>ge-without-decrement case shows that prior removal is not necessary. The single-ingredient case is a useful negative control; it does not prove that all single-ingredient states are safe.</w:t>
      </w:r>
    </w:p>
    <w:p w:rsidR="00D74012" w:rsidRDefault="003E6C04">
      <w:pPr>
        <w:pStyle w:val="Heading2"/>
      </w:pPr>
      <w:r>
        <w:t>Interpretation and limits</w:t>
      </w:r>
    </w:p>
    <w:p w:rsidR="00D74012" w:rsidRDefault="003E6C04">
      <w:r>
        <w:t xml:space="preserve">Multiple ingredients with the same </w:t>
      </w:r>
      <w:r>
        <w:t>food/unit identity are a plausible common condition. In the two-ingredient example, the addition result is consistent with scaling one quantity-2 ingredient and leaving another unscaled. That arithmetic fit is a hypothesis, not a confirmed description of s</w:t>
      </w:r>
      <w:r>
        <w:t>erver implementation. No source-level cause is asserted.</w:t>
      </w:r>
    </w:p>
    <w:p w:rsidR="00D74012" w:rsidRDefault="003E6C04">
      <w:r>
        <w:t xml:space="preserve">The chained case failed before its later planned complete removal and re-add phases. Those later phases are not credited as executed. A failed schedule contributes only its observed prefix and first </w:t>
      </w:r>
      <w:r>
        <w:t>discrepancy to the report.</w:t>
      </w:r>
    </w:p>
    <w:p w:rsidR="00D74012" w:rsidRDefault="003E6C04">
      <w:r>
        <w:br w:type="page"/>
      </w:r>
    </w:p>
    <w:p w:rsidR="00D74012" w:rsidRDefault="003E6C04">
      <w:pPr>
        <w:pStyle w:val="Heading1"/>
      </w:pPr>
      <w:r>
        <w:t>3 Integer removal findings and isolation controls</w:t>
      </w:r>
    </w:p>
    <w:p w:rsidR="00D74012" w:rsidRDefault="003E6C04">
      <w:r>
        <w:t>The next experiments used integer contribution multipliers to separate removal behavior from fractional scaling. Two recipe contributions were added per list, foods or units wer</w:t>
      </w:r>
      <w:r>
        <w:t>e merged, and contributions were then removed. Readbacks after both merges passed before a later removal failed.</w:t>
      </w:r>
    </w:p>
    <w:tbl>
      <w:tblPr>
        <w:tblW w:w="0" w:type="auto"/>
        <w:tblLayout w:type="fixed"/>
        <w:tblLook w:val="04A0" w:firstRow="1" w:lastRow="0" w:firstColumn="1" w:lastColumn="0" w:noHBand="0" w:noVBand="1"/>
      </w:tblPr>
      <w:tblGrid>
        <w:gridCol w:w="3024"/>
        <w:gridCol w:w="648"/>
        <w:gridCol w:w="1296"/>
        <w:gridCol w:w="1296"/>
        <w:gridCol w:w="1152"/>
        <w:gridCol w:w="1440"/>
      </w:tblGrid>
      <w:tr w:rsidR="00D74012">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Context</w:t>
            </w:r>
          </w:p>
        </w:tc>
        <w:tc>
          <w:tcPr>
            <w:tcW w:w="64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Runs</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Before</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Recipe total</w:t>
            </w:r>
          </w:p>
        </w:tc>
        <w:tc>
          <w:tcPr>
            <w:tcW w:w="115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Expected</w:t>
            </w:r>
          </w:p>
        </w:tc>
        <w:tc>
          <w:tcPr>
            <w:tcW w:w="144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Observed</w:t>
            </w:r>
          </w:p>
        </w:tc>
      </w:tr>
      <w:tr w:rsidR="00D74012">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Two food merges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15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11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9</w:t>
            </w:r>
          </w:p>
        </w:tc>
      </w:tr>
      <w:tr w:rsidR="00D74012">
        <w:tc>
          <w:tcPr>
            <w:tcW w:w="30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Two unit merges</w:t>
            </w:r>
          </w:p>
        </w:tc>
        <w:tc>
          <w:tcPr>
            <w:tcW w:w="64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2</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13</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6</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7</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11</w:t>
            </w:r>
          </w:p>
        </w:tc>
      </w:tr>
      <w:tr w:rsidR="00D74012">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 xml:space="preserve">No merge and two </w:t>
            </w:r>
            <w:r>
              <w:rPr>
                <w:sz w:val="20"/>
              </w:rPr>
              <w:t>ingredients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Varies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Final 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7</w:t>
            </w:r>
          </w:p>
        </w:tc>
      </w:tr>
      <w:tr w:rsidR="00D74012">
        <w:tc>
          <w:tcPr>
            <w:tcW w:w="30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No merge and three ingredients</w:t>
            </w:r>
          </w:p>
        </w:tc>
        <w:tc>
          <w:tcPr>
            <w:tcW w:w="64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2</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Varies</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6</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Final 7</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7</w:t>
            </w:r>
          </w:p>
        </w:tc>
      </w:tr>
      <w:tr w:rsidR="00D74012">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One food merge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11 total</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Final 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9 total</w:t>
            </w:r>
          </w:p>
        </w:tc>
      </w:tr>
      <w:tr w:rsidR="00D74012">
        <w:tc>
          <w:tcPr>
            <w:tcW w:w="30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One unit merge</w:t>
            </w:r>
          </w:p>
        </w:tc>
        <w:tc>
          <w:tcPr>
            <w:tcW w:w="64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2</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13 total</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6</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Final 7</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9 total</w:t>
            </w:r>
          </w:p>
        </w:tc>
      </w:tr>
    </w:tbl>
    <w:p w:rsidR="00D74012" w:rsidRDefault="00D74012"/>
    <w:p w:rsidR="00D74012" w:rsidRDefault="003E6C04">
      <w:pPr>
        <w:pStyle w:val="Heading2"/>
      </w:pPr>
      <w:r>
        <w:t>One food merge</w:t>
      </w:r>
    </w:p>
    <w:p w:rsidR="00D74012" w:rsidRDefault="003E6C04">
      <w:r>
        <w:t xml:space="preserve">The last removal should leave only the manual item of </w:t>
      </w:r>
      <w:r>
        <w:t>quantity 7. The observed state contained that correct manual item plus a separate item of quantity 2 under the surviving merged food identity. No recipe associations remained. This is stronger evidence than a total alone: the unwanted residual is distingui</w:t>
      </w:r>
      <w:r>
        <w:t>shable from the unchanged manual item.</w:t>
      </w:r>
    </w:p>
    <w:p w:rsidR="00D74012" w:rsidRDefault="003E6C04">
      <w:pPr>
        <w:pStyle w:val="Heading2"/>
      </w:pPr>
      <w:r>
        <w:t>One unit merge</w:t>
      </w:r>
    </w:p>
    <w:p w:rsidR="00D74012" w:rsidRDefault="003E6C04">
      <w:r>
        <w:t>The last removal should again leave manual quantity 7. The list instead contained 9 under the shared food and surviving unit key, with no remaining recipe associations. The fresh recipe view before remo</w:t>
      </w:r>
      <w:r>
        <w:t>val contained group quantities 4 and 2, totaling 6. The observed aggregate retained an excess of 2.</w:t>
      </w:r>
    </w:p>
    <w:p w:rsidR="00D74012" w:rsidRDefault="003E6C04">
      <w:pPr>
        <w:pStyle w:val="Heading2"/>
      </w:pPr>
      <w:r>
        <w:t>What the isolation adds</w:t>
      </w:r>
    </w:p>
    <w:p w:rsidR="00D74012" w:rsidRDefault="003E6C04">
      <w:r>
        <w:t>All four no-merge integer schedules completed add, remove, re-add and remove again. Each of three lists ended at manual quantity 7 w</w:t>
      </w:r>
      <w:r>
        <w:t>ith no recipe associations. All four one-merge schedules failed after removal. A single merge therefore suffices in these tested contexts. The no-merge tests and one-merge tests differ in recipe composition and contribution history as well as merging; this</w:t>
      </w:r>
      <w:r>
        <w:t xml:space="preserve"> is evidence of a merge-related trigger, not a fully controlled causal proof.</w:t>
      </w:r>
    </w:p>
    <w:p w:rsidR="00D74012" w:rsidRDefault="003E6C04">
      <w:r>
        <w:t>Within every new pair, owned identities were disjoint and completed task orders differed. Four manifestations are not counted as four bugs. The quantity family is retained as a s</w:t>
      </w:r>
      <w:r>
        <w:t>ingle research record until source inspection or more discriminating controls establish separate causes.</w:t>
      </w:r>
    </w:p>
    <w:p w:rsidR="00D74012" w:rsidRDefault="003E6C04">
      <w:r>
        <w:br w:type="page"/>
      </w:r>
    </w:p>
    <w:p w:rsidR="00D74012" w:rsidRDefault="003E6C04">
      <w:pPr>
        <w:pStyle w:val="Heading1"/>
      </w:pPr>
      <w:r>
        <w:t>4 Engineering reproduction and verification</w:t>
      </w:r>
    </w:p>
    <w:p w:rsidR="00D74012" w:rsidRDefault="003E6C04">
      <w:pPr>
        <w:pStyle w:val="Heading2"/>
      </w:pPr>
      <w:r>
        <w:t>Representative addition reproduction</w:t>
      </w:r>
    </w:p>
    <w:p w:rsidR="00D74012" w:rsidRDefault="003E6C04">
      <w:r>
        <w:t>Create owned foods, units, recipes, shopping lists and manual items.</w:t>
      </w:r>
      <w:r>
        <w:t xml:space="preserve"> Establish shared recipe ingredient keys. Execute the archived prefix until the relevant list is 17 and the current recipe total is 4. Add 0.5 through the documented recipe contribution operation. Read back the list and association view. The retained first</w:t>
      </w:r>
      <w:r>
        <w:t xml:space="preserve"> mismatch is expected 19 versus observed 20.</w:t>
      </w:r>
    </w:p>
    <w:p w:rsidR="00D74012" w:rsidRDefault="003E6C04">
      <w:pPr>
        <w:pStyle w:val="Heading2"/>
      </w:pPr>
      <w:r>
        <w:t>Representative removal reproduction</w:t>
      </w:r>
    </w:p>
    <w:p w:rsidR="00D74012" w:rsidRDefault="003E6C04">
      <w:r>
        <w:t>Create fresh resources using a one-merge profile. Add two recipe contributions per list. Merge food 1 into food 2, or unit 1 into unit 2, through the configured merge endpoint</w:t>
      </w:r>
      <w:r>
        <w:t>. Read all recipe and list views to verify the merge. Remove the two contributions in the generated order, reading back after each removal. When no associations remain, compare the remaining item quantities with the original manual state of 7.</w:t>
      </w:r>
    </w:p>
    <w:p w:rsidR="00D74012" w:rsidRDefault="003E6C04">
      <w:pPr>
        <w:pStyle w:val="Heading2"/>
      </w:pPr>
      <w:r>
        <w:t xml:space="preserve">Independent </w:t>
      </w:r>
      <w:r>
        <w:t>arithmetic check</w:t>
      </w:r>
    </w:p>
    <w:p w:rsidR="00D74012" w:rsidRDefault="003E6C04">
      <w:r>
        <w:t xml:space="preserve">For each food/unit key, the expected post-operation total equals the preceding list total plus the signed contribution multiplier times the fresh recipe quantity. Additions use positive multipliers; removals use negative </w:t>
      </w:r>
      <w:r>
        <w:t>multipliers. The independent verifier recomputes this from the archived context, checks that the fresh recipe readback matches the quantity used for the expectation, and validates every completed semantic receipt in order.</w:t>
      </w:r>
    </w:p>
    <w:p w:rsidR="00D74012" w:rsidRDefault="003E6C04">
      <w:r>
        <w:t>Association equality is checked s</w:t>
      </w:r>
      <w:r>
        <w:t>eparately. Quantity consistency and association consistency can diverge: the server may correctly remove the recipe association while retaining an item contribution, or subtract too much from a shared item. The observations therefore must not be reduced to</w:t>
      </w:r>
      <w:r>
        <w:t xml:space="preserve"> HTTP status or final association count.</w:t>
      </w:r>
    </w:p>
    <w:p w:rsidR="00D74012" w:rsidRDefault="003E6C04">
      <w:pPr>
        <w:pStyle w:val="Heading2"/>
      </w:pPr>
      <w:r>
        <w:t>Execution acceptance</w:t>
      </w:r>
    </w:p>
    <w:p w:rsidR="00D74012" w:rsidRDefault="003E6C04">
      <w:r>
        <w:t>A native exit code alone is insufficient. Complete successful schedules require the complete callback receipt and successful native result. Failed schedules are evaluated using completed receipt</w:t>
      </w:r>
      <w:r>
        <w:t>s and the first actual runtime warning containing the mismatch. Callback source text printed in a log is not treated as evidence that a failure executed. Authentication and infrastructure failures are separated from semantic failures.</w:t>
      </w:r>
    </w:p>
    <w:p w:rsidR="00D74012" w:rsidRDefault="003E6C04">
      <w:pPr>
        <w:pStyle w:val="Heading2"/>
      </w:pPr>
      <w:r>
        <w:t>Scope of reproduction</w:t>
      </w:r>
    </w:p>
    <w:p w:rsidR="00D74012" w:rsidRDefault="003E6C04">
      <w:r>
        <w:t>Fresh-resource reproduction was completed for the retained pairs. No automatic rollback, owned-resource cleanup or full server reset/replay was performed. The test states remain in the local server unless separately removed. Database snapshots, packet cap</w:t>
      </w:r>
      <w:r>
        <w:t>tures and a source-code diagnosis are not part of this freeze.</w:t>
      </w:r>
    </w:p>
    <w:p w:rsidR="00D74012" w:rsidRDefault="003E6C04">
      <w:r>
        <w:br w:type="page"/>
      </w:r>
    </w:p>
    <w:p w:rsidR="00D74012" w:rsidRDefault="003E6C04">
      <w:pPr>
        <w:pStyle w:val="Heading1"/>
      </w:pPr>
      <w:r>
        <w:t>5 Evidence archive and continuation through Git</w:t>
      </w:r>
    </w:p>
    <w:p w:rsidR="00D74012" w:rsidRDefault="003E6C04">
      <w:r>
        <w:t>The frozen evidence directory is evidence/mealie-quantity-family-20261004. Original archive bytes are retained under originals. The generated s</w:t>
      </w:r>
      <w:r>
        <w:t>chedules, plans, stories, interfaces, acceptance files and native logs remain inside their review ZIPs as supplied. checksums.json provides SHA256 values for the frozen files, excluding itself.</w:t>
      </w:r>
    </w:p>
    <w:tbl>
      <w:tblPr>
        <w:tblW w:w="0" w:type="auto"/>
        <w:tblLayout w:type="fixed"/>
        <w:tblLook w:val="04A0" w:firstRow="1" w:lastRow="0" w:firstColumn="1" w:lastColumn="0" w:noHBand="0" w:noVBand="1"/>
      </w:tblPr>
      <w:tblGrid>
        <w:gridCol w:w="4464"/>
        <w:gridCol w:w="5616"/>
      </w:tblGrid>
      <w:tr w:rsidR="00D74012">
        <w:trPr>
          <w:tblHeader/>
        </w:trPr>
        <w:tc>
          <w:tcPr>
            <w:tcW w:w="446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Archive</w:t>
            </w:r>
          </w:p>
        </w:tc>
        <w:tc>
          <w:tcPr>
            <w:tcW w:w="561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vAlign w:val="center"/>
          </w:tcPr>
          <w:p w:rsidR="00D74012" w:rsidRDefault="003E6C04">
            <w:pPr>
              <w:spacing w:before="60" w:after="60"/>
            </w:pPr>
            <w:r>
              <w:rPr>
                <w:b/>
                <w:sz w:val="20"/>
              </w:rPr>
              <w:t>Role</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original-collision.zip</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First observed live misma</w:t>
            </w:r>
            <w:r>
              <w:rPr>
                <w:sz w:val="20"/>
              </w:rPr>
              <w:t>tch</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original-confirmation.zip</w:t>
            </w:r>
          </w:p>
        </w:tc>
        <w:tc>
          <w:tcPr>
            <w:tcW w:w="561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Fresh-resource confirmation</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scaling-controls.zip</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Ten scaling and composition controls</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integer-merge-lifecycle.zip</w:t>
            </w:r>
          </w:p>
        </w:tc>
        <w:tc>
          <w:tcPr>
            <w:tcW w:w="561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Four two-merge integer lifecycles</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removal-isolation-controls.zip</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 xml:space="preserve">Eight no-merge and one-merge </w:t>
            </w:r>
            <w:r>
              <w:rPr>
                <w:sz w:val="20"/>
              </w:rPr>
              <w:t>controls</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excluded-authentication-401.zip</w:t>
            </w:r>
          </w:p>
        </w:tc>
        <w:tc>
          <w:tcPr>
            <w:tcW w:w="561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rsidR="00D74012" w:rsidRDefault="003E6C04">
            <w:pPr>
              <w:spacing w:before="60" w:after="60"/>
            </w:pPr>
            <w:r>
              <w:rPr>
                <w:sz w:val="20"/>
              </w:rPr>
              <w:t>Excluded attempt; semantic test did not run</w:t>
            </w:r>
          </w:p>
        </w:tc>
      </w:tr>
      <w:tr w:rsidR="00D74012">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earlier semantic and construction archives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D74012" w:rsidRDefault="003E6C04">
            <w:pPr>
              <w:spacing w:before="60" w:after="60"/>
            </w:pPr>
            <w:r>
              <w:rPr>
                <w:sz w:val="20"/>
              </w:rPr>
              <w:t>Contextual successful controls outside the 24-run count</w:t>
            </w:r>
          </w:p>
        </w:tc>
      </w:tr>
    </w:tbl>
    <w:p w:rsidR="00D74012" w:rsidRDefault="00D74012"/>
    <w:p w:rsidR="00D74012" w:rsidRDefault="003E6C04">
      <w:pPr>
        <w:pStyle w:val="Heading2"/>
      </w:pPr>
      <w:r>
        <w:t>Source and analysis retention</w:t>
      </w:r>
    </w:p>
    <w:p w:rsidR="00D74012" w:rsidRDefault="003E6C04">
      <w:r>
        <w:t>work/generator-and-scripts-snapshot.zip preserves the current generator, profiles, tests and delivery scripts. The three latest delta deliveries are also retained. analysis contains the offline campaign analyses. verify_freeze.py and a frozen semantic_rece</w:t>
      </w:r>
      <w:r>
        <w:t>ipts.py provide an offline integrity and semantic verification path. The initial freeze verification accepted 24 runs, including 18 discrepancies and 6 successes.</w:t>
      </w:r>
    </w:p>
    <w:p w:rsidR="00D74012" w:rsidRDefault="003E6C04">
      <w:pPr>
        <w:pStyle w:val="Heading2"/>
      </w:pPr>
      <w:r>
        <w:t>Commit and push procedure</w:t>
      </w:r>
    </w:p>
    <w:p w:rsidR="00D74012" w:rsidRDefault="003E6C04">
      <w:r>
        <w:t>Save-Mealie-Research-Day.ps1 verifies the archive before staging. I</w:t>
      </w:r>
      <w:r>
        <w:t>t records current local source hashes, creates a checkpoint branch, commits only explicit documentation, evidence and source paths, pushes the current branch, and verifies the remote branch head. Existing unrelated staged changes are not included. The scri</w:t>
      </w:r>
      <w:r>
        <w:t>pt does not replace current local source files with the archived snapshot.</w:t>
      </w:r>
    </w:p>
    <w:p w:rsidR="00D74012" w:rsidRDefault="003E6C04">
      <w:r>
        <w:t>At home, pull the branch shown by the push script and verify the evidence using the included offline verifier. The code and investigation record can then continue from this checkpoi</w:t>
      </w:r>
      <w:r>
        <w:t>nt. A Git pull does not restore Docker data or running server state. The earlier home restoration remains unfinished and must be handled separately before relying on the same runtime state.</w:t>
      </w:r>
    </w:p>
    <w:p w:rsidR="00D74012" w:rsidRDefault="003E6C04">
      <w:r>
        <w:br w:type="page"/>
      </w:r>
    </w:p>
    <w:p w:rsidR="00D74012" w:rsidRDefault="003E6C04">
      <w:pPr>
        <w:pStyle w:val="Heading1"/>
      </w:pPr>
      <w:r>
        <w:t xml:space="preserve">6 Research interpretation and methodological </w:t>
      </w:r>
      <w:r>
        <w:t>contribution</w:t>
      </w:r>
    </w:p>
    <w:p w:rsidR="00D74012" w:rsidRDefault="003E6C04">
      <w:pPr>
        <w:pStyle w:val="Heading2"/>
      </w:pPr>
      <w:r>
        <w:t>Research question</w:t>
      </w:r>
    </w:p>
    <w:p w:rsidR="00D74012" w:rsidRDefault="003E6C04">
      <w:r>
        <w:t>Can generated stateful scenarios reach resource configurations in which an operation succeeds at the transport level but violates a semantic invariant across related resources? This case supplies a positive observation for on</w:t>
      </w:r>
      <w:r>
        <w:t>e system and one domain-informed invariant family. It does not estimate the prevalence of such defects.</w:t>
      </w:r>
    </w:p>
    <w:p w:rsidR="00D74012" w:rsidRDefault="003E6C04">
      <w:pPr>
        <w:pStyle w:val="Heading2"/>
      </w:pPr>
      <w:r>
        <w:t>Mechanism illustrated by the case</w:t>
      </w:r>
    </w:p>
    <w:p w:rsidR="00D74012" w:rsidRDefault="003E6C04">
      <w:r>
        <w:t xml:space="preserve">A prefix constructs shared ingredients, multiple recipe contributions and manual shopping stock. Provengo </w:t>
      </w:r>
      <w:r>
        <w:t xml:space="preserve">chooses enabled logical task orders while honoring identity and dependency constraints. Merge or contribution actions change the state shared by several views. Immediate readbacks evaluate conservation of quantity and association state. The discrepancy is </w:t>
      </w:r>
      <w:r>
        <w:t>exposed at the transition where those views diverge, rather than only at the end of a long schedule.</w:t>
      </w:r>
    </w:p>
    <w:p w:rsidR="00D74012" w:rsidRDefault="003E6C04">
      <w:pPr>
        <w:pStyle w:val="Heading2"/>
      </w:pPr>
      <w:r>
        <w:t>Experimental accounting</w:t>
      </w:r>
    </w:p>
    <w:p w:rsidR="00D74012" w:rsidRDefault="003E6C04">
      <w:r>
        <w:t>The unit of evidence is an observed native schedule and its first discrepancy or complete success. The main family has 24 runs acro</w:t>
      </w:r>
      <w:r>
        <w:t>ss the original discovery, controls and reproduction campaigns. Eighteen failures are repeated manifestations, not eighteen independent defects. Six complete successes serve as controls. The four no-merge integer successes include the full remove/re-add li</w:t>
      </w:r>
      <w:r>
        <w:t>fecycle, whereas failed merge schedules do not establish later lifecycle coverage.</w:t>
      </w:r>
    </w:p>
    <w:p w:rsidR="00D74012" w:rsidRDefault="003E6C04">
      <w:pPr>
        <w:pStyle w:val="Heading2"/>
      </w:pPr>
      <w:r>
        <w:t>What is supported for a paper</w:t>
      </w:r>
    </w:p>
    <w:p w:rsidR="00D74012" w:rsidRDefault="003E6C04">
      <w:r>
        <w:t>The case can support an existence claim: a generic generation pipeline with explicit semantic profiles and runtime identity bindings exposed re</w:t>
      </w:r>
      <w:r>
        <w:t xml:space="preserve">peatable quantity inconsistencies in a real REST system. It also illustrates the value of negative controls, fresh-resource reproduction, and first-failure evidence. A measured comparison with other generators or fuzzers would require equivalent operation </w:t>
      </w:r>
      <w:r>
        <w:t>boundaries, data, time budgets, semantics and evaluators; those comparisons were not performed here.</w:t>
      </w:r>
    </w:p>
    <w:p w:rsidR="00D74012" w:rsidRDefault="003E6C04">
      <w:pPr>
        <w:pStyle w:val="Heading2"/>
      </w:pPr>
      <w:r>
        <w:t>Role of human modeling</w:t>
      </w:r>
    </w:p>
    <w:p w:rsidR="00D74012" w:rsidRDefault="003E6C04">
      <w:r>
        <w:t>The tested resource scope and quantitative properties were selected through declarative profiles. Describing the result as fully aut</w:t>
      </w:r>
      <w:r>
        <w:t>omatic bug discovery from OpenAPI alone would omit that input. A defensible account separates automatic operation/schema binding and schedule generation from human-specified semantics and experimental case selection. Backward compatibility is an engineerin</w:t>
      </w:r>
      <w:r>
        <w:t>g property of the generator, not evidence of research novelty.</w:t>
      </w:r>
    </w:p>
    <w:p w:rsidR="00D74012" w:rsidRDefault="003E6C04">
      <w:r>
        <w:br w:type="page"/>
      </w:r>
    </w:p>
    <w:p w:rsidR="00D74012" w:rsidRDefault="003E6C04">
      <w:pPr>
        <w:pStyle w:val="Heading1"/>
      </w:pPr>
      <w:r>
        <w:t>7 Limitations and next investigation</w:t>
      </w:r>
    </w:p>
    <w:p w:rsidR="00D74012" w:rsidRDefault="003E6C04">
      <w:pPr>
        <w:pStyle w:val="Heading2"/>
      </w:pPr>
      <w:r>
        <w:t>Validity limits</w:t>
      </w:r>
    </w:p>
    <w:p w:rsidR="00D74012" w:rsidRDefault="003E6C04">
      <w:r>
        <w:t xml:space="preserve">Expected quantity behavior is profile-defined and must remain visible in any external report. Fresh recipe reads reduce the risk of stale </w:t>
      </w:r>
      <w:r>
        <w:t>expectations, and manual-stock controls reduce the risk of attributing unrelated quantities to a contribution. They do not substitute for source-level diagnosis or a formally stated application specification.</w:t>
      </w:r>
    </w:p>
    <w:p w:rsidR="00D74012" w:rsidRDefault="003E6C04">
      <w:r>
        <w:t>Recipe identity and food/unit identity are type</w:t>
      </w:r>
      <w:r>
        <w:t>d separately. The retained views and checks reduce accidental identity confusion. The local server may include earlier test resources because cleanup and full reset were not performed. Each replay uses new owned identities, but this is not proof that all g</w:t>
      </w:r>
      <w:r>
        <w:t>lobal state effects are absent.</w:t>
      </w:r>
    </w:p>
    <w:p w:rsidR="00D74012" w:rsidRDefault="003E6C04">
      <w:r>
        <w:t>The one-merge controls narrow the observed context but are not an exact ablation of the two-merge programs. A stronger causal experiment would hold ingredient composition and prior contribution history constant while changin</w:t>
      </w:r>
      <w:r>
        <w:t>g only merge operations. That work is deferred to avoid continuing indefinitely around the same defect family.</w:t>
      </w:r>
    </w:p>
    <w:p w:rsidR="00D74012" w:rsidRDefault="003E6C04">
      <w:pPr>
        <w:pStyle w:val="Heading2"/>
      </w:pPr>
      <w:r>
        <w:t>Disposition</w:t>
      </w:r>
    </w:p>
    <w:p w:rsidR="00D74012" w:rsidRDefault="003E6C04">
      <w:r>
        <w:t>Retain one confirmed discrepancy family with multiple reproduced manifestations. Internal root cause remains unconfirmed. No maintain</w:t>
      </w:r>
      <w:r>
        <w:t>er report or fix validation is recorded. Freeze the evidence now and redirect discovery to a different operation mechanism.</w:t>
      </w:r>
    </w:p>
    <w:p w:rsidR="00D74012" w:rsidRDefault="003E6C04">
      <w:pPr>
        <w:pStyle w:val="Heading2"/>
      </w:pPr>
      <w:r>
        <w:t>Next mechanism</w:t>
      </w:r>
    </w:p>
    <w:p w:rsidR="00D74012" w:rsidRDefault="003E6C04">
      <w:r>
        <w:t>The next campaign should delete a resource shared by several dependent entities while relationship construction is st</w:t>
      </w:r>
      <w:r>
        <w:t>ill in progress. Candidate resources are foods and units referenced by recipes and shopping items. Establish whether deletion is rejected, detaches references, or follows another documented policy before adopting an oracle. A legitimate rejection is not it</w:t>
      </w:r>
      <w:r>
        <w:t>self a defect.</w:t>
      </w:r>
    </w:p>
    <w:p w:rsidR="00D74012" w:rsidRDefault="003E6C04">
      <w:r>
        <w:t>Read all affected dependents and unrelated control entities immediately after the deletion attempt. Then update or use the surviving dependents. Candidate failures include inconsistent detachment, loss of unrelated data, persistence of unusa</w:t>
      </w:r>
      <w:r>
        <w:t>ble references, and server errors on subsequent valid operations. Preserve the first failed schedule and reproduce it with fresh resources. This tests referential integrity and lifecycle behavior rather than repeating quantity scaling permutations.</w:t>
      </w:r>
    </w:p>
    <w:p w:rsidR="00D74012" w:rsidRDefault="003E6C04">
      <w:pPr>
        <w:pStyle w:val="Heading2"/>
      </w:pPr>
      <w:r>
        <w:t xml:space="preserve">Status </w:t>
      </w:r>
      <w:r>
        <w:t>at the freeze</w:t>
      </w:r>
    </w:p>
    <w:p w:rsidR="00D74012" w:rsidRDefault="003E6C04">
      <w:r>
        <w:t>Evidence is verified offline. Documentation and Git delivery are prepared. The local commit and remote push must be accepted by the supplied script before the work is considered transferred. The linked-resource deletion campaign and the unfin</w:t>
      </w:r>
      <w:r>
        <w:t>ished home server restoration have not been executed as part of this record.</w:t>
      </w:r>
    </w:p>
    <w:sectPr w:rsidR="00D74012"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E6C04" w:rsidRDefault="003E6C04">
      <w:pPr>
        <w:spacing w:after="0" w:line="240" w:lineRule="auto"/>
      </w:pPr>
      <w:r>
        <w:separator/>
      </w:r>
    </w:p>
  </w:endnote>
  <w:endnote w:type="continuationSeparator" w:id="0">
    <w:p w:rsidR="003E6C04" w:rsidRDefault="003E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012" w:rsidRDefault="003E6C04">
    <w:pPr>
      <w:pStyle w:val="Footer"/>
      <w:jc w:val="right"/>
    </w:pPr>
    <w:r>
      <w:t xml:space="preserve">Mealie quantity discrepancy family  |  </w:t>
    </w:r>
    <w:r>
      <w:fldChar w:fldCharType="begin"/>
    </w:r>
    <w:r>
      <w:instrText>PAGE</w:instrText>
    </w:r>
    <w:r>
      <w:fldChar w:fldCharType="separate"/>
    </w:r>
    <w:r w:rsidR="006479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E6C04" w:rsidRDefault="003E6C04">
      <w:pPr>
        <w:spacing w:after="0" w:line="240" w:lineRule="auto"/>
      </w:pPr>
      <w:r>
        <w:separator/>
      </w:r>
    </w:p>
  </w:footnote>
  <w:footnote w:type="continuationSeparator" w:id="0">
    <w:p w:rsidR="003E6C04" w:rsidRDefault="003E6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6C04"/>
    <w:rsid w:val="006479CE"/>
    <w:rsid w:val="00AA1D8D"/>
    <w:rsid w:val="00B47730"/>
    <w:rsid w:val="00CB0664"/>
    <w:rsid w:val="00D74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D9B5A07-B123-4C16-9526-C8916277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3013</Words>
  <Characters>15066</Characters>
  <Application>Microsoft Office Word</Application>
  <DocSecurity>0</DocSecurity>
  <Lines>125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Mealie quantity consistency failures</dc:title>
  <dc:subject>Engineering investigation and research case study</dc:subject>
  <dc:creator>Study team</dc:creator>
  <cp:keywords/>
  <dc:description>generated by python-docx</dc:description>
  <cp:lastModifiedBy>Yeshayahu Weiss  MTH</cp:lastModifiedBy>
  <cp:revision>2</cp:revision>
  <dcterms:created xsi:type="dcterms:W3CDTF">2026-10-04T14:54:00Z</dcterms:created>
  <dcterms:modified xsi:type="dcterms:W3CDTF">2026-10-04T14:54:00Z</dcterms:modified>
  <cp:category/>
</cp:coreProperties>
</file>