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CloudFlow 客户常见问题 FAQ</w:t>
      </w:r>
    </w:p>
    <w:p>
      <w:r>
        <w:rPr>
          <w:color w:val="808080"/>
          <w:sz w:val="18"/>
        </w:rPr>
        <w:t>文档版本：v2.4　|　适用套餐：全部　|　最后更新：2026-08-15</w:t>
      </w:r>
    </w:p>
    <w:p>
      <w:r>
        <w:t>本 FAQ 汇总了技术支持团队最常收到的客户问题，按主题分类。若你的问题未在此收录，请提交工单或查阅《故障排查手册》。</w:t>
      </w:r>
    </w:p>
    <w:p>
      <w:pPr>
        <w:pStyle w:val="Heading1"/>
      </w:pPr>
      <w:r>
        <w:t>账号与套餐</w:t>
      </w:r>
    </w:p>
    <w:p>
      <w:r>
        <w:rPr>
          <w:b/>
          <w:color w:val="1F4E79"/>
        </w:rPr>
        <w:t>Q：如何从基础版升级到企业版？</w:t>
      </w:r>
    </w:p>
    <w:p>
      <w:r>
        <w:t>A：在控制台「财务管理 → 套餐管理」点击升级，即时生效，按剩余天数比例补差价。升级后企业版专属能力（如 CDC 实时同步）可立即使用。</w:t>
      </w:r>
    </w:p>
    <w:p>
      <w:r>
        <w:rPr>
          <w:b/>
          <w:color w:val="1F4E79"/>
        </w:rPr>
        <w:t>Q：降级会有什么影响？</w:t>
      </w:r>
    </w:p>
    <w:p>
      <w:r>
        <w:t>A：降级在下一个计费周期生效，当前周期仍享受原套餐能力。需要特别注意：从企业版降至专业版后，所有正在运行的 CDC 实时同步任务会被自动暂停，需手动改为全量或增量模式后重新启用。</w:t>
      </w:r>
    </w:p>
    <w:p>
      <w:r>
        <w:rPr>
          <w:b/>
          <w:color w:val="1F4E79"/>
        </w:rPr>
        <w:t>Q：新手试用有多久？</w:t>
      </w:r>
    </w:p>
    <w:p>
      <w:r>
        <w:t>A：注册即赠专业版 14 天全功能试用，试用期内不产生费用，行数额度按专业版计算。试用结束后账号自动转为基础版，数据会保留。</w:t>
      </w:r>
    </w:p>
    <w:p>
      <w:pPr>
        <w:pStyle w:val="Heading1"/>
      </w:pPr>
      <w:r>
        <w:t>同步任务</w:t>
      </w:r>
    </w:p>
    <w:p>
      <w:r>
        <w:rPr>
          <w:b/>
          <w:color w:val="1F4E79"/>
        </w:rPr>
        <w:t>Q：任务创建后多久开始同步？</w:t>
      </w:r>
    </w:p>
    <w:p>
      <w:r>
        <w:t>A：任务保存后处于待调度状态，需点击「启用调度」才会按 Cron 周期执行。若想立即验证，可在任务详情页点击「试运行」。</w:t>
      </w:r>
    </w:p>
    <w:p>
      <w:r>
        <w:rPr>
          <w:b/>
          <w:color w:val="1F4E79"/>
        </w:rPr>
        <w:t>Q：全量同步和增量同步该怎么选？</w:t>
      </w:r>
    </w:p>
    <w:p>
      <w:r>
        <w:t>A：首次同步建议用全量建立基线数据，之后改为增量同步并指定增量字段（如 updated_at）。也可在同一任务上先全量后增量，无需建两个任务。</w:t>
      </w:r>
    </w:p>
    <w:p>
      <w:r>
        <w:rPr>
          <w:b/>
          <w:color w:val="1F4E79"/>
        </w:rPr>
        <w:t>Q：任务失败了会重复计费吗？</w:t>
      </w:r>
    </w:p>
    <w:p>
      <w:r>
        <w:t>A：失败且未写入任何行数的运行实例不计费；若失败前已写入部分行数，按实际写入行数计费。</w:t>
      </w:r>
    </w:p>
    <w:p>
      <w:r>
        <w:rPr>
          <w:b/>
          <w:color w:val="1F4E79"/>
        </w:rPr>
        <w:t>Q：写入策略 Append 和 Upsert 有什么区别？</w:t>
      </w:r>
    </w:p>
    <w:p>
      <w:r>
        <w:t>A：Append 直接追加，不处理主键冲突；Upsert 按主键更新已有记录、不存在则插入。生产环境推荐使用 Upsert。注意 Upsert 要求源表有主键，或在任务中手动指定业务主键。</w:t>
      </w:r>
    </w:p>
    <w:p>
      <w:pPr>
        <w:pStyle w:val="Heading1"/>
      </w:pPr>
      <w:r>
        <w:t>连接与权限</w:t>
      </w:r>
    </w:p>
    <w:p>
      <w:r>
        <w:rPr>
          <w:b/>
          <w:color w:val="1F4E79"/>
        </w:rPr>
        <w:t>Q：连接测试成功，但试运行报权限错误怎么办？</w:t>
      </w:r>
    </w:p>
    <w:p>
      <w:r>
        <w:t>A：连接测试只验证网络与登录凭证，试运行还需要库表级的读写权限。请检查数据库账号是否缺少 SELECT 权限，参考《故障排查手册》中 PERM_ 系列错误码。</w:t>
      </w:r>
    </w:p>
    <w:p>
      <w:r>
        <w:rPr>
          <w:b/>
          <w:color w:val="1F4E79"/>
        </w:rPr>
        <w:t>Q：为什么 CDC 任务创建失败，提示权限不足？</w:t>
      </w:r>
    </w:p>
    <w:p>
      <w:r>
        <w:t>A：CDC 实时同步需要额外权限：MySQL 需授予 REPLICATION SLAVE 与 REPLICATION CLIENT，且源库必须开启 binlog 并设为 ROW 格式。权限变更后需要重新创建连接。</w:t>
      </w:r>
    </w:p>
    <w:p>
      <w:pPr>
        <w:pStyle w:val="Heading1"/>
      </w:pPr>
      <w:r>
        <w:t>计费与发票</w:t>
      </w:r>
    </w:p>
    <w:p>
      <w:r>
        <w:rPr>
          <w:b/>
          <w:color w:val="1F4E79"/>
        </w:rPr>
        <w:t>Q：超额怎么收费？</w:t>
      </w:r>
    </w:p>
    <w:p>
      <w:r>
        <w:t>A：月同步行数超出套餐额度后，超出部分按 0.02 元/万行计费。例如专业版某月同步 6000 万行，超出 1000 万行，超额费用为 20 元。</w:t>
      </w:r>
    </w:p>
    <w:p>
      <w:r>
        <w:rPr>
          <w:b/>
          <w:color w:val="1F4E79"/>
        </w:rPr>
        <w:t>Q：发票怎么开？</w:t>
      </w:r>
    </w:p>
    <w:p>
      <w:r>
        <w:t>A：在控制台「财务管理 → 发票管理」提交申请，支持增值税普通发票与专用发票，5 个工作日内寄出。单笔订单金额需满 200 元。</w:t>
      </w:r>
    </w:p>
    <w:p>
      <w:pPr>
        <w:pStyle w:val="Heading1"/>
      </w:pPr>
      <w:r>
        <w:t>安全合规</w:t>
      </w:r>
    </w:p>
    <w:p>
      <w:r>
        <w:rPr>
          <w:b/>
          <w:color w:val="1F4E79"/>
        </w:rPr>
        <w:t>Q：我的数据会不会被 CloudFlow 看到？</w:t>
      </w:r>
    </w:p>
    <w:p>
      <w:r>
        <w:t>A：不会。CloudFlow 采用控制面/数据面分离架构，数据面运行在客户自己的 VPC 内，业务数据在客户网络内直接由源端流向目标端，不经过 CloudFlow 控制面，也不落盘。</w:t>
      </w:r>
    </w:p>
    <w:p>
      <w:r>
        <w:rPr>
          <w:b/>
          <w:color w:val="1F4E79"/>
        </w:rPr>
        <w:t>Q：支持私有化部署吗？</w:t>
      </w:r>
    </w:p>
    <w:p>
      <w:r>
        <w:t>A：仅旗舰版支持将控制面完整部署到客户自有 Kubernetes 集群，可实现数据完全不出客户网络，并支持 Air-gapped 离线模式。</w:t>
      </w:r>
    </w:p>
    <w:p>
      <w:r>
        <w:rPr>
          <w:b/>
          <w:color w:val="1F4E79"/>
        </w:rPr>
        <w:t>Q：有哪些合规认证？</w:t>
      </w:r>
    </w:p>
    <w:p>
      <w:r>
        <w:t>A：已通过 ISO 27001、ISO 27701、SOC 2 Type II，符合 GDPR，并通过中国等保三级。SOC 2 报告可在签署 NDA 后通过客户经理索取。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