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微软雅黑" w:hAnsi="微软雅黑" w:eastAsia="微软雅黑"/>
          <w:b w:val="0"/>
          <w:color w:val="666666"/>
          <w:sz w:val="18"/>
        </w:rPr>
        <w:t>AI 工程组 · 工作日报</w:t>
      </w:r>
    </w:p>
    <w:p>
      <w:pPr>
        <w:spacing w:after="40"/>
        <w:jc w:val="center"/>
      </w:pPr>
      <w:r>
        <w:rPr>
          <w:rFonts w:ascii="微软雅黑" w:hAnsi="微软雅黑" w:eastAsia="微软雅黑"/>
          <w:b/>
          <w:sz w:val="40"/>
        </w:rPr>
        <w:t>2026 年 10 月 29 日（周四）</w:t>
      </w:r>
    </w:p>
    <w:p>
      <w:pPr>
        <w:spacing w:before="0" w:after="200" w:line="288" w:lineRule="auto"/>
        <w:jc w:val="center"/>
      </w:pPr>
      <w:r>
        <w:rPr>
          <w:rFonts w:ascii="微软雅黑" w:hAnsi="微软雅黑" w:eastAsia="微软雅黑"/>
          <w:b w:val="0"/>
          <w:color w:val="2F5BD8"/>
          <w:sz w:val="20"/>
        </w:rPr>
        <w:t>MCP 服务接入 · Cline Cloud 调研 · 海外 AI 免费额度清单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061"/>
        <w:gridCol w:w="2041"/>
        <w:gridCol w:w="1701"/>
      </w:tblGrid>
      <w:tr>
        <w:tc>
          <w:tcPr>
            <w:tcW w:type="dxa" w:w="2041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姓名</w:t>
            </w:r>
          </w:p>
        </w:tc>
        <w:tc>
          <w:tcPr>
            <w:tcW w:type="dxa" w:w="3061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部门 / 岗位</w:t>
            </w:r>
          </w:p>
        </w:tc>
        <w:tc>
          <w:tcPr>
            <w:tcW w:type="dxa" w:w="2041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填报日期</w:t>
            </w:r>
          </w:p>
        </w:tc>
        <w:tc>
          <w:tcPr>
            <w:tcW w:type="dxa" w:w="1701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在岗状态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061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8"/>
              </w:rPr>
              <w:t>AI 工程组 / AI 应用工程</w:t>
            </w:r>
          </w:p>
        </w:tc>
        <w:tc>
          <w:tcPr>
            <w:tcW w:type="dxa" w:w="2041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8"/>
              </w:rPr>
              <w:t>2026-10-29</w:t>
            </w:r>
          </w:p>
        </w:tc>
        <w:tc>
          <w:tcPr>
            <w:tcW w:type="dxa" w:w="1701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正常在岗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40"/>
        <w:pBdr>
          <w:bottom w:val="single" w:sz="6" w:space="3" w:color="2F5BD8"/>
        </w:pBdr>
      </w:pPr>
      <w:r>
        <w:rPr>
          <w:rFonts w:ascii="微软雅黑" w:hAnsi="微软雅黑" w:eastAsia="微软雅黑"/>
          <w:b/>
          <w:color w:val="2F5BD8"/>
          <w:sz w:val="28"/>
        </w:rPr>
        <w:t>一、今日工作摘要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今日围绕「把外部智能体能力接进生产工作流」这条主线推进三件事：一是打通 arena-bridge MCP 服务，完成协议握手、49 个工具的能力盘点与使用规则固化，并沉淀为团队可复用的接入文档；二是调研 Cline Cloud 的云端代理模式，确认其「浏览器派单 → 云沙箱执行 → 边做边推分支 → 交付 PR」的工作方式；三是用 arena.ai 的 Agent Mode 实跑一次真实产出，生成《海外 AI 免费额度清单（2026-10 第二部分）》。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/>
          <w:sz w:val="21"/>
        </w:rPr>
        <w:t>完成度：</w:t>
      </w:r>
      <w:r>
        <w:rPr>
          <w:rFonts w:ascii="微软雅黑" w:hAnsi="微软雅黑" w:eastAsia="微软雅黑"/>
          <w:b w:val="0"/>
          <w:sz w:val="21"/>
        </w:rPr>
        <w:t>三项全部按计划完成，MCP 侧已实测可用并交付文档（1 份 157 行说明 + 1 条独立分支提交）；</w:t>
      </w:r>
      <w:r>
        <w:rPr>
          <w:rFonts w:ascii="微软雅黑" w:hAnsi="微软雅黑" w:eastAsia="微软雅黑"/>
          <w:b/>
          <w:color w:val="C00000"/>
          <w:sz w:val="21"/>
        </w:rPr>
        <w:t>待办 1 项：</w:t>
      </w:r>
      <w:r>
        <w:rPr>
          <w:rFonts w:ascii="微软雅黑" w:hAnsi="微软雅黑" w:eastAsia="微软雅黑"/>
          <w:b w:val="0"/>
          <w:sz w:val="21"/>
        </w:rPr>
        <w:t>本报告为无图版，第五节已按工作顺序预留 3 个截图取景框并排好图注，由本人把截图直接粘贴入框即可定稿。</w:t>
      </w:r>
    </w:p>
    <w:p>
      <w:pPr>
        <w:pStyle w:val="Heading1"/>
        <w:keepNext/>
        <w:spacing w:before="320" w:after="140"/>
        <w:pBdr>
          <w:bottom w:val="single" w:sz="6" w:space="3" w:color="2F5BD8"/>
        </w:pBdr>
      </w:pPr>
      <w:r>
        <w:rPr>
          <w:rFonts w:ascii="微软雅黑" w:hAnsi="微软雅黑" w:eastAsia="微软雅黑"/>
          <w:b/>
          <w:color w:val="2F5BD8"/>
          <w:sz w:val="28"/>
        </w:rPr>
        <w:t>二、主要工作内容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2.1  MCP 服务接入与能力盘点（arena-bridge v0.5.2）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目标：把远端 VS Code 工作区以 MCP（Model Context Protocol）方式接入，使智能体可以直接读写代码、执行命令、驱动浏览器，而不依赖人工中转。今日完成了从握手到实测的全链路验证。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① 协议握手与连通性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服务端：arena-bridge v0.5.2（buildId 20261023-save-image.1），backend vscode-node，协议版本 2025-06-18。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传输：MCP Streamable HTTP；三次握手缺一不可 —— initialize → 取响应头 mcp-session-id → notifications/initialized → tools/call。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关键细节：必须带 ngrok-skip-browser-warning 请求头，否则会被隧道拦截页挡在门外；会话 ID 需在后续每个请求回带。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权限面：write / exec / home / network / browser 全开，意味着工具具备真实写入与执行能力，操作需谨慎。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② 工具能力盘点：共 49 个，按用途分 9 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794"/>
        <w:gridCol w:w="6180"/>
      </w:tblGrid>
      <w:tr>
        <w:tc>
          <w:tcPr>
            <w:tcW w:type="dxa" w:w="1871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分组</w:t>
            </w:r>
          </w:p>
        </w:tc>
        <w:tc>
          <w:tcPr>
            <w:tcW w:type="dxa" w:w="794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数量</w:t>
            </w:r>
          </w:p>
        </w:tc>
        <w:tc>
          <w:tcPr>
            <w:tcW w:type="dxa" w:w="6180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工具</w:t>
            </w:r>
          </w:p>
        </w:tc>
      </w:tr>
      <w:tr>
        <w:tc>
          <w:tcPr>
            <w:tcW w:type="dxa" w:w="1871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元信息 / 工作区</w:t>
            </w:r>
          </w:p>
        </w:tc>
        <w:tc>
          <w:tcPr>
            <w:tcW w:type="dxa" w:w="794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180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bridge_info、project_info、list_workspaces、set_workspace</w:t>
            </w:r>
          </w:p>
        </w:tc>
      </w:tr>
      <w:tr>
        <w:tc>
          <w:tcPr>
            <w:tcW w:type="dxa" w:w="1871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浏览与读取</w:t>
            </w:r>
          </w:p>
        </w:tc>
        <w:tc>
          <w:tcPr>
            <w:tcW w:type="dxa" w:w="794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6180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list_files、read_file、read_many、find_files、search_code、list_todos、open_file</w:t>
            </w:r>
          </w:p>
        </w:tc>
      </w:tr>
      <w:tr>
        <w:tc>
          <w:tcPr>
            <w:tcW w:type="dxa" w:w="1871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写入与编辑</w:t>
            </w:r>
          </w:p>
        </w:tc>
        <w:tc>
          <w:tcPr>
            <w:tcW w:type="dxa" w:w="794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6180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write_file、edit_file、multi_edit、apply_patch、delete_file、restore_backup、save_image</w:t>
            </w:r>
          </w:p>
        </w:tc>
      </w:tr>
      <w:tr>
        <w:tc>
          <w:tcPr>
            <w:tcW w:type="dxa" w:w="1871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质量与诊断</w:t>
            </w:r>
          </w:p>
        </w:tc>
        <w:tc>
          <w:tcPr>
            <w:tcW w:type="dxa" w:w="794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180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get_diagnostics</w:t>
            </w:r>
          </w:p>
        </w:tc>
      </w:tr>
      <w:tr>
        <w:tc>
          <w:tcPr>
            <w:tcW w:type="dxa" w:w="1871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Git</w:t>
            </w:r>
          </w:p>
        </w:tc>
        <w:tc>
          <w:tcPr>
            <w:tcW w:type="dxa" w:w="794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180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git_status、git_diff、git_log、git_commit</w:t>
            </w:r>
          </w:p>
        </w:tc>
      </w:tr>
      <w:tr>
        <w:tc>
          <w:tcPr>
            <w:tcW w:type="dxa" w:w="1871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LSP 语义</w:t>
            </w:r>
          </w:p>
        </w:tc>
        <w:tc>
          <w:tcPr>
            <w:tcW w:type="dxa" w:w="794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6180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get_symbols、go_to_definition、find_references、search_workspace_symbols、rename_symbol</w:t>
            </w:r>
          </w:p>
        </w:tc>
      </w:tr>
      <w:tr>
        <w:tc>
          <w:tcPr>
            <w:tcW w:type="dxa" w:w="1871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命令执行</w:t>
            </w:r>
          </w:p>
        </w:tc>
        <w:tc>
          <w:tcPr>
            <w:tcW w:type="dxa" w:w="794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180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run_command、command_output、kill_command、list_commands</w:t>
            </w:r>
          </w:p>
        </w:tc>
      </w:tr>
      <w:tr>
        <w:tc>
          <w:tcPr>
            <w:tcW w:type="dxa" w:w="1871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网络</w:t>
            </w:r>
          </w:p>
        </w:tc>
        <w:tc>
          <w:tcPr>
            <w:tcW w:type="dxa" w:w="794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180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web_fetch</w:t>
            </w:r>
          </w:p>
        </w:tc>
      </w:tr>
      <w:tr>
        <w:tc>
          <w:tcPr>
            <w:tcW w:type="dxa" w:w="1871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浏览器（CDP）</w:t>
            </w:r>
          </w:p>
        </w:tc>
        <w:tc>
          <w:tcPr>
            <w:tcW w:type="dxa" w:w="794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180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browser_status / launch / tabs / use / open / navigate / eval / text / snapshot / click / fill / press / wait / scroll / screenshot / close_tab</w:t>
            </w:r>
          </w:p>
        </w:tc>
      </w:tr>
    </w:tbl>
    <w:p>
      <w:pPr>
        <w:spacing w:after="40"/>
      </w:pPr>
    </w:p>
    <w:p>
      <w:pPr>
        <w:spacing w:before="0" w:after="160" w:line="348" w:lineRule="auto"/>
        <w:ind w:firstLine="420"/>
      </w:pPr>
      <w:r>
        <w:rPr>
          <w:rFonts w:ascii="微软雅黑" w:hAnsi="微软雅黑" w:eastAsia="微软雅黑"/>
          <w:b w:val="0"/>
          <w:color w:val="666666"/>
          <w:sz w:val="18"/>
        </w:rPr>
        <w:t>说明：服务端未提供 resources 与 prompts（均返回空数组），全部能力集中在 tools 上。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③ 使用规则固化（12 条硬约束）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为让后续任何人接手都能一次做对，将易踩的坑写成硬约束，其中影响最大的几条：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1. 连接后必须先 bridge_info 校验版本，避免连到缺少 save_image / regex 编辑的旧服务。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2. 改动闭环固定为：list_files → read_file / get_symbols → edit_file / multi_edit / apply_patch → get_diagnostics 复查；诊断只是快照，不等于构建通过，必须再用 run_command 实跑验证。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3. 跨文件重命名一律用 rename_symbol（LSP），禁止 search + replace 手搓；找符号用 LSP，找文本才用 search_code。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4. 长命令走会话机制：run_command（wait_sec ≤ 60）→ command_output（wait_ms ≤ 50000）→ 必要时 kill_command，避免卡死。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5. 错误不以 JSON-RPC error 返回，而是 result.isError = true 加中文文本；每次调用必须先判 isError，否则会把报错当正常输出继续跑。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6. 图片只能走 save_image（Base64 或公网 HTTPS，单张 ≤ 6 MiB）；未拿到返回的成功路径前不得声称已保存。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7. 只在本人在场且明确要求时才执行 git_commit；命令执行不是沙箱，直接落在真实机器上。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④ 环境发现：两个必须提前知道的坑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/>
          <w:color w:val="C00000"/>
          <w:sz w:val="21"/>
        </w:rPr>
        <w:t>坑一 · 远端目录不是 git 仓库。</w:t>
      </w:r>
      <w:r>
        <w:rPr>
          <w:rFonts w:ascii="微软雅黑" w:hAnsi="微软雅黑" w:eastAsia="微软雅黑"/>
          <w:b w:val="0"/>
          <w:sz w:val="21"/>
        </w:rPr>
        <w:t>git_status 直接返回 exit 128，四个 git_* 工具在该工作区全部不可用，改动没有 git 回滚兜底，只能依赖工具内置的自动备份用 restore_backup 恢复。上层流程若依赖 git 做变更管控，需要先补 git init。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/>
          <w:color w:val="C00000"/>
          <w:sz w:val="21"/>
        </w:rPr>
        <w:t>坑二 · 工作区其实就是 arena-bridge 自身源码。</w:t>
      </w:r>
      <w:r>
        <w:rPr>
          <w:rFonts w:ascii="微软雅黑" w:hAnsi="微软雅黑" w:eastAsia="微软雅黑"/>
          <w:b w:val="0"/>
          <w:sz w:val="21"/>
        </w:rPr>
        <w:t>该目录即扩展源码：src/server.ts（1652 行，工具定义在 L1233、写操作白名单在 L1315、分发 switch 在 L1339、instructions 在 L1395）、src/browser.ts（870）、src/extension.ts（448）、src/image.ts（264）、src/tunnel.ts（200）。因此修改源码不会立刻影响运行中的服务 —— 必须重新 tsc 编译并重装 vsix，否则会话里的 49 个工具行为不会变。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⑤ 交付物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docs/mcp-arena-bridge.md（157 行）：端点与握手、环境快照、返回与错误约定、12 条硬约束、49 工具清单 + 关键参数速查表、复连检查清单。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分支 cline/y7w3daqz，commit 01edbc8，已推送远端，可直接发起 PR 复审。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本地探测脚本 .mcp-probe/mcp.sh，封装 init / tools / resources / prompts / raw 五个子命令，已加入 .gitignore。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2.2  Cline Cloud 云端代理模式调研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调研 Cline 新上线的 Cloud 形态，核心是判断「把任务完全交给云端沙箱」是否适合纳入我们的交付流程。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产品定位：Cline Cloud 对所有 Cline 用户开放，主标语 “Close your laptop. Cline keeps working.”，即合上电脑任务继续跑。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工作方式：在浏览器里把任务交给 Cline，它在自己的云沙箱里执行，过程中持续往分支推送，最后交付一个分支或 PR 供人复审。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使用门槛：无需安装，浏览器即可发起，移动端可用，并提供免费模型额度。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对我们的启发：这与今天打通的本地 MCP 桥形成互补 —— 本地桥解决「智能体够得着我的机器」，云代理解决「机器关机了任务还在跑」。短周期、需要本地环境（内网、私钥、真实浏览器登录态）的任务仍应走本地桥；长周期、纯代码改造类任务可考虑云沙箱，两者都以「分支 / PR」作为交付边界，人始终在合并环节把关。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2.3  arena.ai Agent Mode 实跑：《海外 AI 免费额度清单》第二部分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用 arena.ai 的 Agent Mode（本次选中模型 kimi-k3）做一次真实产出验证，产物为 overseas-ai-free-credits-2026-10-part2.md，主题是 2026 年 10 月海外 AI 工具的免费额度现状。产出结构与要点如下。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① 真正「无限量」的一档：本地 / 离线部署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Ollama、LM Studio、KoboldCpp、SillyTavern、FreedomGPT、n8n、Whisper、SD 3.5。结论是：有 GPU 的话这一档才是不受 credits 卡脖子的路径；其中 FreedomGPT 完全离线、零数据外发、无用量上限。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② 2026 年 10 月新出的五个工具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Lexmount：面向 agent 的云浏览器，免费 10 小时/月 + 1000 次 Web Fetch。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Rystic：用 Stripe / Slack 的本地副本测 agent。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Pomerado：把网站变成 API / MCP。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Ghosthand：让 agent 操作真 iPhone，7 天免费。</w:t>
      </w:r>
    </w:p>
    <w:p>
      <w:pPr>
        <w:spacing w:before="0" w:after="60" w:line="336" w:lineRule="auto"/>
        <w:ind w:left="510" w:hanging="198"/>
      </w:pPr>
      <w:r>
        <w:rPr>
          <w:rFonts w:ascii="微软雅黑" w:hAnsi="微软雅黑" w:eastAsia="微软雅黑"/>
          <w:sz w:val="21"/>
        </w:rPr>
        <w:t>• zCAD：文字转 CAD，beta 期间免费。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③ 三个已经变了的地方（重点风险提示）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1. Cursor 免费档缩水 —— 2026 年 10 月起只剩 Grok 可用。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2. Kling 免费档已取消每日 credits，只剩注册赠送 + 促销，且导出必带水印。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3. 各榜单上的免费条数互相矛盾 —— Claude / ChatGPT 等厂商本就未公开口径，不能按第三方数字做规划，必须自己去产品页看实时余额。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color w:val="1A1A1A"/>
          <w:sz w:val="23"/>
        </w:rPr>
        <w:t>④ AI 检索 / 深度研究工具横向对比（节选）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402"/>
      </w:tblGrid>
      <w:tr>
        <w:tc>
          <w:tcPr>
            <w:tcW w:type="dxa" w:w="2268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3175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免费情况</w:t>
            </w:r>
          </w:p>
        </w:tc>
        <w:tc>
          <w:tcPr>
            <w:tcW w:type="dxa" w:w="3402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亮点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Perplexity Deep Research</w:t>
            </w:r>
          </w:p>
        </w:tc>
        <w:tc>
          <w:tcPr>
            <w:tcW w:type="dxa" w:w="3175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 次/天免费</w:t>
            </w:r>
          </w:p>
        </w:tc>
        <w:tc>
          <w:tcPr>
            <w:tcW w:type="dxa" w:w="3402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引用最充分的免费深度研究</w:t>
            </w:r>
          </w:p>
        </w:tc>
      </w:tr>
      <w:tr>
        <w:tc>
          <w:tcPr>
            <w:tcW w:type="dxa" w:w="2268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ChatGPT Deep Research</w:t>
            </w:r>
          </w:p>
        </w:tc>
        <w:tc>
          <w:tcPr>
            <w:tcW w:type="dxa" w:w="3175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免费档少量轻量运行（Pro 250 次/月）</w:t>
            </w:r>
          </w:p>
        </w:tc>
        <w:tc>
          <w:tcPr>
            <w:tcW w:type="dxa" w:w="3402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报告最详尽，但慢（5–30 分钟）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Comet 浏览器</w:t>
            </w:r>
          </w:p>
        </w:tc>
        <w:tc>
          <w:tcPr>
            <w:tcW w:type="dxa" w:w="3175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2026-03-18 起完全免费，全平台</w:t>
            </w:r>
          </w:p>
        </w:tc>
        <w:tc>
          <w:tcPr>
            <w:tcW w:type="dxa" w:w="3402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可在当前阅读页面上直接跑 Deep Research</w:t>
            </w:r>
          </w:p>
        </w:tc>
      </w:tr>
      <w:tr>
        <w:tc>
          <w:tcPr>
            <w:tcW w:type="dxa" w:w="2268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Semantic Scholar</w:t>
            </w:r>
          </w:p>
        </w:tc>
        <w:tc>
          <w:tcPr>
            <w:tcW w:type="dxa" w:w="3175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全平台免费，免费 API（100 req/5min）</w:t>
            </w:r>
          </w:p>
        </w:tc>
        <w:tc>
          <w:tcPr>
            <w:tcW w:type="dxa" w:w="3402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索引 2 亿+ 论文，学术首选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Elicit</w:t>
            </w:r>
          </w:p>
        </w:tc>
        <w:tc>
          <w:tcPr>
            <w:tcW w:type="dxa" w:w="3175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免费档可筛 4 万篇论文</w:t>
            </w:r>
          </w:p>
        </w:tc>
        <w:tc>
          <w:tcPr>
            <w:tcW w:type="dxa" w:w="3402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抽取结构化证据，学术综述最佳</w:t>
            </w:r>
          </w:p>
        </w:tc>
      </w:tr>
      <w:tr>
        <w:tc>
          <w:tcPr>
            <w:tcW w:type="dxa" w:w="2268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Consensus</w:t>
            </w:r>
          </w:p>
        </w:tc>
        <w:tc>
          <w:tcPr>
            <w:tcW w:type="dxa" w:w="3175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每月数次 Deep Search 免费</w:t>
            </w:r>
          </w:p>
        </w:tc>
        <w:tc>
          <w:tcPr>
            <w:tcW w:type="dxa" w:w="3402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同行评议文献，2.5 亿+ 论文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Connected Papers</w:t>
            </w:r>
          </w:p>
        </w:tc>
        <w:tc>
          <w:tcPr>
            <w:tcW w:type="dxa" w:w="3175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每月 5 张文献图谱免费</w:t>
            </w:r>
          </w:p>
        </w:tc>
        <w:tc>
          <w:tcPr>
            <w:tcW w:type="dxa" w:w="3402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关系图谱可视化</w:t>
            </w:r>
          </w:p>
        </w:tc>
      </w:tr>
      <w:tr>
        <w:tc>
          <w:tcPr>
            <w:tcW w:type="dxa" w:w="2268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Felo</w:t>
            </w:r>
          </w:p>
        </w:tc>
        <w:tc>
          <w:tcPr>
            <w:tcW w:type="dxa" w:w="3175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免费档可用（Pro $9.99/月）</w:t>
            </w:r>
          </w:p>
        </w:tc>
        <w:tc>
          <w:tcPr>
            <w:tcW w:type="dxa" w:w="3402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跨语言检索 + AI 摘要，为差异化功能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Exa</w:t>
            </w:r>
          </w:p>
        </w:tc>
        <w:tc>
          <w:tcPr>
            <w:tcW w:type="dxa" w:w="3175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有免费层</w:t>
            </w:r>
          </w:p>
        </w:tc>
        <w:tc>
          <w:tcPr>
            <w:tcW w:type="dxa" w:w="3402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神经检索 API，&lt; 200ms，对 agent 友好</w:t>
            </w:r>
          </w:p>
        </w:tc>
      </w:tr>
      <w:tr>
        <w:tc>
          <w:tcPr>
            <w:tcW w:type="dxa" w:w="2268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Andi</w:t>
            </w:r>
          </w:p>
        </w:tc>
        <w:tc>
          <w:tcPr>
            <w:tcW w:type="dxa" w:w="3175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免账号、无广告</w:t>
            </w:r>
          </w:p>
        </w:tc>
        <w:tc>
          <w:tcPr>
            <w:tcW w:type="dxa" w:w="3402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对话式搜索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Firecrawl</w:t>
            </w:r>
          </w:p>
        </w:tc>
        <w:tc>
          <w:tcPr>
            <w:tcW w:type="dxa" w:w="3175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1000 credits/月</w:t>
            </w:r>
          </w:p>
        </w:tc>
        <w:tc>
          <w:tcPr>
            <w:tcW w:type="dxa" w:w="3402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抓取 + 研究索引（arXiv + 代码）</w:t>
            </w:r>
          </w:p>
        </w:tc>
      </w:tr>
      <w:tr>
        <w:tc>
          <w:tcPr>
            <w:tcW w:type="dxa" w:w="2268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Scite</w:t>
            </w:r>
          </w:p>
        </w:tc>
        <w:tc>
          <w:tcPr>
            <w:tcW w:type="dxa" w:w="3175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有免费层</w:t>
            </w:r>
          </w:p>
        </w:tc>
        <w:tc>
          <w:tcPr>
            <w:tcW w:type="dxa" w:w="3402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检测引用幻觉（16 亿+ 引用分类）</w:t>
            </w:r>
          </w:p>
        </w:tc>
      </w:tr>
    </w:tbl>
    <w:p>
      <w:pPr>
        <w:spacing w:after="40"/>
      </w:pP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下一步待决策：是否将「通用清单」与「深度研究清单」两份合并为一份总表，或改按实际用途（写代码 / 写文案 / 出图 / 做 agent）重新裁剪一版。</w:t>
      </w:r>
    </w:p>
    <w:p>
      <w:pPr>
        <w:pStyle w:val="Heading1"/>
        <w:keepNext/>
        <w:spacing w:before="320" w:after="140"/>
        <w:pBdr>
          <w:bottom w:val="single" w:sz="6" w:space="3" w:color="2F5BD8"/>
        </w:pBdr>
      </w:pPr>
      <w:r>
        <w:rPr>
          <w:rFonts w:ascii="微软雅黑" w:hAnsi="微软雅黑" w:eastAsia="微软雅黑"/>
          <w:b/>
          <w:color w:val="2F5BD8"/>
          <w:sz w:val="28"/>
        </w:rPr>
        <w:t>三、问题与风险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835"/>
        <w:gridCol w:w="2494"/>
        <w:gridCol w:w="2948"/>
      </w:tblGrid>
      <w:tr>
        <w:tc>
          <w:tcPr>
            <w:tcW w:type="dxa" w:w="680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835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94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948"/>
            <w:shd w:val="clear" w:color="auto" w:fill="2F5BD8"/>
          </w:tcPr>
          <w:p>
            <w:pPr>
              <w:spacing w:after="20" w:before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应对措施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远端工作区无 git 仓库，git_* 工具不可用</w:t>
            </w:r>
          </w:p>
        </w:tc>
        <w:tc>
          <w:tcPr>
            <w:tcW w:type="dxa" w:w="2494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改动无版本回滚，变更不可审计</w:t>
            </w:r>
          </w:p>
        </w:tc>
        <w:tc>
          <w:tcPr>
            <w:tcW w:type="dxa" w:w="2948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改动前依赖工具自动备份；如需长期使用建议先 git init 并建立提交规范</w:t>
            </w:r>
          </w:p>
        </w:tc>
      </w:tr>
      <w:tr>
        <w:tc>
          <w:tcPr>
            <w:tcW w:type="dxa" w:w="680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835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改源码不会即时生效（需 tsc + 重装 vsix）</w:t>
            </w:r>
          </w:p>
        </w:tc>
        <w:tc>
          <w:tcPr>
            <w:tcW w:type="dxa" w:w="2494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易误判「改了但没效果」</w:t>
            </w:r>
          </w:p>
        </w:tc>
        <w:tc>
          <w:tcPr>
            <w:tcW w:type="dxa" w:w="2948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变更后固定执行编译与重装，并回归验证工具清单为 49 个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MCP 会话随时可能过期</w:t>
            </w:r>
          </w:p>
        </w:tc>
        <w:tc>
          <w:tcPr>
            <w:tcW w:type="dxa" w:w="2494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调用中断</w:t>
            </w:r>
          </w:p>
        </w:tc>
        <w:tc>
          <w:tcPr>
            <w:tcW w:type="dxa" w:w="2948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脚本内置 init 子命令，失败即重建会话；关键操作幂等化</w:t>
            </w:r>
          </w:p>
        </w:tc>
      </w:tr>
      <w:tr>
        <w:tc>
          <w:tcPr>
            <w:tcW w:type="dxa" w:w="680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835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命令执行不是沙箱，权限全开</w:t>
            </w:r>
          </w:p>
        </w:tc>
        <w:tc>
          <w:tcPr>
            <w:tcW w:type="dxa" w:w="2494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误操作直接影响真机</w:t>
            </w:r>
          </w:p>
        </w:tc>
        <w:tc>
          <w:tcPr>
            <w:tcW w:type="dxa" w:w="2948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破坏性命令先确认；写入 / 删除依赖自动备份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第三方免费额度数字不可信</w:t>
            </w:r>
          </w:p>
        </w:tc>
        <w:tc>
          <w:tcPr>
            <w:tcW w:type="dxa" w:w="2494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按错误数字做容量规划</w:t>
            </w:r>
          </w:p>
        </w:tc>
        <w:tc>
          <w:tcPr>
            <w:tcW w:type="dxa" w:w="2948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改为以产品页实时余额为准，第三方榜单仅作线索</w:t>
            </w:r>
          </w:p>
        </w:tc>
      </w:tr>
      <w:tr>
        <w:tc>
          <w:tcPr>
            <w:tcW w:type="dxa" w:w="680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2835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过程截图未随文档自动归档（图像字节未落入工作区）</w:t>
            </w:r>
          </w:p>
        </w:tc>
        <w:tc>
          <w:tcPr>
            <w:tcW w:type="dxa" w:w="2494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归档件缺图</w:t>
            </w:r>
          </w:p>
        </w:tc>
        <w:tc>
          <w:tcPr>
            <w:tcW w:type="dxa" w:w="2948"/>
            <w:shd w:val="clear" w:color="auto" w:fill="F2F5FD"/>
          </w:tcPr>
          <w:p>
            <w:pPr>
              <w:spacing w:after="20" w:before="20" w:line="276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第五节已预留 3 个取景框与图注，粘贴截图即可定稿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40"/>
        <w:pBdr>
          <w:bottom w:val="single" w:sz="6" w:space="3" w:color="2F5BD8"/>
        </w:pBdr>
      </w:pPr>
      <w:r>
        <w:rPr>
          <w:rFonts w:ascii="微软雅黑" w:hAnsi="微软雅黑" w:eastAsia="微软雅黑"/>
          <w:b/>
          <w:color w:val="2F5BD8"/>
          <w:sz w:val="28"/>
        </w:rPr>
        <w:t>四、明日计划（10 月 30 日）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1. 把 3 张过程截图粘贴进日报取景框并定稿，交部门归档。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2. MCP 侧：为远端工作区补 git init 与 .gitignore，把「自动备份 + 提交规范」补齐，消除无回滚风险。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3. MCP 侧：把 12 条硬约束写入团队 AGENTS 规则文件，让接手人不必读文档也能照做。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4. Cline Cloud：用一个真实的小需求做端到端试点（派单 → 云沙箱 → 分支 / PR），评估是否纳入常规交付流程。</w:t>
      </w:r>
    </w:p>
    <w:p>
      <w:pPr>
        <w:spacing w:before="0" w:after="60" w:line="336" w:lineRule="auto"/>
        <w:ind w:left="567" w:hanging="255"/>
      </w:pPr>
      <w:r>
        <w:rPr>
          <w:rFonts w:ascii="微软雅黑" w:hAnsi="微软雅黑" w:eastAsia="微软雅黑"/>
          <w:sz w:val="21"/>
        </w:rPr>
        <w:t>5. arena.ai 产物：与需求方确认「合并总表」还是「按用途分版」，定稿后转成团队内部速查页。</w:t>
      </w:r>
    </w:p>
    <w:p>
      <w:pPr>
        <w:pStyle w:val="Heading1"/>
        <w:keepNext/>
        <w:spacing w:before="320" w:after="140"/>
        <w:pBdr>
          <w:bottom w:val="single" w:sz="6" w:space="3" w:color="2F5BD8"/>
        </w:pBdr>
      </w:pPr>
      <w:r>
        <w:rPr>
          <w:rFonts w:ascii="微软雅黑" w:hAnsi="微软雅黑" w:eastAsia="微软雅黑"/>
          <w:b/>
          <w:color w:val="2F5BD8"/>
          <w:sz w:val="28"/>
        </w:rPr>
        <w:t>五、过程截图</w:t>
      </w:r>
    </w:p>
    <w:p>
      <w:pPr>
        <w:spacing w:before="0" w:after="80" w:line="348" w:lineRule="auto"/>
        <w:ind w:firstLine="420"/>
      </w:pPr>
      <w:r>
        <w:rPr>
          <w:rFonts w:ascii="微软雅黑" w:hAnsi="微软雅黑" w:eastAsia="微软雅黑"/>
          <w:b w:val="0"/>
          <w:color w:val="666666"/>
          <w:sz w:val="18"/>
        </w:rPr>
        <w:t>以下截图按工作发生顺序排列。请把对应截图直接粘贴进虚线框，图注与编号已排好。</w:t>
      </w:r>
    </w:p>
    <w:tbl>
      <w:tblPr>
        <w:tblW w:type="auto" w:w="0"/>
        <w:jc w:val="center"/>
        <w:tblBorders>
          <w:top w:val="dashed" w:sz="8" w:space="0" w:color="AEB6CC"/>
          <w:left w:val="dashed" w:sz="8" w:space="0" w:color="AEB6CC"/>
          <w:bottom w:val="dashed" w:sz="8" w:space="0" w:color="AEB6CC"/>
          <w:right w:val="dashed" w:sz="8" w:space="0" w:color="AEB6CC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8787"/>
      </w:tblGrid>
      <w:tr>
        <w:trPr>
          <w:trHeight w:val="5102" w:hRule="atLeast"/>
        </w:trPr>
        <w:tc>
          <w:tcPr>
            <w:tcW w:type="dxa" w:w="87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color w:val="8A92A8"/>
                <w:sz w:val="18"/>
              </w:rPr>
              <w:t>在框内粘贴截图</w:t>
            </w:r>
          </w:p>
          <w:p>
            <w:pPr>
              <w:spacing w:before="0" w:after="40"/>
              <w:jc w:val="center"/>
            </w:pPr>
            <w:r>
              <w:rPr>
                <w:rFonts w:ascii="微软雅黑" w:hAnsi="微软雅黑" w:eastAsia="微软雅黑"/>
                <w:color w:val="A8AEC0"/>
                <w:sz w:val="16"/>
              </w:rPr>
              <w:t>（约 15.5 × 9.0 cm，粘贴后框会自动撑开）</w:t>
            </w:r>
          </w:p>
        </w:tc>
      </w:tr>
    </w:tbl>
    <w:p>
      <w:pPr>
        <w:spacing w:before="80" w:after="240"/>
        <w:jc w:val="center"/>
      </w:pPr>
      <w:r>
        <w:rPr>
          <w:rFonts w:ascii="微软雅黑" w:hAnsi="微软雅黑" w:eastAsia="微软雅黑"/>
          <w:color w:val="666666"/>
          <w:sz w:val="18"/>
        </w:rPr>
        <w:t>图 1　MCP 接入结论：使用规则确认与重要环境发现（arena-bridge，49 个工具）</w:t>
      </w:r>
    </w:p>
    <w:tbl>
      <w:tblPr>
        <w:tblW w:type="auto" w:w="0"/>
        <w:jc w:val="center"/>
        <w:tblBorders>
          <w:top w:val="dashed" w:sz="8" w:space="0" w:color="AEB6CC"/>
          <w:left w:val="dashed" w:sz="8" w:space="0" w:color="AEB6CC"/>
          <w:bottom w:val="dashed" w:sz="8" w:space="0" w:color="AEB6CC"/>
          <w:right w:val="dashed" w:sz="8" w:space="0" w:color="AEB6CC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8787"/>
      </w:tblGrid>
      <w:tr>
        <w:trPr>
          <w:trHeight w:val="5102" w:hRule="atLeast"/>
        </w:trPr>
        <w:tc>
          <w:tcPr>
            <w:tcW w:type="dxa" w:w="87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color w:val="8A92A8"/>
                <w:sz w:val="18"/>
              </w:rPr>
              <w:t>在框内粘贴截图</w:t>
            </w:r>
          </w:p>
          <w:p>
            <w:pPr>
              <w:spacing w:before="0" w:after="40"/>
              <w:jc w:val="center"/>
            </w:pPr>
            <w:r>
              <w:rPr>
                <w:rFonts w:ascii="微软雅黑" w:hAnsi="微软雅黑" w:eastAsia="微软雅黑"/>
                <w:color w:val="A8AEC0"/>
                <w:sz w:val="16"/>
              </w:rPr>
              <w:t>（约 15.5 × 9.0 cm，粘贴后框会自动撑开）</w:t>
            </w:r>
          </w:p>
        </w:tc>
      </w:tr>
    </w:tbl>
    <w:p>
      <w:pPr>
        <w:spacing w:before="80" w:after="240"/>
        <w:jc w:val="center"/>
      </w:pPr>
      <w:r>
        <w:rPr>
          <w:rFonts w:ascii="微软雅黑" w:hAnsi="微软雅黑" w:eastAsia="微软雅黑"/>
          <w:color w:val="666666"/>
          <w:sz w:val="18"/>
        </w:rPr>
        <w:t>图 2　Cline Cloud 首页：Close your laptop. Cline keeps working.</w:t>
      </w:r>
    </w:p>
    <w:tbl>
      <w:tblPr>
        <w:tblW w:type="auto" w:w="0"/>
        <w:jc w:val="center"/>
        <w:tblBorders>
          <w:top w:val="dashed" w:sz="8" w:space="0" w:color="AEB6CC"/>
          <w:left w:val="dashed" w:sz="8" w:space="0" w:color="AEB6CC"/>
          <w:bottom w:val="dashed" w:sz="8" w:space="0" w:color="AEB6CC"/>
          <w:right w:val="dashed" w:sz="8" w:space="0" w:color="AEB6CC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8787"/>
      </w:tblGrid>
      <w:tr>
        <w:trPr>
          <w:trHeight w:val="5102" w:hRule="atLeast"/>
        </w:trPr>
        <w:tc>
          <w:tcPr>
            <w:tcW w:type="dxa" w:w="87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color w:val="8A92A8"/>
                <w:sz w:val="18"/>
              </w:rPr>
              <w:t>在框内粘贴截图</w:t>
            </w:r>
          </w:p>
          <w:p>
            <w:pPr>
              <w:spacing w:before="0" w:after="40"/>
              <w:jc w:val="center"/>
            </w:pPr>
            <w:r>
              <w:rPr>
                <w:rFonts w:ascii="微软雅黑" w:hAnsi="微软雅黑" w:eastAsia="微软雅黑"/>
                <w:color w:val="A8AEC0"/>
                <w:sz w:val="16"/>
              </w:rPr>
              <w:t>（约 15.5 × 9.0 cm，粘贴后框会自动撑开）</w:t>
            </w:r>
          </w:p>
        </w:tc>
      </w:tr>
    </w:tbl>
    <w:p>
      <w:pPr>
        <w:spacing w:before="80" w:after="240"/>
        <w:jc w:val="center"/>
      </w:pPr>
      <w:r>
        <w:rPr>
          <w:rFonts w:ascii="微软雅黑" w:hAnsi="微软雅黑" w:eastAsia="微软雅黑"/>
          <w:color w:val="666666"/>
          <w:sz w:val="18"/>
        </w:rPr>
        <w:t>图 3　arena.ai Agent Mode 生成《海外 AI 免费额度清单》第二部分（模型：kimi-k3）</w:t>
      </w:r>
    </w:p>
    <w:p>
      <w:pPr>
        <w:spacing w:before="0" w:after="120" w:line="348" w:lineRule="auto"/>
        <w:ind w:firstLine="420"/>
      </w:pPr>
      <w:r>
        <w:rPr>
          <w:rFonts w:ascii="微软雅黑" w:hAnsi="微软雅黑" w:eastAsia="微软雅黑"/>
          <w:b w:val="0"/>
          <w:color w:val="666666"/>
          <w:sz w:val="18"/>
        </w:rPr>
        <w:t>说明：本节共预留 3 个截图位（当前已嵌入 0 张）。将截图直接粘贴进虚线框即可，框体为「最小高度」会自动撑开，图注已排好无需调整；粘贴完成后删除框内两行灰色提示文字即可。</w:t>
      </w:r>
    </w:p>
    <w:sectPr w:rsidR="00FC693F" w:rsidRPr="0006063C" w:rsidSect="00034616">
      <w:footerReference w:type="default" r:id="rId9"/>
      <w:pgSz w:w="11906" w:h="16838"/>
      <w:pgMar w:top="1247" w:right="1474" w:bottom="113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66666"/>
        <w:sz w:val="16"/>
      </w:rPr>
      <w:t>2026-10-29 工作日报　·　AI 工程组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