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132" w:after="312" w:line="420"/>
        <w:ind w:left="0" w:right="0"/>
        <w:jc w:val="left"/>
        <w:rPr>
          <w:color w:val="1a4d8f"/>
        </w:rPr>
      </w:pPr>
      <w:r>
        <w:rPr>
          <w:rFonts w:hint="eastAsia" w:ascii="黑体" w:hAnsi="黑体" w:eastAsia="黑体" w:cs="黑体"/>
          <w:color w:val="1a4d8f"/>
          <w:spacing w:val="43"/>
          <w:sz w:val="24"/>
        </w:rPr>
        <w:t>项目工作文件</w:t>
      </w:r>
    </w:p>
    <w:p w14:paraId="00000002">
      <w:pPr>
        <w:spacing w:before="132" w:after="216" w:line="336"/>
        <w:ind w:left="0" w:right="0"/>
        <w:jc w:val="left"/>
        <w:rPr>
          <w:color w:val="12294a"/>
        </w:rPr>
      </w:pPr>
      <w:r>
        <w:rPr>
          <w:rFonts w:hint="eastAsia" w:ascii="黑体" w:hAnsi="黑体" w:eastAsia="黑体" w:cs="黑体"/>
          <w:b w:val="1"/>
          <w:color w:val="12294a"/>
          <w:sz w:val="60"/>
        </w:rPr>
        <w:t>桥式卸船机防摇实验台</w:t>
      </w:r>
      <w:r>
        <w:br w:type="textWrapping"/>
      </w:r>
      <w:r>
        <w:rPr>
          <w:rFonts w:hint="eastAsia" w:ascii="黑体" w:hAnsi="黑体" w:eastAsia="黑体" w:cs="黑体"/>
          <w:b w:val="1"/>
          <w:color w:val="12294a"/>
          <w:sz w:val="60"/>
        </w:rPr>
        <w:t>工作任务书</w:t>
      </w:r>
    </w:p>
    <w:p w14:paraId="00000003">
      <w:pPr>
        <w:spacing w:before="132" w:after="576" w:line="420"/>
        <w:ind w:left="0" w:right="0"/>
        <w:jc w:val="left"/>
        <w:rPr>
          <w:color w:val="4a5a6e"/>
        </w:rPr>
      </w:pPr>
      <w:r>
        <w:rPr>
          <w:rFonts w:hint="eastAsia" w:ascii="宋体" w:hAnsi="宋体" w:eastAsia="宋体" w:cs="宋体"/>
          <w:color w:val="4a5a6e"/>
          <w:sz w:val="28"/>
        </w:rPr>
        <w:t>从平台调试到论文定稿的工作分解与进度安排</w:t>
      </w:r>
    </w:p>
    <w:p w14:paraId="00000004">
      <w:pPr>
        <w:spacing w:before="132" w:after="132" w:line="480"/>
        <w:ind w:left="0" w:right="0" w:firstLine="480"/>
        <w:jc w:val="left"/>
        <w:rPr>
          <w:color w:val="6b7684"/>
        </w:rPr>
      </w:pPr>
      <w:r>
        <w:rPr>
          <w:rFonts w:hint="eastAsia" w:ascii="宋体" w:hAnsi="宋体" w:eastAsia="宋体" w:cs="宋体"/>
          <w:color w:val="6b7684"/>
          <w:sz w:val="21"/>
        </w:rPr>
        <w:t>适用范围：视觉检测定位、防摇控制策略、实验研究三部分</w:t>
      </w:r>
    </w:p>
    <w:p w14:paraId="00000005">
      <w:pPr>
        <w:spacing w:before="132" w:after="132" w:line="480"/>
        <w:ind w:left="0" w:right="0" w:firstLine="480"/>
        <w:jc w:val="left"/>
        <w:rPr>
          <w:color w:val="6b768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b7684"/>
          <w:sz w:val="21"/>
        </w:rPr>
        <w:t>编制日期：2026 年 10 月 27 日</w:t>
      </w:r>
    </w:p>
    <w:p w14:paraId="00000006">
      <w:pPr>
        <w:spacing w:before="240" w:after="120"/>
      </w:pPr>
      <w:r>
        <w:rPr>
          <w:rFonts w:hint="eastAsia"/>
          <w:b w:val="1"/>
        </w:rPr>
        <w:t>目　录</w:t>
      </w:r>
    </w:p>
    <w:p w14:paraId="00000007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二、现状盘点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　已完成工作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　尚存缺口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三、实施路径与里程碑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　阶段一：平台基础夯实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　阶段二：视觉检测与定位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　阶段三：防摇控制策略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　阶段四：实验研究与数据分析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3.5　里程碑汇总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四、关键任务明细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　脉冲当量标定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　回零流程验证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　数据集采集与标注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　GDD-YOLO 模型训练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　视觉定位链路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4.6　摆角提取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"section-4-7" </w:instrText>
      </w:r>
      <w:r>
        <w:fldChar w:fldCharType="separate" w:fldLock="0" w:dirty="0"/>
      </w:r>
      <w:r>
        <w:rPr>
          <w:rFonts w:hint="eastAsia"/>
        </w:rPr>
        <w:t>4.7　动力学建模与滑模控制设计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"section-4-8" </w:instrText>
      </w:r>
      <w:r>
        <w:fldChar w:fldCharType="separate" w:fldLock="0" w:dirty="0"/>
      </w:r>
      <w:r>
        <w:rPr>
          <w:rFonts w:hint="eastAsia"/>
        </w:rPr>
        <w:t>4.8　PSO-WOA 混合优化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"section-4-9" </w:instrText>
      </w:r>
      <w:r>
        <w:fldChar w:fldCharType="separate" w:fldLock="0" w:dirty="0"/>
      </w:r>
      <w:r>
        <w:rPr>
          <w:rFonts w:hint="eastAsia"/>
        </w:rPr>
        <w:t>4.9　跨语言架构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五、资源与技术条件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　硬件条件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　软件条件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2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　工期估算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七、预期产出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八、检查清单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2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23">
      <w:pPr>
        <w:pStyle w:val="000006"/>
        <w:keepNext w:val="1"/>
        <w:keepLines w:val="1"/>
        <w:pBdr>
          <w:bottom w:val="single" w:color="1a4d8f" w:sz="12" w:space="4"/>
        </w:pBdr>
        <w:spacing w:before="0" w:beforeAutospacing="1" w:after="384" w:afterAutospacing="1" w:line="420"/>
        <w:ind w:left="0" w:right="0"/>
        <w:jc w:val="center"/>
        <w:outlineLvl w:val="0"/>
        <w:rPr>
          <w:color w:val="12294a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2294a"/>
          <w:sz w:val="32"/>
        </w:rPr>
        <w:t>桥式卸船机防摇实验台工作任务书</w:t>
      </w:r>
    </w:p>
    <w:p w14:paraId="00000024">
      <w:pPr>
        <w:pBdr>
          <w:left w:val="single" w:color="1a4d8f" w:sz="24"/>
        </w:pBdr>
        <w:shd w:val="clear" w:fill="e8eef6"/>
        <w:spacing w:before="132" w:after="132" w:line="420"/>
        <w:ind w:left="0" w:right="0"/>
        <w:rPr>
          <w:color w:val="12294a"/>
        </w:rPr>
      </w:pPr>
      <w:r>
        <w:rPr>
          <w:rFonts w:hint="eastAsia" w:ascii="黑体" w:hAnsi="黑体" w:eastAsia="黑体" w:cs="黑体"/>
          <w:color w:val="12294a"/>
          <w:sz w:val="27"/>
        </w:rPr>
        <w:t>执行摘要</w:t>
      </w:r>
    </w:p>
    <w:p w14:paraId="00000025">
      <w:pPr>
        <w:pBdr>
          <w:left w:val="single" w:color="1a4d8f" w:sz="24"/>
        </w:pBdr>
        <w:shd w:val="clear" w:fill="e8eef6"/>
        <w:spacing w:before="0" w:after="384" w:line="408"/>
        <w:ind w:left="0" w:right="0"/>
        <w:rPr>
          <w:color w:val="3a4656"/>
        </w:rPr>
      </w:pPr>
      <w:r>
        <w:rPr>
          <w:rFonts w:hint="eastAsia" w:ascii="宋体" w:hAnsi="宋体" w:eastAsia="宋体" w:cs="宋体"/>
          <w:color w:val="3a4656"/>
          <w:sz w:val="21"/>
        </w:rPr>
        <w:t>实验台上位机已实现两轴点动、限位保护、原点采集与回零功能，平台骨架具备，整体进度约百分之十五。距离论文完成尚有三块工作：一是视觉检测与定位，需完成数据集构建、轻量化模型训练与三维坐标解算；二是防摇控制策略，需完成单摆建模、滑模与 RBF 补偿设计、PSO-WOA 参数整定及仿真验证；三是实验研究，需完成三组对比实验与数据分析。全流程约需十三至十五周，其中脉冲当量标定与跨语言架构确认两项为全局前置条件，应优先完成。</w:t>
      </w:r>
    </w:p>
    <w:p w14:paraId="00000026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2294a"/>
          <w:sz w:val="32"/>
        </w:rPr>
        <w:t>一、项目背景与目标</w:t>
      </w:r>
      <w:bookmarkEnd w:id="1"/>
    </w:p>
    <w:p w14:paraId="00000027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项目以桥式卸船机为研究对象，围绕“视觉检测定位—防摇控制策略—实验验证”三条主线，完成实验台搭建、算法研究与论文撰写工作。论文章节划分为三部分：第三章为基于机器视觉的检测与定位，第四章为基于 RBF 神经网络补偿的滑模自适应防摇策略，第五章为防摇实验研究。</w:t>
      </w:r>
    </w:p>
    <w:p w14:paraId="00000028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实验台硬件由运动控制卡、两轴执行机构、深度相机与电源系统构成。运动控制卡为博派科技 ETH_NEC_NLM 两轴型号，通过以太网与上位机通讯；轴一为直线模组，配 57 步进电机与 HB808C 驱动器；轴二为 42 步进电机，配 TB6600 驱动器；视觉传感器为 Intel RealSense D415 深度相机。轴一两端各设一个常闭式光电限位，原点开关接入零位输入 Home1，轴二暂无外部检测信号。</w:t>
      </w:r>
    </w:p>
    <w:p w14:paraId="00000029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截至当前，上位机程序已实现运动控制卡的打开与关闭、两轴点动与连续运动、限位检测与方向互锁、原点信号显示以及回零与位置清零功能，界面采用 WinForms 设计器构建。按论文整体要求衡量，目前完成度约为百分之十五：控制层骨架已具备，视觉、算法与实验数据三部分尚待开展。</w:t>
      </w:r>
    </w:p>
    <w:p w14:paraId="0000002A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本任务书的目标是明确从现在到论文定稿需要完成的全部工作，给出阶段划分、里程碑节点、任务明细、资源需求与风险应对，作为后续推进的检查依据。</w:t>
      </w:r>
    </w:p>
    <w:p w14:paraId="0000002B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12294a"/>
          <w:sz w:val="32"/>
        </w:rPr>
        <w:t>二、现状盘点</w:t>
      </w:r>
      <w:bookmarkEnd w:id="2"/>
    </w:p>
    <w:p w14:paraId="0000002C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现状按已完成与待补齐两部分盘点。前者说明平台当前具备的能力，后者说明影响后续推进的关键缺口。</w:t>
      </w:r>
    </w:p>
    <w:p w14:paraId="0000002D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3" w:name="section-2-1"/>
      <w:r>
        <w:rPr>
          <w:rFonts w:hint="eastAsia" w:ascii="黑体" w:hAnsi="黑体" w:eastAsia="黑体" w:cs="黑体"/>
          <w:b w:val="1"/>
          <w:color w:val="1a4d8f"/>
          <w:sz w:val="27"/>
        </w:rPr>
        <w:t>2.1　已完成工作</w:t>
      </w:r>
      <w:bookmarkEnd w:id="3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2325"/>
        <w:gridCol w:w="1162"/>
        <w:gridCol w:w="4155"/>
      </w:tblGrid>
      <w:tr>
        <w:trPr>
          <w:tblHeader w:val="1"/>
        </w:trPr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2E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序号</w:t>
            </w:r>
          </w:p>
        </w:tc>
        <w:tc>
          <w:tcPr>
            <w:tcW w:w="232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2F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工作内容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30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状态</w:t>
            </w:r>
          </w:p>
        </w:tc>
        <w:tc>
          <w:tcPr>
            <w:tcW w:w="415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31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说明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1</w:t>
            </w:r>
          </w:p>
        </w:tc>
        <w:tc>
          <w:tcPr>
            <w:tcW w:w="232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运动控制卡通讯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已完成</w:t>
            </w:r>
          </w:p>
        </w:tc>
        <w:tc>
          <w:tcPr>
            <w:tcW w:w="415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以太网连接，通讯参数已确认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2</w:t>
            </w:r>
          </w:p>
        </w:tc>
        <w:tc>
          <w:tcPr>
            <w:tcW w:w="232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两轴点动与连续运动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已完成</w:t>
            </w:r>
          </w:p>
        </w:tc>
        <w:tc>
          <w:tcPr>
            <w:tcW w:w="415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速度、加减速均可调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3</w:t>
            </w:r>
          </w:p>
        </w:tc>
        <w:tc>
          <w:tcPr>
            <w:tcW w:w="232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限位检测与方向互锁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已完成</w:t>
            </w:r>
          </w:p>
        </w:tc>
        <w:tc>
          <w:tcPr>
            <w:tcW w:w="415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常闭逻辑，单向限制，可反向脱离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4</w:t>
            </w:r>
          </w:p>
        </w:tc>
        <w:tc>
          <w:tcPr>
            <w:tcW w:w="232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3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原点信号采集与显示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已完成</w:t>
            </w:r>
          </w:p>
        </w:tc>
        <w:tc>
          <w:tcPr>
            <w:tcW w:w="415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常开逻辑，接入 Home1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5</w:t>
            </w:r>
          </w:p>
        </w:tc>
        <w:tc>
          <w:tcPr>
            <w:tcW w:w="232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回零与位置清零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代码完成</w:t>
            </w:r>
          </w:p>
        </w:tc>
        <w:tc>
          <w:tcPr>
            <w:tcW w:w="415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尚未实机验证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6</w:t>
            </w:r>
          </w:p>
        </w:tc>
        <w:tc>
          <w:tcPr>
            <w:tcW w:w="232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上位机界面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已完成</w:t>
            </w:r>
          </w:p>
        </w:tc>
        <w:tc>
          <w:tcPr>
            <w:tcW w:w="415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设计器布局，便于后续扩展</w:t>
            </w:r>
          </w:p>
        </w:tc>
      </w:tr>
    </w:tbl>
    <w:p w14:paraId="0000004A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4" w:name="section-2-2"/>
      <w:r>
        <w:rPr>
          <w:rFonts w:hint="eastAsia" w:ascii="黑体" w:hAnsi="黑体" w:eastAsia="黑体" w:cs="黑体"/>
          <w:b w:val="1"/>
          <w:color w:val="1a4d8f"/>
          <w:sz w:val="27"/>
        </w:rPr>
        <w:t>2.2　尚存缺口</w:t>
      </w:r>
      <w:bookmarkEnd w:id="4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2657"/>
        <w:gridCol w:w="4985"/>
      </w:tblGrid>
      <w:tr>
        <w:trPr>
          <w:tblHeader w:val="1"/>
        </w:trPr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4B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序号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4C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缺口</w:t>
            </w:r>
          </w:p>
        </w:tc>
        <w:tc>
          <w:tcPr>
            <w:tcW w:w="49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4D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影响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1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4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脉冲当量未标定</w:t>
            </w:r>
          </w:p>
        </w:tc>
        <w:tc>
          <w:tcPr>
            <w:tcW w:w="49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程序中数值为占位值，所有毫米与速度换算不可信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1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2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回零流程未验证</w:t>
            </w:r>
          </w:p>
        </w:tc>
        <w:tc>
          <w:tcPr>
            <w:tcW w:w="49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坐标系无法建立，实验数据缺乏绝对基准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3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相机未接入</w:t>
            </w:r>
          </w:p>
        </w:tc>
        <w:tc>
          <w:tcPr>
            <w:tcW w:w="49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视觉检测与定位链路完全空白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4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数据集未采集</w:t>
            </w:r>
          </w:p>
        </w:tc>
        <w:tc>
          <w:tcPr>
            <w:tcW w:w="49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目标检测模型无法训练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5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动力学模型未建立</w:t>
            </w:r>
          </w:p>
        </w:tc>
        <w:tc>
          <w:tcPr>
            <w:tcW w:w="49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控制算法无从设计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D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6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跨语言架构未确定</w:t>
            </w:r>
          </w:p>
        </w:tc>
        <w:tc>
          <w:tcPr>
            <w:tcW w:w="49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5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视觉与控制无法联通</w:t>
            </w:r>
          </w:p>
        </w:tc>
      </w:tr>
    </w:tbl>
    <w:p w14:paraId="00000060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5" w:name="section-3"/>
      <w:r>
        <w:rPr>
          <w:rFonts w:hint="eastAsia" w:ascii="黑体" w:hAnsi="黑体" w:eastAsia="黑体" w:cs="黑体"/>
          <w:b w:val="1"/>
          <w:color w:val="12294a"/>
          <w:sz w:val="32"/>
        </w:rPr>
        <w:t>三、实施路径与里程碑</w:t>
      </w:r>
      <w:bookmarkEnd w:id="5"/>
    </w:p>
    <w:p w14:paraId="00000061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整体工作按四个阶段推进，总工期约十二至十四周，其中阶段二与阶段三存在并行空间。</w:t>
      </w:r>
    </w:p>
    <w:p w14:paraId="00000062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6" w:name="section-3-1"/>
      <w:r>
        <w:rPr>
          <w:rFonts w:hint="eastAsia" w:ascii="黑体" w:hAnsi="黑体" w:eastAsia="黑体" w:cs="黑体"/>
          <w:b w:val="1"/>
          <w:color w:val="1a4d8f"/>
          <w:sz w:val="27"/>
        </w:rPr>
        <w:t>3.1　阶段一：平台基础夯实（第 1 至 2 周）</w:t>
      </w:r>
      <w:bookmarkEnd w:id="6"/>
    </w:p>
    <w:p w14:paraId="00000063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本阶段目标是让实验台具备可信的位置基准，是所有后续工作的前提。核心任务包括脉冲当量标定、回零流程验证、机械结构就位与相机安装。</w:t>
      </w:r>
    </w:p>
    <w:p w14:paraId="00000064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阶段验收标准为：指令移动一百毫米，实际位移误差小于一毫米；回零后规划位置稳定归零；相机支架稳固且光轴垂直摆动平面。</w:t>
      </w:r>
    </w:p>
    <w:p w14:paraId="00000065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7" w:name="section-3-2"/>
      <w:r>
        <w:rPr>
          <w:rFonts w:hint="eastAsia" w:ascii="黑体" w:hAnsi="黑体" w:eastAsia="黑体" w:cs="黑体"/>
          <w:b w:val="1"/>
          <w:color w:val="1a4d8f"/>
          <w:sz w:val="27"/>
        </w:rPr>
        <w:t>3.2　阶段二：视觉检测与定位（第 3 至 6 周）</w:t>
      </w:r>
      <w:bookmarkEnd w:id="7"/>
    </w:p>
    <w:p w14:paraId="00000066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本阶段对应论文第三章。工作链条为数据集采集与标注、轻量化检测模型训练、视觉定位系统搭建、精度评价。</w:t>
      </w:r>
    </w:p>
    <w:p w14:paraId="00000067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阶段验收标准为：模型在验证集上的平均精度满足论文要求；目标三维定位残差小于八毫米；摆角测量分辨率优于零点三度。</w:t>
      </w:r>
    </w:p>
    <w:p w14:paraId="00000068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8" w:name="section-3-3"/>
      <w:r>
        <w:rPr>
          <w:rFonts w:hint="eastAsia" w:ascii="黑体" w:hAnsi="黑体" w:eastAsia="黑体" w:cs="黑体"/>
          <w:b w:val="1"/>
          <w:color w:val="1a4d8f"/>
          <w:sz w:val="27"/>
        </w:rPr>
        <w:t>3.3　阶段三：防摇控制策略（第 5 至 10 周）</w:t>
      </w:r>
      <w:bookmarkEnd w:id="8"/>
    </w:p>
    <w:p w14:paraId="00000069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本阶段对应论文第四章。工作内容包括单摆动力学建模、滑模面设计、RBF 神经网络补偿、PSO-WOA 混合优化算法整定参数以及仿真验证。</w:t>
      </w:r>
    </w:p>
    <w:p w14:paraId="0000006A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阶段验收标准为：仿真环境下残余摆角收敛至两度以内；控制量无明显抖振；优化算法收敛曲线完整可复现。</w:t>
      </w:r>
    </w:p>
    <w:p w14:paraId="0000006B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9" w:name="section-3-4"/>
      <w:r>
        <w:rPr>
          <w:rFonts w:hint="eastAsia" w:ascii="黑体" w:hAnsi="黑体" w:eastAsia="黑体" w:cs="黑体"/>
          <w:b w:val="1"/>
          <w:color w:val="1a4d8f"/>
          <w:sz w:val="27"/>
        </w:rPr>
        <w:t>3.4　阶段四：实验研究与数据分析（第 11 至 13 周）</w:t>
      </w:r>
      <w:bookmarkEnd w:id="9"/>
    </w:p>
    <w:p w14:paraId="0000006C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本阶段对应论文第五章。工作内容包括视觉引导方案实现、防摇控制方案落地、多组对比实验与数据分析。</w:t>
      </w:r>
    </w:p>
    <w:p w14:paraId="0000006D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阶段验收标准为：完成无控制、开环整形、本文方法三组对比；数据可支撑论文结论；图表齐全。</w:t>
      </w:r>
    </w:p>
    <w:p w14:paraId="0000006E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0" w:name="section-3-5"/>
      <w:r>
        <w:rPr>
          <w:rFonts w:hint="eastAsia" w:ascii="黑体" w:hAnsi="黑体" w:eastAsia="黑体" w:cs="黑体"/>
          <w:b w:val="1"/>
          <w:color w:val="1a4d8f"/>
          <w:sz w:val="27"/>
        </w:rPr>
        <w:t>3.5　里程碑汇总</w:t>
      </w:r>
      <w:bookmarkEnd w:id="10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6F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里程碑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70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时间节点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71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交付物</w:t>
            </w:r>
          </w:p>
        </w:tc>
      </w:tr>
      <w:tr>
        <w:trPr/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M1　平台就绪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第 2 周末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标定记录表、回零验证记录</w:t>
            </w:r>
          </w:p>
        </w:tc>
      </w:tr>
      <w:tr>
        <w:trPr/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M2　数据集完成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第 4 周末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标注完成的数据集、数据统计表</w:t>
            </w:r>
          </w:p>
        </w:tc>
      </w:tr>
      <w:tr>
        <w:trPr/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M3　模型训练完成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第 6 周末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训练日志、精度对比表</w:t>
            </w:r>
          </w:p>
        </w:tc>
      </w:tr>
      <w:tr>
        <w:trPr/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M4　视觉定位打通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第 7 周末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定位残差表、摆角曲线样张</w:t>
            </w:r>
          </w:p>
        </w:tc>
      </w:tr>
      <w:tr>
        <w:trPr/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M5　控制仿真通过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7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第 10 周末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8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仿真曲线、参数整定报告</w:t>
            </w:r>
          </w:p>
        </w:tc>
      </w:tr>
      <w:tr>
        <w:trPr/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8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M6　实验数据齐备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8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第 13 周末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8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对比实验数据、分析图表</w:t>
            </w:r>
          </w:p>
        </w:tc>
      </w:tr>
      <w:tr>
        <w:trPr/>
        <w:tc>
          <w:tcPr>
            <w:tcW w:w="215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8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M7　论文定稿</w:t>
            </w:r>
          </w:p>
        </w:tc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8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第 15 周末</w:t>
            </w:r>
          </w:p>
        </w:tc>
        <w:tc>
          <w:tcPr>
            <w:tcW w:w="4320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8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论文全文</w:t>
            </w:r>
          </w:p>
        </w:tc>
      </w:tr>
    </w:tbl>
    <w:p w14:paraId="00000087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11" w:name="section-4"/>
      <w:r>
        <w:rPr>
          <w:rFonts w:hint="eastAsia" w:ascii="黑体" w:hAnsi="黑体" w:eastAsia="黑体" w:cs="黑体"/>
          <w:b w:val="1"/>
          <w:color w:val="12294a"/>
          <w:sz w:val="32"/>
        </w:rPr>
        <w:t>四、关键任务明细</w:t>
      </w:r>
      <w:bookmarkEnd w:id="11"/>
    </w:p>
    <w:p w14:paraId="00000088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以下逐项说明各关键任务的具体做法、验收标准与常见问题，可直接作为执行时的操作依据。</w:t>
      </w:r>
    </w:p>
    <w:p w14:paraId="00000089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2" w:name="section-4-1"/>
      <w:r>
        <w:rPr>
          <w:rFonts w:hint="eastAsia" w:ascii="黑体" w:hAnsi="黑体" w:eastAsia="黑体" w:cs="黑体"/>
          <w:b w:val="1"/>
          <w:color w:val="1a4d8f"/>
          <w:sz w:val="27"/>
        </w:rPr>
        <w:t>4.1　脉冲当量标定</w:t>
      </w:r>
      <w:bookmarkEnd w:id="12"/>
    </w:p>
    <w:p w14:paraId="0000008A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这是当前最紧迫的任务，耗时约半天，但决定了后续全部数值的正确性。轴一为直线模组配 57 步进电机，轴二为 42 步进电机，两者步距角通常为一点八度，即每转两百步。</w:t>
      </w:r>
    </w:p>
    <w:p w14:paraId="0000008B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脉冲当量的计算关系为：脉冲当量等于每转步数乘以驱动器细分数，再除以机械导程。其中细分数由驱动器拨码决定，导程由模组丝杠或同步带轮决定，两项均需现场确认。</w:t>
      </w:r>
    </w:p>
    <w:p w14:paraId="0000008C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标定方法为：指令轴移动固定距离，用卷尺测量实际位移，按比例修正程序中数值，重复两次取平均。验收标准为往返三次的偏差均小于一毫米。</w:t>
      </w:r>
    </w:p>
    <w:p w14:paraId="0000008D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需要记录的数据包括：直线模组导程、HB808C 与 TB6600 的细分拨码位置、最终脉冲当量数值。</w:t>
      </w:r>
    </w:p>
    <w:p w14:paraId="0000008E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3" w:name="section-4-2"/>
      <w:r>
        <w:rPr>
          <w:rFonts w:hint="eastAsia" w:ascii="黑体" w:hAnsi="黑体" w:eastAsia="黑体" w:cs="黑体"/>
          <w:b w:val="1"/>
          <w:color w:val="1a4d8f"/>
          <w:sz w:val="27"/>
        </w:rPr>
        <w:t>4.2　回零流程验证</w:t>
      </w:r>
      <w:bookmarkEnd w:id="13"/>
    </w:p>
    <w:p w14:paraId="0000008F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程序中已实现基于零位信号的自动回零，采用找零位方式，流程为快速寻找零位、反向离开、再次寻找、移动偏移量、位置清零。原点开关为常开型，程序中已对输入电平作取反处理。</w:t>
      </w:r>
    </w:p>
    <w:p w14:paraId="00000090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验证要点包括：回零方向是否正确、回零速度是否合适、回零完成后规划位置是否准确归零、重复回零三次的一致性。</w:t>
      </w:r>
    </w:p>
    <w:p w14:paraId="00000091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若回零方向错误，需调整程序中的方向常量；若回零过程中触碰限位，需检查回零起始位置。</w:t>
      </w:r>
    </w:p>
    <w:p w14:paraId="00000092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4" w:name="section-4-3"/>
      <w:r>
        <w:rPr>
          <w:rFonts w:hint="eastAsia" w:ascii="黑体" w:hAnsi="黑体" w:eastAsia="黑体" w:cs="黑体"/>
          <w:b w:val="1"/>
          <w:color w:val="1a4d8f"/>
          <w:sz w:val="27"/>
        </w:rPr>
        <w:t>4.3　数据集采集与标注</w:t>
      </w:r>
      <w:bookmarkEnd w:id="14"/>
    </w:p>
    <w:p w14:paraId="00000093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数据集质量决定检测模型的上限，是本阶段最容易被低估的环节。采集时需让小车在行程范围内多点停留，覆盖不同位置、不同光照条件与不同背景。</w:t>
      </w:r>
    </w:p>
    <w:p w14:paraId="00000094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采集规模建议不少于八百张，按八比一比一划分训练集、验证集与测试集。标注类别建议为两至三类，需覆盖实际检测需求。标注工具可采用 LabelImg 或 Labelme。</w:t>
      </w:r>
    </w:p>
    <w:p w14:paraId="00000095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采集时需注意：避免单一场景导致泛化能力不足；保留一定比例的遮挡样本与边缘样本；记录每张图像的采集位置与光照条件，便于后续分析。</w:t>
      </w:r>
    </w:p>
    <w:p w14:paraId="00000096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5" w:name="section-4-4"/>
      <w:r>
        <w:rPr>
          <w:rFonts w:hint="eastAsia" w:ascii="黑体" w:hAnsi="黑体" w:eastAsia="黑体" w:cs="黑体"/>
          <w:b w:val="1"/>
          <w:color w:val="1a4d8f"/>
          <w:sz w:val="27"/>
        </w:rPr>
        <w:t>4.4　GDD-YOLO 模型训练</w:t>
      </w:r>
      <w:bookmarkEnd w:id="15"/>
    </w:p>
    <w:p w14:paraId="00000097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在基础检测模型上引入轻量化改进，论文需给出改进前后的对比。对比维度包括平均精度、参数量、计算量、推理帧率。</w:t>
      </w:r>
    </w:p>
    <w:p w14:paraId="00000098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训练时需控制变量：同一数据集、同一训练轮次、同一图像尺寸，确保对比结论成立。训练完成后需保存损失曲线与精度曲线，作为论文图表素材。</w:t>
      </w:r>
    </w:p>
    <w:p w14:paraId="00000099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需要重点关注的指标是推理帧率，因为视觉结果要参与实时控制，端到端延迟直接影响控制效果。</w:t>
      </w:r>
    </w:p>
    <w:p w14:paraId="0000009A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6" w:name="section-4-5"/>
      <w:r>
        <w:rPr>
          <w:rFonts w:hint="eastAsia" w:ascii="黑体" w:hAnsi="黑体" w:eastAsia="黑体" w:cs="黑体"/>
          <w:b w:val="1"/>
          <w:color w:val="1a4d8f"/>
          <w:sz w:val="27"/>
        </w:rPr>
        <w:t>4.5　视觉定位链路</w:t>
      </w:r>
      <w:bookmarkEnd w:id="16"/>
    </w:p>
    <w:p w14:paraId="0000009B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该链路包含五个环节：彩色图像输入检测模型得到检测框、深度图对齐至彩色图像坐标系、在检测框内取深度中位数、利用彩色相机内参反投影得到相机坐标、经刚体变换转换为机械坐标。</w:t>
      </w:r>
    </w:p>
    <w:p w14:paraId="0000009C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其中深度对齐环节最易遗漏。D415 的彩色传感器与深度传感器视场不同，未对齐时检测框与深度图像素不匹配，定位误差可达数十厘米。</w:t>
      </w:r>
    </w:p>
    <w:p w14:paraId="0000009D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外参标定建议采用多点拟合方式：让小车依次停留于若干已知位置，记录视觉解算结果，最小二乘拟合线性关系，并给出残差表。该残差表本身即可作为论文第三章的实验数据。</w:t>
      </w:r>
    </w:p>
    <w:p w14:paraId="0000009E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精度评价需包含三项：重投影误差、与位置基准的偏差、同一位置重复测量的标准差。</w:t>
      </w:r>
    </w:p>
    <w:p w14:paraId="0000009F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7" w:name="section-4-6"/>
      <w:r>
        <w:rPr>
          <w:rFonts w:hint="eastAsia" w:ascii="黑体" w:hAnsi="黑体" w:eastAsia="黑体" w:cs="黑体"/>
          <w:b w:val="1"/>
          <w:color w:val="1a4d8f"/>
          <w:sz w:val="27"/>
        </w:rPr>
        <w:t>4.6　摆角提取</w:t>
      </w:r>
      <w:bookmarkEnd w:id="17"/>
    </w:p>
    <w:p w14:paraId="000000A0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摆角是本实验的核心观测量，同时承担评价指标、优化目标、控制反馈与论文图表四项功能。</w:t>
      </w:r>
    </w:p>
    <w:p w14:paraId="000000A1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提取方法为：相机光轴垂直摆动平面，在图像平面内检测吊重标记的质心，计算其相对竖直中心线的像素偏移，乘以标定系数得到摆角。标定系数通过两点法确定，即记录静止位置与已知角度位置的像素坐标，线性拟合求得。</w:t>
      </w:r>
    </w:p>
    <w:p w14:paraId="000000A2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帧率选择建议为 640×480、60 帧每秒。该分辨率下角度分辨率约为零点一度，单个摆动周期可采集约九十个采样点，足以刻画波形峰值。</w:t>
      </w:r>
    </w:p>
    <w:p w14:paraId="000000A3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需记录每帧采集时间戳，与运动指令时间对齐，否则摆角时间曲线将出现错位。</w:t>
      </w:r>
    </w:p>
    <w:p w14:paraId="000000A4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8" w:name="section-4-7"/>
      <w:r>
        <w:rPr>
          <w:rFonts w:hint="eastAsia" w:ascii="黑体" w:hAnsi="黑体" w:eastAsia="黑体" w:cs="黑体"/>
          <w:b w:val="1"/>
          <w:color w:val="1a4d8f"/>
          <w:sz w:val="27"/>
        </w:rPr>
        <w:t>4.7　动力学建模与滑模控制设计</w:t>
      </w:r>
      <w:bookmarkEnd w:id="18"/>
    </w:p>
    <w:p w14:paraId="000000A5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建立小车与吊重组成的单摆系统动力学模型，给出状态空间表达。模型参数中的固有频率与阻尼比通过自由衰减实验辨识：将吊重拉开固定角度释放，记录衰减曲线，由频谱峰值确定固有频率，由相邻波峰幅值比确定阻尼比。</w:t>
      </w:r>
    </w:p>
    <w:p w14:paraId="000000A6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在此基础上设计滑模面与趋近律，引入 RBF 神经网络逼近模型不确定项与外部扰动，构成自适应滑模控制律。</w:t>
      </w:r>
    </w:p>
    <w:p w14:paraId="000000A7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需特别注意角速度的获取方式。直接对摆角差分会产生显著噪声，经滑模开关项放大后表现为抖振，因此必须引入跟踪微分器或卡尔曼滤波进行估计。该项工作应单列小节论述。</w:t>
      </w:r>
    </w:p>
    <w:p w14:paraId="000000A8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19" w:name="section-4-8"/>
      <w:r>
        <w:rPr>
          <w:rFonts w:hint="eastAsia" w:ascii="黑体" w:hAnsi="黑体" w:eastAsia="黑体" w:cs="黑体"/>
          <w:b w:val="1"/>
          <w:color w:val="1a4d8f"/>
          <w:sz w:val="27"/>
        </w:rPr>
        <w:t>4.8　PSO-WOA 混合优化</w:t>
      </w:r>
      <w:bookmarkEnd w:id="19"/>
    </w:p>
    <w:p w14:paraId="000000A9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以滑模增益、RBF 网络中心与宽度为优化变量，以摆角收敛时间与超调量为目标函数，采用粒子群与鲸鱼优化相结合的混合算法整定参数。</w:t>
      </w:r>
    </w:p>
    <w:p w14:paraId="000000AA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需给出算法流程图、适应度收敛曲线以及优化前后的控制效果对比。为体现混合算法的优势，建议设置与单一粒子群算法、单一鲸鱼算法的对照。</w:t>
      </w:r>
    </w:p>
    <w:p w14:paraId="000000AB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20" w:name="section-4-9"/>
      <w:r>
        <w:rPr>
          <w:rFonts w:hint="eastAsia" w:ascii="黑体" w:hAnsi="黑体" w:eastAsia="黑体" w:cs="黑体"/>
          <w:b w:val="1"/>
          <w:color w:val="1a4d8f"/>
          <w:sz w:val="27"/>
        </w:rPr>
        <w:t>4.9　跨语言架构</w:t>
      </w:r>
      <w:bookmarkEnd w:id="20"/>
    </w:p>
    <w:p w14:paraId="000000AC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上位机为 C# 程序，视觉与控制算法多在 Python 环境实现，两者不能同时占用同一张控制卡。架构方案需在算法开发前确定，避免返工。</w:t>
      </w:r>
    </w:p>
    <w:p w14:paraId="000000AD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可选方案有两种：一是通过 Python 的 .NET 互操作直接调用控制卡动态库，优点是无需改造现有程序，缺点是需要处理运行时兼容与多线程问题；二是由 C# 程序提供本地通讯服务，Python 作为客户端发送指令并接收状态，优点是边界清晰，缺点是需自行定义协议。</w:t>
      </w:r>
    </w:p>
    <w:p w14:paraId="000000AE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建议先以第一种方案做可行性验证，半日内可得出结论；若不成立则转向第二种方案。</w:t>
      </w:r>
    </w:p>
    <w:p w14:paraId="000000AF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21" w:name="section-5"/>
      <w:r>
        <w:rPr>
          <w:rFonts w:hint="eastAsia" w:ascii="黑体" w:hAnsi="黑体" w:eastAsia="黑体" w:cs="黑体"/>
          <w:b w:val="1"/>
          <w:color w:val="12294a"/>
          <w:sz w:val="32"/>
        </w:rPr>
        <w:t>五、资源与技术条件</w:t>
      </w:r>
      <w:bookmarkEnd w:id="21"/>
    </w:p>
    <w:p w14:paraId="000000B0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本项目所需的硬件设备、软件环境与工期安排如下，用于核查条件是否齐备。</w:t>
      </w:r>
    </w:p>
    <w:p w14:paraId="000000B1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22" w:name="section-5-1"/>
      <w:r>
        <w:rPr>
          <w:rFonts w:hint="eastAsia" w:ascii="黑体" w:hAnsi="黑体" w:eastAsia="黑体" w:cs="黑体"/>
          <w:b w:val="1"/>
          <w:color w:val="1a4d8f"/>
          <w:sz w:val="27"/>
        </w:rPr>
        <w:t>5.1　硬件条件</w:t>
      </w:r>
      <w:bookmarkEnd w:id="22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3986"/>
        <w:gridCol w:w="2493"/>
      </w:tblGrid>
      <w:tr>
        <w:trPr>
          <w:tblHeader w:val="1"/>
        </w:trPr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B2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类别</w:t>
            </w:r>
          </w:p>
        </w:tc>
        <w:tc>
          <w:tcPr>
            <w:tcW w:w="3986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B3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配置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B4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状态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运动控制卡</w:t>
            </w:r>
          </w:p>
        </w:tc>
        <w:tc>
          <w:tcPr>
            <w:tcW w:w="3986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博派 ETH_NEC_NLM 两轴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就绪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轴一</w:t>
            </w:r>
          </w:p>
        </w:tc>
        <w:tc>
          <w:tcPr>
            <w:tcW w:w="3986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直线模组、57 步进电机、HB808C 驱动器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就绪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轴二</w:t>
            </w:r>
          </w:p>
        </w:tc>
        <w:tc>
          <w:tcPr>
            <w:tcW w:w="3986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42 步进电机、TB6600 驱动器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就绪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电源</w:t>
            </w:r>
          </w:p>
        </w:tc>
        <w:tc>
          <w:tcPr>
            <w:tcW w:w="3986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B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开关电源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就绪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视觉</w:t>
            </w:r>
          </w:p>
        </w:tc>
        <w:tc>
          <w:tcPr>
            <w:tcW w:w="3986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Intel RealSense D415 深度相机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就绪，待安装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附属</w:t>
            </w:r>
          </w:p>
        </w:tc>
        <w:tc>
          <w:tcPr>
            <w:tcW w:w="3986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相机支架、吊重、可调吊绳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待配置</w:t>
            </w:r>
          </w:p>
        </w:tc>
      </w:tr>
    </w:tbl>
    <w:p w14:paraId="000000C7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23" w:name="section-5-2"/>
      <w:r>
        <w:rPr>
          <w:rFonts w:hint="eastAsia" w:ascii="黑体" w:hAnsi="黑体" w:eastAsia="黑体" w:cs="黑体"/>
          <w:b w:val="1"/>
          <w:color w:val="1a4d8f"/>
          <w:sz w:val="27"/>
        </w:rPr>
        <w:t>5.2　软件条件</w:t>
      </w:r>
      <w:bookmarkEnd w:id="23"/>
    </w:p>
    <w:p w14:paraId="000000C8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上位机程序基于 .NET Framework 与 WinForms，运动控制采用厂商提供的动态库。视觉部分建议采用 RealSense 官方 SDK 与 OpenCV，检测模型训练采用主流深度学习框架。算法仿真可采用 MATLAB 或 Python 科学计算库。</w:t>
      </w:r>
    </w:p>
    <w:p w14:paraId="000000C9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bookmarkStart w:id="24" w:name="section-5-3"/>
      <w:r>
        <w:rPr>
          <w:rFonts w:hint="eastAsia" w:ascii="黑体" w:hAnsi="黑体" w:eastAsia="黑体" w:cs="黑体"/>
          <w:b w:val="1"/>
          <w:color w:val="1a4d8f"/>
          <w:sz w:val="27"/>
        </w:rPr>
        <w:t>5.3　工期估算</w:t>
      </w:r>
      <w:bookmarkEnd w:id="24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8"/>
        <w:gridCol w:w="4485"/>
        <w:gridCol w:w="2493"/>
      </w:tblGrid>
      <w:tr>
        <w:trPr>
          <w:tblHeader w:val="1"/>
        </w:trPr>
        <w:tc>
          <w:tcPr>
            <w:tcW w:w="1328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CA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阶段</w:t>
            </w:r>
          </w:p>
        </w:tc>
        <w:tc>
          <w:tcPr>
            <w:tcW w:w="44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CB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内容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CC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工期</w:t>
            </w:r>
          </w:p>
        </w:tc>
      </w:tr>
      <w:tr>
        <w:trPr/>
        <w:tc>
          <w:tcPr>
            <w:tcW w:w="1328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阶段一</w:t>
            </w:r>
          </w:p>
        </w:tc>
        <w:tc>
          <w:tcPr>
            <w:tcW w:w="44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平台基础夯实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C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2 周</w:t>
            </w:r>
          </w:p>
        </w:tc>
      </w:tr>
      <w:tr>
        <w:trPr/>
        <w:tc>
          <w:tcPr>
            <w:tcW w:w="1328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阶段二</w:t>
            </w:r>
          </w:p>
        </w:tc>
        <w:tc>
          <w:tcPr>
            <w:tcW w:w="44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视觉检测与定位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4 周</w:t>
            </w:r>
          </w:p>
        </w:tc>
      </w:tr>
      <w:tr>
        <w:trPr/>
        <w:tc>
          <w:tcPr>
            <w:tcW w:w="1328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阶段三</w:t>
            </w:r>
          </w:p>
        </w:tc>
        <w:tc>
          <w:tcPr>
            <w:tcW w:w="44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防摇控制策略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6 周（与阶段二部分并行）</w:t>
            </w:r>
          </w:p>
        </w:tc>
      </w:tr>
      <w:tr>
        <w:trPr/>
        <w:tc>
          <w:tcPr>
            <w:tcW w:w="1328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阶段四</w:t>
            </w:r>
          </w:p>
        </w:tc>
        <w:tc>
          <w:tcPr>
            <w:tcW w:w="44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实验与数据分析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3 周</w:t>
            </w:r>
          </w:p>
        </w:tc>
      </w:tr>
      <w:tr>
        <w:trPr/>
        <w:tc>
          <w:tcPr>
            <w:tcW w:w="1328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阶段五</w:t>
            </w:r>
          </w:p>
        </w:tc>
        <w:tc>
          <w:tcPr>
            <w:tcW w:w="4485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论文撰写与修改</w:t>
            </w:r>
          </w:p>
        </w:tc>
        <w:tc>
          <w:tcPr>
            <w:tcW w:w="249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D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2 周</w:t>
            </w:r>
          </w:p>
        </w:tc>
      </w:tr>
    </w:tbl>
    <w:p w14:paraId="000000DC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按全职投入估算总工期约十三至十五周，业余投入则需延长至一个学期。</w:t>
      </w:r>
    </w:p>
    <w:p w14:paraId="000000DD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25" w:name="section-6"/>
      <w:r>
        <w:rPr>
          <w:rFonts w:hint="eastAsia" w:ascii="黑体" w:hAnsi="黑体" w:eastAsia="黑体" w:cs="黑体"/>
          <w:b w:val="1"/>
          <w:color w:val="12294a"/>
          <w:sz w:val="32"/>
        </w:rPr>
        <w:t>六、风险与应对</w:t>
      </w:r>
      <w:bookmarkEnd w:id="25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2657"/>
        <w:gridCol w:w="1162"/>
        <w:gridCol w:w="3823"/>
      </w:tblGrid>
      <w:tr>
        <w:trPr>
          <w:tblHeader w:val="1"/>
        </w:trPr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DE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序号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DF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风险描述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E0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影响程度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E1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应对措施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1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数据集规模不足或场景单一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高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采集阶段多场景覆盖，必要时做数据增强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2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深度图在反光或黑色表面失效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中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摆角提取以彩色图为主，深度仅用于定尺度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3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视觉延迟导致控制失稳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高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降低控制增益，引入延迟补偿环节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4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E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角速度估计噪声引发抖振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高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采用跟踪微分器，模型与观测器分离设计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5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跨语言架构调整导致返工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中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算法开发前先做架构可行性验证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6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步进电机开环丢步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中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控制加速度上限，用视觉定期校核位置</w:t>
            </w:r>
          </w:p>
        </w:tc>
      </w:tr>
      <w:tr>
        <w:trPr/>
        <w:tc>
          <w:tcPr>
            <w:tcW w:w="664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7</w:t>
            </w:r>
          </w:p>
        </w:tc>
        <w:tc>
          <w:tcPr>
            <w:tcW w:w="265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吊绳长度变化引起频率漂移</w:t>
            </w:r>
          </w:p>
        </w:tc>
        <w:tc>
          <w:tcPr>
            <w:tcW w:w="1162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中</w:t>
            </w:r>
          </w:p>
        </w:tc>
        <w:tc>
          <w:tcPr>
            <w:tcW w:w="3823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0F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采用鲁棒性较强的整形器，或按实测频率更新参数</w:t>
            </w:r>
          </w:p>
        </w:tc>
      </w:tr>
    </w:tbl>
    <w:p w14:paraId="000000FE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26" w:name="section-7"/>
      <w:r>
        <w:rPr>
          <w:rFonts w:hint="eastAsia" w:ascii="黑体" w:hAnsi="黑体" w:eastAsia="黑体" w:cs="黑体"/>
          <w:b w:val="1"/>
          <w:color w:val="12294a"/>
          <w:sz w:val="32"/>
        </w:rPr>
        <w:t>七、预期产出</w:t>
      </w:r>
      <w:bookmarkEnd w:id="26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0FF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类别</w:t>
            </w:r>
          </w:p>
        </w:tc>
        <w:tc>
          <w:tcPr>
            <w:tcW w:w="647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shd w:val="clear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100">
            <w:pPr>
              <w:jc w:val="left"/>
              <w:rPr>
                <w:b w:val="1"/>
                <w:bCs w:val="1"/>
                <w:color w:val="12294a"/>
              </w:rPr>
            </w:pPr>
            <w:r>
              <w:rPr>
                <w:rFonts w:hint="eastAsia" w:ascii="黑体" w:hAnsi="黑体" w:eastAsia="黑体" w:cs="黑体"/>
                <w:b w:val="0"/>
                <w:color w:val="12294a"/>
                <w:sz w:val="21"/>
              </w:rPr>
              <w:t>具体内容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实验平台</w:t>
            </w:r>
          </w:p>
        </w:tc>
        <w:tc>
          <w:tcPr>
            <w:tcW w:w="647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具备视觉引导与防摇控制能力的完整实验台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程序代码</w:t>
            </w:r>
          </w:p>
        </w:tc>
        <w:tc>
          <w:tcPr>
            <w:tcW w:w="647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上位机控制程序、视觉处理程序、控制算法程序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数据集</w:t>
            </w:r>
          </w:p>
        </w:tc>
        <w:tc>
          <w:tcPr>
            <w:tcW w:w="647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标注完成的检测数据集及统计说明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模型</w:t>
            </w:r>
          </w:p>
        </w:tc>
        <w:tc>
          <w:tcPr>
            <w:tcW w:w="647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轻量化检测模型及训练权重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实验数据</w:t>
            </w:r>
          </w:p>
        </w:tc>
        <w:tc>
          <w:tcPr>
            <w:tcW w:w="647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三组对比实验的原始数据与处理结果</w:t>
            </w:r>
          </w:p>
        </w:tc>
      </w:tr>
      <w:tr>
        <w:trPr/>
        <w:tc>
          <w:tcPr>
            <w:tcW w:w="1827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论文</w:t>
            </w:r>
          </w:p>
        </w:tc>
        <w:tc>
          <w:tcPr>
            <w:tcW w:w="6479" w:type="dxa"/>
            <w:tcBorders>
              <w:top w:val="single" w:color="9fb2c8" w:sz="6"/>
              <w:left w:val="single" w:color="9fb2c8" w:sz="6"/>
              <w:bottom w:val="single" w:color="9fb2c8" w:sz="6"/>
              <w:right w:val="single" w:color="9fb2c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00010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三章正文、图表、参考文献</w:t>
            </w:r>
          </w:p>
        </w:tc>
      </w:tr>
    </w:tbl>
    <w:p w14:paraId="0000010D">
      <w:pPr>
        <w:pStyle w:val="000004"/>
        <w:keepNext w:val="1"/>
        <w:keepLines w:val="1"/>
        <w:pBdr>
          <w:bottom w:val="single" w:color="1a4d8f" w:sz="12" w:space="4"/>
        </w:pBdr>
        <w:spacing w:before="384" w:beforeAutospacing="1" w:after="216" w:afterAutospacing="1" w:line="420"/>
        <w:ind w:left="0" w:right="0"/>
        <w:outlineLvl w:val="1"/>
        <w:rPr>
          <w:color w:val="12294a"/>
          <w:sz w:val="32"/>
          <w:szCs w:val="32"/>
        </w:rPr>
      </w:pPr>
      <w:bookmarkStart w:id="27" w:name="section-8"/>
      <w:r>
        <w:rPr>
          <w:rFonts w:hint="eastAsia" w:ascii="黑体" w:hAnsi="黑体" w:eastAsia="黑体" w:cs="黑体"/>
          <w:b w:val="1"/>
          <w:color w:val="12294a"/>
          <w:sz w:val="32"/>
        </w:rPr>
        <w:t>八、检查清单</w:t>
      </w:r>
      <w:bookmarkEnd w:id="27"/>
    </w:p>
    <w:p w14:paraId="0000010E">
      <w:pPr>
        <w:spacing w:before="132" w:after="132" w:line="420"/>
        <w:ind w:left="0" w:right="0"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以下清单按阶段排列，每完成一项即行勾选，可作为每周进度自查的依据。</w:t>
      </w:r>
    </w:p>
    <w:p w14:paraId="0000010F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阶段一</w:t>
      </w:r>
    </w:p>
    <w:p w14:paraId="00000110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确认直线模组导程并记录</w:t>
      </w:r>
    </w:p>
    <w:p w14:paraId="00000111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读取 HB808C 与 TB6600 细分拨码并记录</w:t>
      </w:r>
    </w:p>
    <w:p w14:paraId="00000112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完成脉冲当量标定，往返误差小于一毫米</w:t>
      </w:r>
    </w:p>
    <w:p w14:paraId="00000113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验证回零方向与重复精度</w:t>
      </w:r>
    </w:p>
    <w:p w14:paraId="00000114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完成相机支架安装，光轴垂直摆动平面</w:t>
      </w:r>
    </w:p>
    <w:p w14:paraId="00000115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配置可调吊绳与吊重</w:t>
      </w:r>
    </w:p>
    <w:p w14:paraId="00000116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阶段二</w:t>
      </w:r>
    </w:p>
    <w:p w14:paraId="00000117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完成数据集采集，规模不少于八百张</w:t>
      </w:r>
    </w:p>
    <w:p w14:paraId="00000118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完成标注并划分训练验证测试集</w:t>
      </w:r>
    </w:p>
    <w:p w14:paraId="00000119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完成基线模型训练与精度评估</w:t>
      </w:r>
    </w:p>
    <w:p w14:paraId="0000011A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完成轻量化改进与对比实验</w:t>
      </w:r>
    </w:p>
    <w:p w14:paraId="0000011B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打通检测到三维坐标的完整链路</w:t>
      </w:r>
    </w:p>
    <w:p w14:paraId="0000011C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完成外参标定并给出残差表</w:t>
      </w:r>
    </w:p>
    <w:p w14:paraId="0000011D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完成摆角提取与两点标定</w:t>
      </w:r>
    </w:p>
    <w:p w14:paraId="0000011E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验证时间戳对齐</w:t>
      </w:r>
    </w:p>
    <w:p w14:paraId="0000011F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阶段三</w:t>
      </w:r>
    </w:p>
    <w:p w14:paraId="00000120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建立单摆动力学模型</w:t>
      </w:r>
    </w:p>
    <w:p w14:paraId="00000121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通过自由衰减实验辨识频率与阻尼</w:t>
      </w:r>
    </w:p>
    <w:p w14:paraId="00000122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完成滑模面与趋近律设计</w:t>
      </w:r>
    </w:p>
    <w:p w14:paraId="00000123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 RBF 补偿网络设计</w:t>
      </w:r>
    </w:p>
    <w:p w14:paraId="00000124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 PSO-WOA 参数整定</w:t>
      </w:r>
    </w:p>
    <w:p w14:paraId="00000125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完成仿真验证并给出对比曲线</w:t>
      </w:r>
    </w:p>
    <w:p w14:paraId="00000126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验证角速度估计的噪声水平</w:t>
      </w:r>
    </w:p>
    <w:p w14:paraId="00000127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阶段四</w:t>
      </w:r>
    </w:p>
    <w:p w14:paraId="00000128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完成跨语言架构验证</w:t>
      </w:r>
    </w:p>
    <w:p w14:paraId="00000129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实现视觉引导运动</w:t>
      </w:r>
    </w:p>
    <w:p w14:paraId="0000012A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实现防摇控制闭环</w:t>
      </w:r>
    </w:p>
    <w:p w14:paraId="0000012B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完成无控制组实验</w:t>
      </w:r>
    </w:p>
    <w:p w14:paraId="0000012C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完成开环整形组实验</w:t>
      </w:r>
    </w:p>
    <w:p w14:paraId="0000012D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完成本文方法组实验</w:t>
      </w:r>
    </w:p>
    <w:p w14:paraId="0000012E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完成数据分析与图表绘制</w:t>
      </w:r>
    </w:p>
    <w:p w14:paraId="0000012F">
      <w:pPr>
        <w:pStyle w:val="000005"/>
        <w:keepNext w:val="1"/>
        <w:keepLines w:val="1"/>
        <w:spacing w:before="312" w:beforeAutospacing="1" w:after="132" w:afterAutospacing="1" w:line="420"/>
        <w:ind w:left="0" w:right="0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收尾</w:t>
      </w:r>
    </w:p>
    <w:p w14:paraId="00000130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整理全部原始数据与代码</w:t>
      </w:r>
    </w:p>
    <w:p w14:paraId="00000131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撰写第三章并定稿</w:t>
      </w:r>
    </w:p>
    <w:p w14:paraId="00000132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撰写第四章并定稿</w:t>
      </w:r>
    </w:p>
    <w:p w14:paraId="00000133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撰写第五章并定稿</w:t>
      </w:r>
    </w:p>
    <w:p w14:paraId="00000134">
      <w:pPr>
        <w:numPr>
          <w:ilvl w:val="0"/>
          <w:numId w:val="1"/>
        </w:numPr>
        <w:pBdr>
          <w:left w:space="19"/>
        </w:pBdr>
        <w:spacing w:before="132" w:after="216" w:line="468"/>
        <w:ind w:left="0" w:right="0"/>
        <w:rPr>
          <w:color w:val="1a4d8f"/>
        </w:rPr>
      </w:pPr>
      <w:r>
        <w:rPr>
          <w:rFonts w:hint="eastAsia" w:ascii="宋体" w:hAnsi="宋体" w:eastAsia="宋体" w:cs="宋体"/>
          <w:color w:val="1a4d8f"/>
          <w:sz w:val="22"/>
        </w:rPr>
        <w:t>全文统稿与格式检查</w:t>
      </w:r>
    </w:p>
    <w:p w14:paraId="00000135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136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9" w:uiPriority="9" w:semiHidden="1" w:unhideWhenUsed="1" w:qFormat="1"/>
    <w:lsdException w:name="envelope address" w:semiHidden="1" w:unhideWhenUsed="1"/>
    <w:lsdException w:name="Subtitle" w:uiPriority="11" w:qFormat="1"/>
    <w:lsdException w:name="index heading" w:semiHidden="1" w:unhideWhenUsed="1"/>
    <w:lsdException w:name="List" w:semiHidden="1" w:unhideWhenUsed="1"/>
    <w:lsdException w:name="Closing" w:semiHidden="1" w:unhideWhenUsed="1"/>
    <w:lsdException w:name="Block Text" w:semiHidden="1" w:unhideWhenUsed="1"/>
    <w:lsdException w:name="endnote reference" w:semiHidden="1" w:unhideWhenUsed="1"/>
    <w:lsdException w:name="Title" w:uiPriority="10" w:qFormat="1"/>
    <w:lsdException w:name="List 5" w:semiHidden="1" w:unhideWhenUsed="1"/>
    <w:lsdException w:name="footnote reference" w:semiHidden="1" w:unhideWhenUsed="1"/>
    <w:lsdException w:name="table of figures" w:semiHidden="1" w:unhideWhenUsed="1"/>
    <w:lsdException w:name="FollowedHyperlink" w:semiHidden="1" w:unhideWhenUsed="1"/>
    <w:lsdException w:name="heading 4" w:uiPriority="9" w:semiHidden="1" w:unhideWhenUsed="1" w:qFormat="1"/>
    <w:lsdException w:name="List Number 4" w:semiHidden="1" w:unhideWhenUsed="1"/>
    <w:lsdException w:name="List Number" w:semiHidden="1" w:unhideWhenUsed="1"/>
    <w:lsdException w:name="List Number 5" w:semiHidden="1" w:unhideWhenUsed="1"/>
    <w:lsdException w:name="heading 5" w:uiPriority="9" w:semiHidden="1" w:unhideWhenUsed="1" w:qFormat="1"/>
    <w:lsdException w:name="List 2" w:semiHidden="1" w:unhideWhenUsed="1"/>
    <w:lsdException w:name="annotation reference" w:semiHidden="1" w:unhideWhenUsed="1"/>
    <w:lsdException w:name="List Continue 3" w:semiHidden="1" w:unhideWhenUsed="1"/>
    <w:lsdException w:name="Strong" w:uiPriority="22" w:qFormat="1"/>
    <w:lsdException w:name="Body Text First Indent 2" w:semiHidden="1" w:unhideWhenUsed="1"/>
    <w:lsdException w:name="heading 1" w:uiPriority="9" w:qFormat="1"/>
    <w:lsdException w:name="Signature" w:semiHidden="1" w:unhideWhenUsed="1"/>
    <w:lsdException w:name="Body Text" w:semiHidden="1" w:unhideWhenUsed="1"/>
    <w:lsdException w:name="Hyperlink" w:semiHidden="1" w:unhideWhenUsed="1"/>
    <w:lsdException w:name="heading 6" w:uiPriority="9" w:semiHidden="1" w:unhideWhenUsed="1" w:qFormat="1"/>
    <w:lsdException w:name="macro" w:semiHidden="1" w:unhideWhenUsed="1"/>
    <w:lsdException w:name="List 4" w:semiHidden="1" w:unhideWhenUsed="1"/>
    <w:lsdException w:name="index 3" w:semiHidden="1" w:unhideWhenUsed="1"/>
    <w:lsdException w:name="List Number 3" w:semiHidden="1" w:unhideWhenUsed="1"/>
    <w:lsdException w:name="List Bullet 5" w:semiHidden="1" w:unhideWhenUsed="1"/>
    <w:lsdException w:name="Normal" w:uiPriority="0" w:qFormat="1"/>
    <w:lsdException w:name="List Bullet 4" w:semiHidden="1" w:unhideWhenUsed="1"/>
    <w:lsdException w:name="Body Text First Indent" w:semiHidden="1" w:unhideWhenUsed="1"/>
    <w:lsdException w:name="Message Header" w:semiHidden="1" w:unhideWhenUsed="1"/>
    <w:lsdException w:name="footnote text" w:semiHidden="1" w:unhideWhenUsed="1"/>
    <w:lsdException w:name="line number" w:semiHidden="1" w:unhideWhenUsed="1"/>
    <w:lsdException w:name="Normal Indent" w:semiHidden="1" w:unhideWhenUsed="1"/>
    <w:lsdException w:name="index 7" w:semiHidden="1" w:unhideWhenUsed="1"/>
    <w:lsdException w:name="toc 1" w:uiPriority="39" w:semiHidden="1" w:unhideWhenUsed="1"/>
    <w:lsdException w:name="index 6" w:semiHidden="1" w:unhideWhenUsed="1"/>
    <w:lsdException w:name="Body Text Indent" w:semiHidden="1" w:unhideWhenUsed="1"/>
    <w:lsdException w:name="index 1" w:semiHidden="1" w:unhideWhenUsed="1"/>
    <w:lsdException w:name="List Bullet 3" w:semiHidden="1" w:unhideWhenUsed="1"/>
    <w:lsdException w:name="List Bullet 2" w:semiHidden="1" w:unhideWhenUsed="1"/>
    <w:lsdException w:name="page number" w:semiHidden="1" w:unhideWhenUsed="1"/>
    <w:lsdException w:name="toc 6" w:uiPriority="39" w:semiHidden="1" w:unhideWhenUsed="1"/>
    <w:lsdException w:name="toc 7" w:uiPriority="39" w:semiHidden="1" w:unhideWhenUsed="1"/>
    <w:lsdException w:name="table of authorities" w:semiHidden="1" w:unhideWhenUsed="1"/>
    <w:lsdException w:name="index 5" w:semiHidden="1" w:unhideWhenUsed="1"/>
    <w:lsdException w:name="annotation text" w:semiHidden="1" w:unhideWhenUsed="1"/>
    <w:lsdException w:name="Body Text Indent 3" w:semiHidden="1" w:unhideWhenUsed="1"/>
    <w:lsdException w:name="toc 3" w:uiPriority="39" w:semiHidden="1" w:unhideWhenUsed="1"/>
    <w:lsdException w:name="List 3" w:semiHidden="1" w:unhideWhenUsed="1"/>
    <w:lsdException w:name="List Continue" w:semiHidden="1" w:unhideWhenUsed="1"/>
    <w:lsdException w:name="index 4" w:semiHidden="1" w:unhideWhenUsed="1"/>
    <w:lsdException w:name="toc 2" w:uiPriority="39" w:semiHidden="1" w:unhideWhenUsed="1"/>
    <w:lsdException w:name="List Continue 2" w:semiHidden="1" w:unhideWhenUsed="1"/>
    <w:lsdException w:name="footer" w:semiHidden="1" w:unhideWhenUsed="1"/>
    <w:lsdException w:name="Default Paragraph Font" w:uiPriority="1" w:semiHidden="1" w:unhideWhenUsed="1"/>
    <w:lsdException w:name="toc 9" w:uiPriority="39" w:semiHidden="1" w:unhideWhenUsed="1"/>
    <w:lsdException w:name="toc 8" w:uiPriority="39" w:semiHidden="1" w:unhideWhenUsed="1"/>
    <w:lsdException w:name="index 8" w:semiHidden="1" w:unhideWhenUsed="1"/>
    <w:lsdException w:name="Body Text Indent 2" w:semiHidden="1" w:unhideWhenUsed="1"/>
    <w:lsdException w:name="index 9" w:semiHidden="1" w:unhideWhenUsed="1"/>
    <w:lsdException w:name="endnote text" w:semiHidden="1" w:unhideWhenUsed="1"/>
    <w:lsdException w:name="caption" w:uiPriority="35" w:semiHidden="1" w:unhideWhenUsed="1" w:qFormat="1"/>
    <w:lsdException w:name="List Bullet" w:semiHidden="1" w:unhideWhenUsed="1"/>
    <w:lsdException w:name="Date" w:semiHidden="1" w:unhideWhenUsed="1"/>
    <w:lsdException w:name="header" w:semiHidden="1" w:unhideWhenUsed="1"/>
    <w:lsdException w:name="Body Text 3" w:semiHidden="1" w:unhideWhenUsed="1"/>
    <w:lsdException w:name="index 2" w:semiHidden="1" w:unhideWhenUsed="1"/>
    <w:lsdException w:name="heading 7" w:uiPriority="9" w:semiHidden="1" w:unhideWhenUsed="1" w:qFormat="1"/>
    <w:lsdException w:name="toc 4" w:uiPriority="39" w:semiHidden="1" w:unhideWhenUsed="1"/>
    <w:lsdException w:name="Body Text 2" w:semiHidden="1" w:unhideWhenUsed="1"/>
    <w:lsdException w:name="envelope return" w:semiHidden="1" w:unhideWhenUsed="1"/>
    <w:lsdException w:name="toc 5" w:uiPriority="39" w:semiHidden="1" w:unhideWhenUsed="1"/>
    <w:lsdException w:name="heading 3" w:uiPriority="9" w:semiHidden="1" w:unhideWhenUsed="1" w:qFormat="1"/>
    <w:lsdException w:name="Note Heading" w:semiHidden="1" w:unhideWhenUsed="1"/>
    <w:lsdException w:name="toa heading" w:semiHidden="1" w:unhideWhenUsed="1"/>
    <w:lsdException w:name="List Continue 5" w:semiHidden="1" w:unhideWhenUsed="1"/>
    <w:lsdException w:name="List Number 2" w:semiHidden="1" w:unhideWhenUsed="1"/>
    <w:lsdException w:name="heading 2" w:uiPriority="9" w:semiHidden="1" w:unhideWhenUsed="1" w:qFormat="1"/>
    <w:lsdException w:name="List Continue 4" w:semiHidden="1" w:unhideWhenUsed="1"/>
    <w:lsdException w:name="Salutation" w:semiHidden="1" w:unhideWhenUsed="1"/>
    <w:lsdException w:name="heading 8" w:uiPriority="9" w:semiHidden="1" w:unhideWhenUsed="1" w:qFormat="1"/>
  </w:latentStyles>
  <w:style w:type="paragraph" w:styleId="000002">
    <w:name w:val="toc 2"/>
    <w:basedOn w:val="000003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4">
    <w:name w:val="heading 2"/>
    <w:basedOn w:val="000003"/>
    <w:next w:val="000003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1"/>
    <w:basedOn w:val="000003"/>
    <w:next w:val="000003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3"/>
    <w:basedOn w:val="000003"/>
    <w:next w:val="000003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v8jiqx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7">
    <w:name w:val="toc 1"/>
    <w:basedOn w:val="000003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2026-10-27T11:07:28Z</dcterms:created>
  <dcterms:modified xsi:type="dcterms:W3CDTF">2026-10-27T11:07:28Z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"01a17aec86ad722ba83c0e3fff35b2f5", "ReservedCode1": "", "ContentPropagator": "00119111010856365494821B355", "PropagateID": "01a17aec86ad722ba83c0e3fff35b2f5", "ReservedCode2": ""}}</vt:lpwstr>
  </property>
</Properties>
</file>