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8006FBF">
      <w:pPr>
        <w:pStyle w:val="style4101"/>
        <w:rPr/>
      </w:pPr>
      <w:bookmarkStart w:id="0" w:name="渐进式降级策略按代码重度从小到大"/>
      <w:r>
        <w:t>渐进式降级策略：按代码重度从小到大</w:t>
      </w:r>
    </w:p>
    <w:p w14:paraId="FEBFBDF2">
      <w:pPr>
        <w:pStyle w:val="style84"/>
        <w:rPr/>
      </w:pPr>
      <w:r>
        <w:t>基于 CubeSandbox + Incus + Kata Container 混合容器运行时平台的渐进式实施方案</w:t>
      </w:r>
    </w:p>
    <w:p w14:paraId="178792B9">
      <w:pPr>
        <w:pStyle w:val="style0"/>
        <w:rPr/>
      </w:pPr>
      <w:r>
        <w:rPr/>
        <w:pict>
          <v:rect id="1026" stroked="t" style="margin-left:0.0pt;margin-top:0.0pt;width:0.0pt;height:1.5pt;mso-wrap-distance-left:0.0pt;mso-wrap-distance-right:0.0pt;visibility:visible;" o:hr="t" o:hralign="center" o:hrstd="t">
            <v:fill/>
          </v:rect>
        </w:pict>
      </w:r>
    </w:p>
    <w:bookmarkStart w:id="1" w:name="渐进式降级策略按代码重度从小到大-1"/>
    <w:bookmarkEnd w:id="0"/>
    <w:p w14:paraId="4AA845F2">
      <w:pPr>
        <w:pStyle w:val="style4101"/>
        <w:rPr/>
      </w:pPr>
      <w:r>
        <w:t>渐进式降级策略：按代码重度从小到大</w:t>
      </w:r>
    </w:p>
    <w:bookmarkStart w:id="2" w:name="策略概述"/>
    <w:p w14:paraId="5C594A84">
      <w:pPr>
        <w:pStyle w:val="style4102"/>
        <w:rPr/>
      </w:pPr>
      <w:r>
        <w:t>1. 策略概述</w:t>
      </w:r>
    </w:p>
    <w:bookmarkStart w:id="3" w:name="降级设计目标"/>
    <w:p w14:paraId="A0E9232E">
      <w:pPr>
        <w:pStyle w:val="style4103"/>
        <w:rPr/>
      </w:pPr>
      <w:r>
        <w:t>1.1 降级设计目标</w:t>
      </w:r>
    </w:p>
    <w:p w14:paraId="EFED683B">
      <w:pPr>
        <w:pStyle w:val="style4097"/>
        <w:rPr/>
      </w:pPr>
      <w:r>
        <w:t>全功能 CubeSandbox 混合平台架构涵盖 CubeSandbox 极速沙箱、Kata 安全容器、Incus 系统容器/VM 三运行时，叠加 Kubernetes 编排、KubeVirt VM 管理、Cilium eBPF 网络、Ceph 分布式存储与 TEE 机密计算，功能完整但建设周期达 12–18 个月，初期投入超 5 万行集成代码。渐进式降级策略的核心思想是</w:t>
      </w:r>
      <w:r>
        <w:rPr>
          <w:b/>
          <w:bCs/>
        </w:rPr>
        <w:t>按代码重度（实现复杂度）从小到大分四级交付</w:t>
      </w:r>
      <w:r>
        <w:t>，使团队在每一阶段都能获得可运行的基础设施并验证核心价值，而非长期面对”全有或全无”的建设风险。</w:t>
      </w:r>
    </w:p>
    <w:p w14:paraId="A1B51951">
      <w:pPr>
        <w:pStyle w:val="style66"/>
        <w:rPr/>
      </w:pPr>
      <w:r>
        <w:t>四个级别的渐进式思路遵循</w:t>
      </w:r>
      <w:r>
        <w:rPr>
          <w:b/>
          <w:bCs/>
        </w:rPr>
        <w:t>“</w:t>
      </w:r>
      <w:r>
        <w:rPr>
          <w:b/>
          <w:bCs/>
        </w:rPr>
        <w:t>先可用、再集群、后编排、终全量</w:t>
      </w:r>
      <w:r>
        <w:rPr>
          <w:b/>
          <w:bCs/>
        </w:rPr>
        <w:t>”</w:t>
      </w:r>
      <w:r>
        <w:t>的扩展路径。</w:t>
      </w:r>
      <w:r>
        <w:rPr>
          <w:b/>
          <w:bCs/>
        </w:rPr>
        <w:t>L0 最小可用版</w:t>
      </w:r>
      <w:r>
        <w:t>（MVP）聚焦单节点虚拟化，零代码开发，当天部署，对标 PVE 单节点基础功能的 30%。</w:t>
      </w:r>
      <w:r>
        <w:rPr>
          <w:b/>
          <w:bCs/>
        </w:rPr>
        <w:t>L1 基础版</w:t>
      </w:r>
      <w:r>
        <w:t>引入 Incus 集群、Kata 安全容器与 OVN SDN 网络，以约 5,000 行集成代码实现 1–2 个月交付，覆盖 PVE 50% 功能并在容器安全性上形成超越。</w:t>
      </w:r>
      <w:r>
        <w:rPr>
          <w:b/>
          <w:bCs/>
        </w:rPr>
        <w:t>L2 标准版</w:t>
      </w:r>
      <w:r>
        <w:t>接入 Kubernetes 编排、Cilium eBPF 网络与 Ceph 分布式存储，代码重度约 2 万行，周期 3–6 个月，覆盖 PVE 80% 功能。</w:t>
      </w:r>
      <w:r>
        <w:rPr>
          <w:b/>
          <w:bCs/>
        </w:rPr>
        <w:t>L3 全功能版</w:t>
      </w:r>
      <w:r>
        <w:t>集成 CubeSandbox 极速沙箱、KubeVirt VM 编排、TEE 机密计算与完整管理平面，对齐全功能架构方案。每级均在前级基础上叠加而非重构，确保升级路径平滑、数据可迁移、投资不浪费。</w:t>
      </w:r>
    </w:p>
    <w:bookmarkStart w:id="4" w:name="代码重度定义"/>
    <w:bookmarkEnd w:id="3"/>
    <w:p w14:paraId="43C2A3E8">
      <w:pPr>
        <w:pStyle w:val="style4103"/>
        <w:rPr/>
      </w:pPr>
      <w:r>
        <w:t>1.2 代码重度定义</w:t>
      </w:r>
    </w:p>
    <w:p w14:paraId="E17B9A6E">
      <w:pPr>
        <w:pStyle w:val="style4097"/>
        <w:rPr/>
      </w:pPr>
      <w:r>
        <w:t>代码重度是衡量组件实现所需工程投入的综合指标，从四个维度评估：</w:t>
      </w:r>
      <w:r>
        <w:rPr>
          <w:b/>
          <w:bCs/>
        </w:rPr>
        <w:t>代码行数</w:t>
      </w:r>
      <w:r>
        <w:t>（自研集成代码量）、</w:t>
      </w:r>
      <w:r>
        <w:rPr>
          <w:b/>
          <w:bCs/>
        </w:rPr>
        <w:t>集成复杂度</w:t>
      </w:r>
      <w:r>
        <w:t>（API 对接、协议转换、状态同步的困难程度）、</w:t>
      </w:r>
      <w:r>
        <w:rPr>
          <w:b/>
          <w:bCs/>
        </w:rPr>
        <w:t>运维复杂度</w:t>
      </w:r>
      <w:r>
        <w:t>（部署、监控、排障的门槛）和</w:t>
      </w:r>
      <w:r>
        <w:rPr>
          <w:b/>
          <w:bCs/>
        </w:rPr>
        <w:t>依赖深度</w:t>
      </w:r>
      <w:r>
        <w:t>（上游组件成熟度及版本锁定风险）。每个维度按 1–5 分评分，四项加权平均（权重 3:3:2:2）得到综合代码重度指数。</w:t>
      </w:r>
    </w:p>
    <w:p w14:paraId="0F1AE206">
      <w:pPr>
        <w:pStyle w:val="style66"/>
        <w:rPr/>
      </w:pPr>
      <w:r>
        <w:t>下表对全功能架构中的 20 个核心组件进行代码重度分级，从低到高排列，为 L0–L3 的渐进式取舍提供量化依据。</w:t>
      </w:r>
    </w:p>
    <w:tbl>
      <w:tblPr>
        <w:tblStyle w:val="style4111"/>
        <w:tblW w:w="5000" w:type="pct"/>
        <w:tblLook w:val="0020" w:firstRow="1" w:lastRow="0" w:firstColumn="0" w:lastColumn="0" w:noHBand="0" w:noVBand="0"/>
      </w:tblPr>
      <w:tblGrid>
        <w:gridCol w:w="701"/>
        <w:gridCol w:w="1742"/>
        <w:gridCol w:w="1094"/>
        <w:gridCol w:w="701"/>
        <w:gridCol w:w="701"/>
        <w:gridCol w:w="701"/>
        <w:gridCol w:w="701"/>
        <w:gridCol w:w="502"/>
        <w:gridCol w:w="456"/>
        <w:gridCol w:w="487"/>
        <w:gridCol w:w="492"/>
      </w:tblGrid>
      <w:tr w14:paraId="521227E5">
        <w:trPr>
          <w:tblHeader/>
        </w:trPr>
        <w:tc>
          <w:tcPr>
            <w:tcW w:w="0" w:type="auto"/>
            <w:tcBorders/>
          </w:tcPr>
          <w:p w14:paraId="CA80A68D">
            <w:pPr>
              <w:pStyle w:val="style4098"/>
              <w:jc w:val="center"/>
              <w:rPr/>
            </w:pPr>
            <w:r>
              <w:t>序号</w:t>
            </w:r>
          </w:p>
        </w:tc>
        <w:tc>
          <w:tcPr>
            <w:tcW w:w="0" w:type="auto"/>
            <w:tcBorders/>
          </w:tcPr>
          <w:p w14:paraId="01727ED5">
            <w:pPr>
              <w:pStyle w:val="style4098"/>
              <w:jc w:val="left"/>
              <w:rPr/>
            </w:pPr>
            <w:r>
              <w:t>组件</w:t>
            </w:r>
          </w:p>
        </w:tc>
        <w:tc>
          <w:tcPr>
            <w:tcW w:w="0" w:type="auto"/>
            <w:tcBorders/>
          </w:tcPr>
          <w:p w14:paraId="76ED5CBE">
            <w:pPr>
              <w:pStyle w:val="style4098"/>
              <w:jc w:val="center"/>
              <w:rPr/>
            </w:pPr>
            <w:r>
              <w:t>代码行数</w:t>
            </w:r>
          </w:p>
        </w:tc>
        <w:tc>
          <w:tcPr>
            <w:tcW w:w="0" w:type="auto"/>
            <w:tcBorders/>
          </w:tcPr>
          <w:p w14:paraId="EF37F7A7">
            <w:pPr>
              <w:pStyle w:val="style4098"/>
              <w:jc w:val="center"/>
              <w:rPr/>
            </w:pPr>
            <w:r>
              <w:t>集成复杂度</w:t>
            </w:r>
          </w:p>
        </w:tc>
        <w:tc>
          <w:tcPr>
            <w:tcW w:w="0" w:type="auto"/>
            <w:tcBorders/>
          </w:tcPr>
          <w:p w14:paraId="4DFBFD34">
            <w:pPr>
              <w:pStyle w:val="style4098"/>
              <w:jc w:val="center"/>
              <w:rPr/>
            </w:pPr>
            <w:r>
              <w:t>运维复杂度</w:t>
            </w:r>
          </w:p>
        </w:tc>
        <w:tc>
          <w:tcPr>
            <w:tcW w:w="0" w:type="auto"/>
            <w:tcBorders/>
          </w:tcPr>
          <w:p w14:paraId="069198ED">
            <w:pPr>
              <w:pStyle w:val="style4098"/>
              <w:jc w:val="center"/>
              <w:rPr/>
            </w:pPr>
            <w:r>
              <w:t>依赖深度</w:t>
            </w:r>
          </w:p>
        </w:tc>
        <w:tc>
          <w:tcPr>
            <w:tcW w:w="0" w:type="auto"/>
            <w:tcBorders/>
          </w:tcPr>
          <w:p w14:paraId="7CE648A3">
            <w:pPr>
              <w:pStyle w:val="style4098"/>
              <w:jc w:val="center"/>
              <w:rPr/>
            </w:pPr>
            <w:r>
              <w:t>综合重度</w:t>
            </w:r>
          </w:p>
        </w:tc>
        <w:tc>
          <w:tcPr>
            <w:tcW w:w="0" w:type="auto"/>
            <w:tcBorders/>
          </w:tcPr>
          <w:p w14:paraId="257D0664">
            <w:pPr>
              <w:pStyle w:val="style4098"/>
              <w:jc w:val="center"/>
              <w:rPr/>
            </w:pPr>
            <w:r>
              <w:t>L0</w:t>
            </w:r>
          </w:p>
        </w:tc>
        <w:tc>
          <w:tcPr>
            <w:tcW w:w="0" w:type="auto"/>
            <w:tcBorders/>
          </w:tcPr>
          <w:p w14:paraId="6C743949">
            <w:pPr>
              <w:pStyle w:val="style4098"/>
              <w:jc w:val="center"/>
              <w:rPr/>
            </w:pPr>
            <w:r>
              <w:t>L1</w:t>
            </w:r>
          </w:p>
        </w:tc>
        <w:tc>
          <w:tcPr>
            <w:tcW w:w="0" w:type="auto"/>
            <w:tcBorders/>
          </w:tcPr>
          <w:p w14:paraId="7E74221E">
            <w:pPr>
              <w:pStyle w:val="style4098"/>
              <w:jc w:val="center"/>
              <w:rPr/>
            </w:pPr>
            <w:r>
              <w:t>L2</w:t>
            </w:r>
          </w:p>
        </w:tc>
        <w:tc>
          <w:tcPr>
            <w:tcW w:w="0" w:type="auto"/>
            <w:tcBorders/>
          </w:tcPr>
          <w:p w14:paraId="8A50235A">
            <w:pPr>
              <w:pStyle w:val="style4098"/>
              <w:jc w:val="center"/>
              <w:rPr/>
            </w:pPr>
            <w:r>
              <w:t>L3</w:t>
            </w:r>
          </w:p>
        </w:tc>
      </w:tr>
      <w:tr w14:paraId="54531769">
        <w:tblPrEx/>
        <w:trPr/>
        <w:tc>
          <w:tcPr>
            <w:tcW w:w="0" w:type="auto"/>
            <w:tcBorders/>
          </w:tcPr>
          <w:p w14:paraId="31BD12EB">
            <w:pPr>
              <w:pStyle w:val="style4098"/>
              <w:jc w:val="center"/>
              <w:rPr/>
            </w:pPr>
            <w:r>
              <w:t>1</w:t>
            </w:r>
          </w:p>
        </w:tc>
        <w:tc>
          <w:tcPr>
            <w:tcW w:w="0" w:type="auto"/>
            <w:tcBorders/>
          </w:tcPr>
          <w:p w14:paraId="609FB51D">
            <w:pPr>
              <w:pStyle w:val="style4098"/>
              <w:jc w:val="left"/>
              <w:rPr/>
            </w:pPr>
            <w:r>
              <w:t>Incus 单节点 (incusd)</w:t>
            </w:r>
          </w:p>
        </w:tc>
        <w:tc>
          <w:tcPr>
            <w:tcW w:w="0" w:type="auto"/>
            <w:tcBorders/>
          </w:tcPr>
          <w:p w14:paraId="BFA7250F">
            <w:pPr>
              <w:pStyle w:val="style4098"/>
              <w:jc w:val="center"/>
              <w:rPr/>
            </w:pPr>
            <w:r>
              <w:t>0</w:t>
            </w:r>
          </w:p>
        </w:tc>
        <w:tc>
          <w:tcPr>
            <w:tcW w:w="0" w:type="auto"/>
            <w:tcBorders/>
          </w:tcPr>
          <w:p w14:paraId="CC723AF7">
            <w:pPr>
              <w:pStyle w:val="style4098"/>
              <w:jc w:val="center"/>
              <w:rPr/>
            </w:pPr>
            <w:r>
              <w:t>1</w:t>
            </w:r>
          </w:p>
        </w:tc>
        <w:tc>
          <w:tcPr>
            <w:tcW w:w="0" w:type="auto"/>
            <w:tcBorders/>
          </w:tcPr>
          <w:p w14:paraId="9C7BE7CA">
            <w:pPr>
              <w:pStyle w:val="style4098"/>
              <w:jc w:val="center"/>
              <w:rPr/>
            </w:pPr>
            <w:r>
              <w:t>1</w:t>
            </w:r>
          </w:p>
        </w:tc>
        <w:tc>
          <w:tcPr>
            <w:tcW w:w="0" w:type="auto"/>
            <w:tcBorders/>
          </w:tcPr>
          <w:p w14:paraId="669367D9">
            <w:pPr>
              <w:pStyle w:val="style4098"/>
              <w:jc w:val="center"/>
              <w:rPr/>
            </w:pPr>
            <w:r>
              <w:t>1</w:t>
            </w:r>
          </w:p>
        </w:tc>
        <w:tc>
          <w:tcPr>
            <w:tcW w:w="0" w:type="auto"/>
            <w:tcBorders/>
          </w:tcPr>
          <w:p w14:paraId="CF3571A8">
            <w:pPr>
              <w:pStyle w:val="style4098"/>
              <w:jc w:val="center"/>
              <w:rPr/>
            </w:pPr>
            <w:r>
              <w:rPr>
                <w:b/>
                <w:bCs/>
              </w:rPr>
              <w:t>0.6</w:t>
            </w:r>
          </w:p>
        </w:tc>
        <w:tc>
          <w:tcPr>
            <w:tcW w:w="0" w:type="auto"/>
            <w:tcBorders/>
          </w:tcPr>
          <w:p w14:paraId="EF5A1386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591C2E36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C7E1A8E3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B2F26FE4">
            <w:pPr>
              <w:pStyle w:val="style4098"/>
              <w:jc w:val="center"/>
              <w:rPr/>
            </w:pPr>
            <w:r>
              <w:t>✓</w:t>
            </w:r>
          </w:p>
        </w:tc>
      </w:tr>
      <w:tr w14:paraId="5F601D62">
        <w:tblPrEx/>
        <w:trPr/>
        <w:tc>
          <w:tcPr>
            <w:tcW w:w="0" w:type="auto"/>
            <w:tcBorders/>
          </w:tcPr>
          <w:p w14:paraId="767EBD23">
            <w:pPr>
              <w:pStyle w:val="style4098"/>
              <w:jc w:val="center"/>
              <w:rPr/>
            </w:pPr>
            <w:r>
              <w:t>2</w:t>
            </w:r>
          </w:p>
        </w:tc>
        <w:tc>
          <w:tcPr>
            <w:tcW w:w="0" w:type="auto"/>
            <w:tcBorders/>
          </w:tcPr>
          <w:p w14:paraId="D27234D8">
            <w:pPr>
              <w:pStyle w:val="style4098"/>
              <w:jc w:val="left"/>
              <w:rPr/>
            </w:pPr>
            <w:r>
              <w:t>KVM/QEMU (系统包)</w:t>
            </w:r>
          </w:p>
        </w:tc>
        <w:tc>
          <w:tcPr>
            <w:tcW w:w="0" w:type="auto"/>
            <w:tcBorders/>
          </w:tcPr>
          <w:p w14:paraId="9B0A8F33">
            <w:pPr>
              <w:pStyle w:val="style4098"/>
              <w:jc w:val="center"/>
              <w:rPr/>
            </w:pPr>
            <w:r>
              <w:t>0</w:t>
            </w:r>
          </w:p>
        </w:tc>
        <w:tc>
          <w:tcPr>
            <w:tcW w:w="0" w:type="auto"/>
            <w:tcBorders/>
          </w:tcPr>
          <w:p w14:paraId="9A90970A">
            <w:pPr>
              <w:pStyle w:val="style4098"/>
              <w:jc w:val="center"/>
              <w:rPr/>
            </w:pPr>
            <w:r>
              <w:t>1</w:t>
            </w:r>
          </w:p>
        </w:tc>
        <w:tc>
          <w:tcPr>
            <w:tcW w:w="0" w:type="auto"/>
            <w:tcBorders/>
          </w:tcPr>
          <w:p w14:paraId="C5CA2542">
            <w:pPr>
              <w:pStyle w:val="style4098"/>
              <w:jc w:val="center"/>
              <w:rPr/>
            </w:pPr>
            <w:r>
              <w:t>1</w:t>
            </w:r>
          </w:p>
        </w:tc>
        <w:tc>
          <w:tcPr>
            <w:tcW w:w="0" w:type="auto"/>
            <w:tcBorders/>
          </w:tcPr>
          <w:p w14:paraId="AB38026F">
            <w:pPr>
              <w:pStyle w:val="style4098"/>
              <w:jc w:val="center"/>
              <w:rPr/>
            </w:pPr>
            <w:r>
              <w:t>1</w:t>
            </w:r>
          </w:p>
        </w:tc>
        <w:tc>
          <w:tcPr>
            <w:tcW w:w="0" w:type="auto"/>
            <w:tcBorders/>
          </w:tcPr>
          <w:p w14:paraId="1AFC9400">
            <w:pPr>
              <w:pStyle w:val="style4098"/>
              <w:jc w:val="center"/>
              <w:rPr/>
            </w:pPr>
            <w:r>
              <w:rPr>
                <w:b/>
                <w:bCs/>
              </w:rPr>
              <w:t>0.6</w:t>
            </w:r>
          </w:p>
        </w:tc>
        <w:tc>
          <w:tcPr>
            <w:tcW w:w="0" w:type="auto"/>
            <w:tcBorders/>
          </w:tcPr>
          <w:p w14:paraId="0E625C05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67C5A09B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F8852E1D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BA968A58">
            <w:pPr>
              <w:pStyle w:val="style4098"/>
              <w:jc w:val="center"/>
              <w:rPr/>
            </w:pPr>
            <w:r>
              <w:t>✓</w:t>
            </w:r>
          </w:p>
        </w:tc>
      </w:tr>
      <w:tr w14:paraId="59897F09">
        <w:tblPrEx/>
        <w:trPr/>
        <w:tc>
          <w:tcPr>
            <w:tcW w:w="0" w:type="auto"/>
            <w:tcBorders/>
          </w:tcPr>
          <w:p w14:paraId="F3085242">
            <w:pPr>
              <w:pStyle w:val="style4098"/>
              <w:jc w:val="center"/>
              <w:rPr/>
            </w:pPr>
            <w:r>
              <w:t>3</w:t>
            </w:r>
          </w:p>
        </w:tc>
        <w:tc>
          <w:tcPr>
            <w:tcW w:w="0" w:type="auto"/>
            <w:tcBorders/>
          </w:tcPr>
          <w:p w14:paraId="2700DD8E">
            <w:pPr>
              <w:pStyle w:val="style4098"/>
              <w:jc w:val="left"/>
              <w:rPr/>
            </w:pPr>
            <w:r>
              <w:t>LXC 容器 (incusd 内置)</w:t>
            </w:r>
          </w:p>
        </w:tc>
        <w:tc>
          <w:tcPr>
            <w:tcW w:w="0" w:type="auto"/>
            <w:tcBorders/>
          </w:tcPr>
          <w:p w14:paraId="7FDDD3D4">
            <w:pPr>
              <w:pStyle w:val="style4098"/>
              <w:jc w:val="center"/>
              <w:rPr/>
            </w:pPr>
            <w:r>
              <w:t>0</w:t>
            </w:r>
          </w:p>
        </w:tc>
        <w:tc>
          <w:tcPr>
            <w:tcW w:w="0" w:type="auto"/>
            <w:tcBorders/>
          </w:tcPr>
          <w:p w14:paraId="0CA75BA4">
            <w:pPr>
              <w:pStyle w:val="style4098"/>
              <w:jc w:val="center"/>
              <w:rPr/>
            </w:pPr>
            <w:r>
              <w:t>1</w:t>
            </w:r>
          </w:p>
        </w:tc>
        <w:tc>
          <w:tcPr>
            <w:tcW w:w="0" w:type="auto"/>
            <w:tcBorders/>
          </w:tcPr>
          <w:p w14:paraId="D66FA104">
            <w:pPr>
              <w:pStyle w:val="style4098"/>
              <w:jc w:val="center"/>
              <w:rPr/>
            </w:pPr>
            <w:r>
              <w:t>1</w:t>
            </w:r>
          </w:p>
        </w:tc>
        <w:tc>
          <w:tcPr>
            <w:tcW w:w="0" w:type="auto"/>
            <w:tcBorders/>
          </w:tcPr>
          <w:p w14:paraId="CBC2EF27">
            <w:pPr>
              <w:pStyle w:val="style4098"/>
              <w:jc w:val="center"/>
              <w:rPr/>
            </w:pPr>
            <w:r>
              <w:t>2</w:t>
            </w:r>
          </w:p>
        </w:tc>
        <w:tc>
          <w:tcPr>
            <w:tcW w:w="0" w:type="auto"/>
            <w:tcBorders/>
          </w:tcPr>
          <w:p w14:paraId="E74DDF67">
            <w:pPr>
              <w:pStyle w:val="style4098"/>
              <w:jc w:val="center"/>
              <w:rPr/>
            </w:pPr>
            <w:r>
              <w:rPr>
                <w:b/>
                <w:bCs/>
              </w:rPr>
              <w:t>0.8</w:t>
            </w:r>
          </w:p>
        </w:tc>
        <w:tc>
          <w:tcPr>
            <w:tcW w:w="0" w:type="auto"/>
            <w:tcBorders/>
          </w:tcPr>
          <w:p w14:paraId="6D13A7E0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7AED958E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D0506278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AC0CECCE">
            <w:pPr>
              <w:pStyle w:val="style4098"/>
              <w:jc w:val="center"/>
              <w:rPr/>
            </w:pPr>
            <w:r>
              <w:t>✓</w:t>
            </w:r>
          </w:p>
        </w:tc>
      </w:tr>
      <w:tr w14:paraId="0DCB5D23">
        <w:tblPrEx/>
        <w:trPr/>
        <w:tc>
          <w:tcPr>
            <w:tcW w:w="0" w:type="auto"/>
            <w:tcBorders/>
          </w:tcPr>
          <w:p w14:paraId="6891F6B7">
            <w:pPr>
              <w:pStyle w:val="style4098"/>
              <w:jc w:val="center"/>
              <w:rPr/>
            </w:pPr>
            <w:r>
              <w:t>4</w:t>
            </w:r>
          </w:p>
        </w:tc>
        <w:tc>
          <w:tcPr>
            <w:tcW w:w="0" w:type="auto"/>
            <w:tcBorders/>
          </w:tcPr>
          <w:p w14:paraId="75F647AB">
            <w:pPr>
              <w:pStyle w:val="style4098"/>
              <w:jc w:val="left"/>
              <w:rPr/>
            </w:pPr>
            <w:r>
              <w:t>Linux Bridge + VLAN</w:t>
            </w:r>
          </w:p>
        </w:tc>
        <w:tc>
          <w:tcPr>
            <w:tcW w:w="0" w:type="auto"/>
            <w:tcBorders/>
          </w:tcPr>
          <w:p w14:paraId="75ED3BBA">
            <w:pPr>
              <w:pStyle w:val="style4098"/>
              <w:jc w:val="center"/>
              <w:rPr/>
            </w:pPr>
            <w:r>
              <w:t>0</w:t>
            </w:r>
          </w:p>
        </w:tc>
        <w:tc>
          <w:tcPr>
            <w:tcW w:w="0" w:type="auto"/>
            <w:tcBorders/>
          </w:tcPr>
          <w:p w14:paraId="5300D0B9">
            <w:pPr>
              <w:pStyle w:val="style4098"/>
              <w:jc w:val="center"/>
              <w:rPr/>
            </w:pPr>
            <w:r>
              <w:t>1</w:t>
            </w:r>
          </w:p>
        </w:tc>
        <w:tc>
          <w:tcPr>
            <w:tcW w:w="0" w:type="auto"/>
            <w:tcBorders/>
          </w:tcPr>
          <w:p w14:paraId="AF4DF0C9">
            <w:pPr>
              <w:pStyle w:val="style4098"/>
              <w:jc w:val="center"/>
              <w:rPr/>
            </w:pPr>
            <w:r>
              <w:t>2</w:t>
            </w:r>
          </w:p>
        </w:tc>
        <w:tc>
          <w:tcPr>
            <w:tcW w:w="0" w:type="auto"/>
            <w:tcBorders/>
          </w:tcPr>
          <w:p w14:paraId="ABB13B86">
            <w:pPr>
              <w:pStyle w:val="style4098"/>
              <w:jc w:val="center"/>
              <w:rPr/>
            </w:pPr>
            <w:r>
              <w:t>1</w:t>
            </w:r>
          </w:p>
        </w:tc>
        <w:tc>
          <w:tcPr>
            <w:tcW w:w="0" w:type="auto"/>
            <w:tcBorders/>
          </w:tcPr>
          <w:p w14:paraId="FE6B2175">
            <w:pPr>
              <w:pStyle w:val="style4098"/>
              <w:jc w:val="center"/>
              <w:rPr/>
            </w:pPr>
            <w:r>
              <w:rPr>
                <w:b/>
                <w:bCs/>
              </w:rPr>
              <w:t>0.9</w:t>
            </w:r>
          </w:p>
        </w:tc>
        <w:tc>
          <w:tcPr>
            <w:tcW w:w="0" w:type="auto"/>
            <w:tcBorders/>
          </w:tcPr>
          <w:p w14:paraId="886FD00A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E0FCA749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CFD00754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DC045F21">
            <w:pPr>
              <w:pStyle w:val="style4098"/>
              <w:jc w:val="center"/>
              <w:rPr/>
            </w:pPr>
            <w:r>
              <w:t>✓</w:t>
            </w:r>
          </w:p>
        </w:tc>
      </w:tr>
      <w:tr w14:paraId="2F4020F8">
        <w:tblPrEx/>
        <w:trPr/>
        <w:tc>
          <w:tcPr>
            <w:tcW w:w="0" w:type="auto"/>
            <w:tcBorders/>
          </w:tcPr>
          <w:p w14:paraId="2F51EB30">
            <w:pPr>
              <w:pStyle w:val="style4098"/>
              <w:jc w:val="center"/>
              <w:rPr/>
            </w:pPr>
            <w:r>
              <w:t>5</w:t>
            </w:r>
          </w:p>
        </w:tc>
        <w:tc>
          <w:tcPr>
            <w:tcW w:w="0" w:type="auto"/>
            <w:tcBorders/>
          </w:tcPr>
          <w:p w14:paraId="68D14CC6">
            <w:pPr>
              <w:pStyle w:val="style4098"/>
              <w:jc w:val="left"/>
              <w:rPr/>
            </w:pPr>
            <w:r>
              <w:t>ZFS/Btrfs 本地存储</w:t>
            </w:r>
          </w:p>
        </w:tc>
        <w:tc>
          <w:tcPr>
            <w:tcW w:w="0" w:type="auto"/>
            <w:tcBorders/>
          </w:tcPr>
          <w:p w14:paraId="00145027">
            <w:pPr>
              <w:pStyle w:val="style4098"/>
              <w:jc w:val="center"/>
              <w:rPr/>
            </w:pPr>
            <w:r>
              <w:t>0</w:t>
            </w:r>
          </w:p>
        </w:tc>
        <w:tc>
          <w:tcPr>
            <w:tcW w:w="0" w:type="auto"/>
            <w:tcBorders/>
          </w:tcPr>
          <w:p w14:paraId="1D680168">
            <w:pPr>
              <w:pStyle w:val="style4098"/>
              <w:jc w:val="center"/>
              <w:rPr/>
            </w:pPr>
            <w:r>
              <w:t>2</w:t>
            </w:r>
          </w:p>
        </w:tc>
        <w:tc>
          <w:tcPr>
            <w:tcW w:w="0" w:type="auto"/>
            <w:tcBorders/>
          </w:tcPr>
          <w:p w14:paraId="12C29224">
            <w:pPr>
              <w:pStyle w:val="style4098"/>
              <w:jc w:val="center"/>
              <w:rPr/>
            </w:pPr>
            <w:r>
              <w:t>2</w:t>
            </w:r>
          </w:p>
        </w:tc>
        <w:tc>
          <w:tcPr>
            <w:tcW w:w="0" w:type="auto"/>
            <w:tcBorders/>
          </w:tcPr>
          <w:p w14:paraId="504EA11E">
            <w:pPr>
              <w:pStyle w:val="style4098"/>
              <w:jc w:val="center"/>
              <w:rPr/>
            </w:pPr>
            <w:r>
              <w:t>2</w:t>
            </w:r>
          </w:p>
        </w:tc>
        <w:tc>
          <w:tcPr>
            <w:tcW w:w="0" w:type="auto"/>
            <w:tcBorders/>
          </w:tcPr>
          <w:p w14:paraId="2A4A22AF">
            <w:pPr>
              <w:pStyle w:val="style4098"/>
              <w:jc w:val="center"/>
              <w:rPr/>
            </w:pPr>
            <w:r>
              <w:rPr>
                <w:b/>
                <w:bCs/>
              </w:rPr>
              <w:t>1.4</w:t>
            </w:r>
          </w:p>
        </w:tc>
        <w:tc>
          <w:tcPr>
            <w:tcW w:w="0" w:type="auto"/>
            <w:tcBorders/>
          </w:tcPr>
          <w:p w14:paraId="35797ABA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99843E2B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01A75A66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3E62456F">
            <w:pPr>
              <w:pStyle w:val="style4098"/>
              <w:jc w:val="center"/>
              <w:rPr/>
            </w:pPr>
            <w:r>
              <w:t>✓</w:t>
            </w:r>
          </w:p>
        </w:tc>
      </w:tr>
      <w:tr w14:paraId="5D841FA0">
        <w:tblPrEx/>
        <w:trPr/>
        <w:tc>
          <w:tcPr>
            <w:tcW w:w="0" w:type="auto"/>
            <w:tcBorders/>
          </w:tcPr>
          <w:p w14:paraId="8C454D10">
            <w:pPr>
              <w:pStyle w:val="style4098"/>
              <w:jc w:val="center"/>
              <w:rPr/>
            </w:pPr>
            <w:r>
              <w:t>6</w:t>
            </w:r>
          </w:p>
        </w:tc>
        <w:tc>
          <w:tcPr>
            <w:tcW w:w="0" w:type="auto"/>
            <w:tcBorders/>
          </w:tcPr>
          <w:p w14:paraId="7BCFBA2C">
            <w:pPr>
              <w:pStyle w:val="style4098"/>
              <w:jc w:val="left"/>
              <w:rPr/>
            </w:pPr>
            <w:r>
              <w:t>Incus 集群 (Cowsql Raft)</w:t>
            </w:r>
          </w:p>
        </w:tc>
        <w:tc>
          <w:tcPr>
            <w:tcW w:w="0" w:type="auto"/>
            <w:tcBorders/>
          </w:tcPr>
          <w:p w14:paraId="D934AAFA">
            <w:pPr>
              <w:pStyle w:val="style4098"/>
              <w:jc w:val="center"/>
              <w:rPr/>
            </w:pPr>
            <w:r>
              <w:t>0</w:t>
            </w:r>
          </w:p>
        </w:tc>
        <w:tc>
          <w:tcPr>
            <w:tcW w:w="0" w:type="auto"/>
            <w:tcBorders/>
          </w:tcPr>
          <w:p w14:paraId="34253C3F">
            <w:pPr>
              <w:pStyle w:val="style4098"/>
              <w:jc w:val="center"/>
              <w:rPr/>
            </w:pPr>
            <w:r>
              <w:t>2</w:t>
            </w:r>
          </w:p>
        </w:tc>
        <w:tc>
          <w:tcPr>
            <w:tcW w:w="0" w:type="auto"/>
            <w:tcBorders/>
          </w:tcPr>
          <w:p w14:paraId="716DC96B">
            <w:pPr>
              <w:pStyle w:val="style4098"/>
              <w:jc w:val="center"/>
              <w:rPr/>
            </w:pPr>
            <w:r>
              <w:t>3</w:t>
            </w:r>
          </w:p>
        </w:tc>
        <w:tc>
          <w:tcPr>
            <w:tcW w:w="0" w:type="auto"/>
            <w:tcBorders/>
          </w:tcPr>
          <w:p w14:paraId="E417176B">
            <w:pPr>
              <w:pStyle w:val="style4098"/>
              <w:jc w:val="center"/>
              <w:rPr/>
            </w:pPr>
            <w:r>
              <w:t>2</w:t>
            </w:r>
          </w:p>
        </w:tc>
        <w:tc>
          <w:tcPr>
            <w:tcW w:w="0" w:type="auto"/>
            <w:tcBorders/>
          </w:tcPr>
          <w:p w14:paraId="C650B06D">
            <w:pPr>
              <w:pStyle w:val="style4098"/>
              <w:jc w:val="center"/>
              <w:rPr/>
            </w:pPr>
            <w:r>
              <w:rPr>
                <w:b/>
                <w:bCs/>
              </w:rPr>
              <w:t>1.8</w:t>
            </w:r>
          </w:p>
        </w:tc>
        <w:tc>
          <w:tcPr>
            <w:tcW w:w="0" w:type="auto"/>
            <w:tcBorders/>
          </w:tcPr>
          <w:p w14:paraId="37011219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CDDC93C9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EC23734B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3EAF801B">
            <w:pPr>
              <w:pStyle w:val="style4098"/>
              <w:jc w:val="center"/>
              <w:rPr/>
            </w:pPr>
            <w:r>
              <w:t>✓</w:t>
            </w:r>
          </w:p>
        </w:tc>
      </w:tr>
      <w:tr w14:paraId="1703AB46">
        <w:tblPrEx/>
        <w:trPr/>
        <w:tc>
          <w:tcPr>
            <w:tcW w:w="0" w:type="auto"/>
            <w:tcBorders/>
          </w:tcPr>
          <w:p w14:paraId="8B31D38C">
            <w:pPr>
              <w:pStyle w:val="style4098"/>
              <w:jc w:val="center"/>
              <w:rPr/>
            </w:pPr>
            <w:r>
              <w:t>7</w:t>
            </w:r>
          </w:p>
        </w:tc>
        <w:tc>
          <w:tcPr>
            <w:tcW w:w="0" w:type="auto"/>
            <w:tcBorders/>
          </w:tcPr>
          <w:p w14:paraId="9D922CD7">
            <w:pPr>
              <w:pStyle w:val="style4098"/>
              <w:jc w:val="left"/>
              <w:rPr/>
            </w:pPr>
            <w:r>
              <w:t>OVN SDN 网络</w:t>
            </w:r>
          </w:p>
        </w:tc>
        <w:tc>
          <w:tcPr>
            <w:tcW w:w="0" w:type="auto"/>
            <w:tcBorders/>
          </w:tcPr>
          <w:p w14:paraId="79A78DBB">
            <w:pPr>
              <w:pStyle w:val="style4098"/>
              <w:jc w:val="center"/>
              <w:rPr/>
            </w:pPr>
            <w:r>
              <w:t>~500</w:t>
            </w:r>
          </w:p>
        </w:tc>
        <w:tc>
          <w:tcPr>
            <w:tcW w:w="0" w:type="auto"/>
            <w:tcBorders/>
          </w:tcPr>
          <w:p w14:paraId="48276CFC">
            <w:pPr>
              <w:pStyle w:val="style4098"/>
              <w:jc w:val="center"/>
              <w:rPr/>
            </w:pPr>
            <w:r>
              <w:t>3</w:t>
            </w:r>
          </w:p>
        </w:tc>
        <w:tc>
          <w:tcPr>
            <w:tcW w:w="0" w:type="auto"/>
            <w:tcBorders/>
          </w:tcPr>
          <w:p w14:paraId="2C976CCA">
            <w:pPr>
              <w:pStyle w:val="style4098"/>
              <w:jc w:val="center"/>
              <w:rPr/>
            </w:pPr>
            <w:r>
              <w:t>3</w:t>
            </w:r>
          </w:p>
        </w:tc>
        <w:tc>
          <w:tcPr>
            <w:tcW w:w="0" w:type="auto"/>
            <w:tcBorders/>
          </w:tcPr>
          <w:p w14:paraId="6901B9DC">
            <w:pPr>
              <w:pStyle w:val="style4098"/>
              <w:jc w:val="center"/>
              <w:rPr/>
            </w:pPr>
            <w:r>
              <w:t>2</w:t>
            </w:r>
          </w:p>
        </w:tc>
        <w:tc>
          <w:tcPr>
            <w:tcW w:w="0" w:type="auto"/>
            <w:tcBorders/>
          </w:tcPr>
          <w:p w14:paraId="8CF10B34">
            <w:pPr>
              <w:pStyle w:val="style4098"/>
              <w:jc w:val="center"/>
              <w:rPr/>
            </w:pPr>
            <w:r>
              <w:rPr>
                <w:b/>
                <w:bCs/>
              </w:rPr>
              <w:t>2.6</w:t>
            </w:r>
          </w:p>
        </w:tc>
        <w:tc>
          <w:tcPr>
            <w:tcW w:w="0" w:type="auto"/>
            <w:tcBorders/>
          </w:tcPr>
          <w:p w14:paraId="2FE790D3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8C81505C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69DD029D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0371787D">
            <w:pPr>
              <w:pStyle w:val="style4098"/>
              <w:jc w:val="center"/>
              <w:rPr/>
            </w:pPr>
            <w:r>
              <w:t>✓</w:t>
            </w:r>
          </w:p>
        </w:tc>
      </w:tr>
      <w:tr w14:paraId="7428CE18">
        <w:tblPrEx/>
        <w:trPr/>
        <w:tc>
          <w:tcPr>
            <w:tcW w:w="0" w:type="auto"/>
            <w:tcBorders/>
          </w:tcPr>
          <w:p w14:paraId="239CF5E3">
            <w:pPr>
              <w:pStyle w:val="style4098"/>
              <w:jc w:val="center"/>
              <w:rPr/>
            </w:pPr>
            <w:r>
              <w:t>8</w:t>
            </w:r>
          </w:p>
        </w:tc>
        <w:tc>
          <w:tcPr>
            <w:tcW w:w="0" w:type="auto"/>
            <w:tcBorders/>
          </w:tcPr>
          <w:p w14:paraId="BC3E6F08">
            <w:pPr>
              <w:pStyle w:val="style4098"/>
              <w:jc w:val="left"/>
              <w:rPr/>
            </w:pPr>
            <w:r>
              <w:t>Kata Containers + containerd</w:t>
            </w:r>
          </w:p>
        </w:tc>
        <w:tc>
          <w:tcPr>
            <w:tcW w:w="0" w:type="auto"/>
            <w:tcBorders/>
          </w:tcPr>
          <w:p w14:paraId="8D750330">
            <w:pPr>
              <w:pStyle w:val="style4098"/>
              <w:jc w:val="center"/>
              <w:rPr/>
            </w:pPr>
            <w:r>
              <w:t>~1,500</w:t>
            </w:r>
          </w:p>
        </w:tc>
        <w:tc>
          <w:tcPr>
            <w:tcW w:w="0" w:type="auto"/>
            <w:tcBorders/>
          </w:tcPr>
          <w:p w14:paraId="A82D2A26">
            <w:pPr>
              <w:pStyle w:val="style4098"/>
              <w:jc w:val="center"/>
              <w:rPr/>
            </w:pPr>
            <w:r>
              <w:t>3</w:t>
            </w:r>
          </w:p>
        </w:tc>
        <w:tc>
          <w:tcPr>
            <w:tcW w:w="0" w:type="auto"/>
            <w:tcBorders/>
          </w:tcPr>
          <w:p w14:paraId="BE829E41">
            <w:pPr>
              <w:pStyle w:val="style4098"/>
              <w:jc w:val="center"/>
              <w:rPr/>
            </w:pPr>
            <w:r>
              <w:t>3</w:t>
            </w:r>
          </w:p>
        </w:tc>
        <w:tc>
          <w:tcPr>
            <w:tcW w:w="0" w:type="auto"/>
            <w:tcBorders/>
          </w:tcPr>
          <w:p w14:paraId="377F4DC7">
            <w:pPr>
              <w:pStyle w:val="style4098"/>
              <w:jc w:val="center"/>
              <w:rPr/>
            </w:pPr>
            <w:r>
              <w:t>3</w:t>
            </w:r>
          </w:p>
        </w:tc>
        <w:tc>
          <w:tcPr>
            <w:tcW w:w="0" w:type="auto"/>
            <w:tcBorders/>
          </w:tcPr>
          <w:p w14:paraId="BCDD983B">
            <w:pPr>
              <w:pStyle w:val="style4098"/>
              <w:jc w:val="center"/>
              <w:rPr/>
            </w:pPr>
            <w:r>
              <w:rPr>
                <w:b/>
                <w:bCs/>
              </w:rPr>
              <w:t>2.8</w:t>
            </w:r>
          </w:p>
        </w:tc>
        <w:tc>
          <w:tcPr>
            <w:tcW w:w="0" w:type="auto"/>
            <w:tcBorders/>
          </w:tcPr>
          <w:p w14:paraId="A139C09B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D012C8A4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5F27B64D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550D2045">
            <w:pPr>
              <w:pStyle w:val="style4098"/>
              <w:jc w:val="center"/>
              <w:rPr/>
            </w:pPr>
            <w:r>
              <w:t>✓</w:t>
            </w:r>
          </w:p>
        </w:tc>
      </w:tr>
      <w:tr w14:paraId="A5089BA3">
        <w:tblPrEx/>
        <w:trPr/>
        <w:tc>
          <w:tcPr>
            <w:tcW w:w="0" w:type="auto"/>
            <w:tcBorders/>
          </w:tcPr>
          <w:p w14:paraId="24E017C5">
            <w:pPr>
              <w:pStyle w:val="style4098"/>
              <w:jc w:val="center"/>
              <w:rPr/>
            </w:pPr>
            <w:r>
              <w:t>9</w:t>
            </w:r>
          </w:p>
        </w:tc>
        <w:tc>
          <w:tcPr>
            <w:tcW w:w="0" w:type="auto"/>
            <w:tcBorders/>
          </w:tcPr>
          <w:p w14:paraId="A2763002">
            <w:pPr>
              <w:pStyle w:val="style4098"/>
              <w:jc w:val="left"/>
              <w:rPr/>
            </w:pPr>
            <w:r>
              <w:t>RuntimeClass 多隔离级别</w:t>
            </w:r>
          </w:p>
        </w:tc>
        <w:tc>
          <w:tcPr>
            <w:tcW w:w="0" w:type="auto"/>
            <w:tcBorders/>
          </w:tcPr>
          <w:p w14:paraId="66E797C4">
            <w:pPr>
              <w:pStyle w:val="style4098"/>
              <w:jc w:val="center"/>
              <w:rPr/>
            </w:pPr>
            <w:r>
              <w:t>~500</w:t>
            </w:r>
          </w:p>
        </w:tc>
        <w:tc>
          <w:tcPr>
            <w:tcW w:w="0" w:type="auto"/>
            <w:tcBorders/>
          </w:tcPr>
          <w:p w14:paraId="E3463893">
            <w:pPr>
              <w:pStyle w:val="style4098"/>
              <w:jc w:val="center"/>
              <w:rPr/>
            </w:pPr>
            <w:r>
              <w:t>2</w:t>
            </w:r>
          </w:p>
        </w:tc>
        <w:tc>
          <w:tcPr>
            <w:tcW w:w="0" w:type="auto"/>
            <w:tcBorders/>
          </w:tcPr>
          <w:p w14:paraId="A6D98D5B">
            <w:pPr>
              <w:pStyle w:val="style4098"/>
              <w:jc w:val="center"/>
              <w:rPr/>
            </w:pPr>
            <w:r>
              <w:t>2</w:t>
            </w:r>
          </w:p>
        </w:tc>
        <w:tc>
          <w:tcPr>
            <w:tcW w:w="0" w:type="auto"/>
            <w:tcBorders/>
          </w:tcPr>
          <w:p w14:paraId="206F4408">
            <w:pPr>
              <w:pStyle w:val="style4098"/>
              <w:jc w:val="center"/>
              <w:rPr/>
            </w:pPr>
            <w:r>
              <w:t>3</w:t>
            </w:r>
          </w:p>
        </w:tc>
        <w:tc>
          <w:tcPr>
            <w:tcW w:w="0" w:type="auto"/>
            <w:tcBorders/>
          </w:tcPr>
          <w:p w14:paraId="2302B494">
            <w:pPr>
              <w:pStyle w:val="style4098"/>
              <w:jc w:val="center"/>
              <w:rPr/>
            </w:pPr>
            <w:r>
              <w:rPr>
                <w:b/>
                <w:bCs/>
              </w:rPr>
              <w:t>2.0</w:t>
            </w:r>
          </w:p>
        </w:tc>
        <w:tc>
          <w:tcPr>
            <w:tcW w:w="0" w:type="auto"/>
            <w:tcBorders/>
          </w:tcPr>
          <w:p w14:paraId="3629FE4D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ACC75C00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3C8E94B3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1C5E7170">
            <w:pPr>
              <w:pStyle w:val="style4098"/>
              <w:jc w:val="center"/>
              <w:rPr/>
            </w:pPr>
            <w:r>
              <w:t>✓</w:t>
            </w:r>
          </w:p>
        </w:tc>
      </w:tr>
      <w:tr w14:paraId="5EA0A5A6">
        <w:tblPrEx/>
        <w:trPr/>
        <w:tc>
          <w:tcPr>
            <w:tcW w:w="0" w:type="auto"/>
            <w:tcBorders/>
          </w:tcPr>
          <w:p w14:paraId="1AE1AE83">
            <w:pPr>
              <w:pStyle w:val="style4098"/>
              <w:jc w:val="center"/>
              <w:rPr/>
            </w:pPr>
            <w:r>
              <w:t>10</w:t>
            </w:r>
          </w:p>
        </w:tc>
        <w:tc>
          <w:tcPr>
            <w:tcW w:w="0" w:type="auto"/>
            <w:tcBorders/>
          </w:tcPr>
          <w:p w14:paraId="D679B32B">
            <w:pPr>
              <w:pStyle w:val="style4098"/>
              <w:jc w:val="left"/>
              <w:rPr/>
            </w:pPr>
            <w:r>
              <w:t>Kubernetes 核心 (kubeadm)</w:t>
            </w:r>
          </w:p>
        </w:tc>
        <w:tc>
          <w:tcPr>
            <w:tcW w:w="0" w:type="auto"/>
            <w:tcBorders/>
          </w:tcPr>
          <w:p w14:paraId="52FCE02B">
            <w:pPr>
              <w:pStyle w:val="style4098"/>
              <w:jc w:val="center"/>
              <w:rPr/>
            </w:pPr>
            <w:r>
              <w:t>0</w:t>
            </w:r>
          </w:p>
        </w:tc>
        <w:tc>
          <w:tcPr>
            <w:tcW w:w="0" w:type="auto"/>
            <w:tcBorders/>
          </w:tcPr>
          <w:p w14:paraId="9B891CE1">
            <w:pPr>
              <w:pStyle w:val="style4098"/>
              <w:jc w:val="center"/>
              <w:rPr/>
            </w:pPr>
            <w:r>
              <w:t>3</w:t>
            </w:r>
          </w:p>
        </w:tc>
        <w:tc>
          <w:tcPr>
            <w:tcW w:w="0" w:type="auto"/>
            <w:tcBorders/>
          </w:tcPr>
          <w:p w14:paraId="303A1539">
            <w:pPr>
              <w:pStyle w:val="style4098"/>
              <w:jc w:val="center"/>
              <w:rPr/>
            </w:pPr>
            <w:r>
              <w:t>4</w:t>
            </w:r>
          </w:p>
        </w:tc>
        <w:tc>
          <w:tcPr>
            <w:tcW w:w="0" w:type="auto"/>
            <w:tcBorders/>
          </w:tcPr>
          <w:p w14:paraId="E316D752">
            <w:pPr>
              <w:pStyle w:val="style4098"/>
              <w:jc w:val="center"/>
              <w:rPr/>
            </w:pPr>
            <w:r>
              <w:t>3</w:t>
            </w:r>
          </w:p>
        </w:tc>
        <w:tc>
          <w:tcPr>
            <w:tcW w:w="0" w:type="auto"/>
            <w:tcBorders/>
          </w:tcPr>
          <w:p w14:paraId="B3F77D49">
            <w:pPr>
              <w:pStyle w:val="style4098"/>
              <w:jc w:val="center"/>
              <w:rPr/>
            </w:pPr>
            <w:r>
              <w:rPr>
                <w:b/>
                <w:bCs/>
              </w:rPr>
              <w:t>3.1</w:t>
            </w:r>
          </w:p>
        </w:tc>
        <w:tc>
          <w:tcPr>
            <w:tcW w:w="0" w:type="auto"/>
            <w:tcBorders/>
          </w:tcPr>
          <w:p w14:paraId="ACA7E24C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DD474DBF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217F48AD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08EC7C17">
            <w:pPr>
              <w:pStyle w:val="style4098"/>
              <w:jc w:val="center"/>
              <w:rPr/>
            </w:pPr>
            <w:r>
              <w:t>✓</w:t>
            </w:r>
          </w:p>
        </w:tc>
      </w:tr>
      <w:tr w14:paraId="3297A71B">
        <w:tblPrEx/>
        <w:trPr/>
        <w:tc>
          <w:tcPr>
            <w:tcW w:w="0" w:type="auto"/>
            <w:tcBorders/>
          </w:tcPr>
          <w:p w14:paraId="275E2DBA">
            <w:pPr>
              <w:pStyle w:val="style4098"/>
              <w:jc w:val="center"/>
              <w:rPr/>
            </w:pPr>
            <w:r>
              <w:t>11</w:t>
            </w:r>
          </w:p>
        </w:tc>
        <w:tc>
          <w:tcPr>
            <w:tcW w:w="0" w:type="auto"/>
            <w:tcBorders/>
          </w:tcPr>
          <w:p w14:paraId="0B10F359">
            <w:pPr>
              <w:pStyle w:val="style4098"/>
              <w:jc w:val="left"/>
              <w:rPr/>
            </w:pPr>
            <w:r>
              <w:t>Cilium CNI (eBPF)</w:t>
            </w:r>
          </w:p>
        </w:tc>
        <w:tc>
          <w:tcPr>
            <w:tcW w:w="0" w:type="auto"/>
            <w:tcBorders/>
          </w:tcPr>
          <w:p w14:paraId="76A50168">
            <w:pPr>
              <w:pStyle w:val="style4098"/>
              <w:jc w:val="center"/>
              <w:rPr/>
            </w:pPr>
            <w:r>
              <w:t>~2,000</w:t>
            </w:r>
          </w:p>
        </w:tc>
        <w:tc>
          <w:tcPr>
            <w:tcW w:w="0" w:type="auto"/>
            <w:tcBorders/>
          </w:tcPr>
          <w:p w14:paraId="D9E9427D">
            <w:pPr>
              <w:pStyle w:val="style4098"/>
              <w:jc w:val="center"/>
              <w:rPr/>
            </w:pPr>
            <w:r>
              <w:t>4</w:t>
            </w:r>
          </w:p>
        </w:tc>
        <w:tc>
          <w:tcPr>
            <w:tcW w:w="0" w:type="auto"/>
            <w:tcBorders/>
          </w:tcPr>
          <w:p w14:paraId="C417FC73">
            <w:pPr>
              <w:pStyle w:val="style4098"/>
              <w:jc w:val="center"/>
              <w:rPr/>
            </w:pPr>
            <w:r>
              <w:t>4</w:t>
            </w:r>
          </w:p>
        </w:tc>
        <w:tc>
          <w:tcPr>
            <w:tcW w:w="0" w:type="auto"/>
            <w:tcBorders/>
          </w:tcPr>
          <w:p w14:paraId="D770393F">
            <w:pPr>
              <w:pStyle w:val="style4098"/>
              <w:jc w:val="center"/>
              <w:rPr/>
            </w:pPr>
            <w:r>
              <w:t>3</w:t>
            </w:r>
          </w:p>
        </w:tc>
        <w:tc>
          <w:tcPr>
            <w:tcW w:w="0" w:type="auto"/>
            <w:tcBorders/>
          </w:tcPr>
          <w:p w14:paraId="8107CD98">
            <w:pPr>
              <w:pStyle w:val="style4098"/>
              <w:jc w:val="center"/>
              <w:rPr/>
            </w:pPr>
            <w:r>
              <w:rPr>
                <w:b/>
                <w:bCs/>
              </w:rPr>
              <w:t>3.5</w:t>
            </w:r>
          </w:p>
        </w:tc>
        <w:tc>
          <w:tcPr>
            <w:tcW w:w="0" w:type="auto"/>
            <w:tcBorders/>
          </w:tcPr>
          <w:p w14:paraId="F339E610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98881F2D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19DDB419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588681CB">
            <w:pPr>
              <w:pStyle w:val="style4098"/>
              <w:jc w:val="center"/>
              <w:rPr/>
            </w:pPr>
            <w:r>
              <w:t>✓</w:t>
            </w:r>
          </w:p>
        </w:tc>
      </w:tr>
      <w:tr w14:paraId="E7C14281">
        <w:tblPrEx/>
        <w:trPr/>
        <w:tc>
          <w:tcPr>
            <w:tcW w:w="0" w:type="auto"/>
            <w:tcBorders/>
          </w:tcPr>
          <w:p w14:paraId="FCF4C3F8">
            <w:pPr>
              <w:pStyle w:val="style4098"/>
              <w:jc w:val="center"/>
              <w:rPr/>
            </w:pPr>
            <w:r>
              <w:t>12</w:t>
            </w:r>
          </w:p>
        </w:tc>
        <w:tc>
          <w:tcPr>
            <w:tcW w:w="0" w:type="auto"/>
            <w:tcBorders/>
          </w:tcPr>
          <w:p w14:paraId="7F91EDDE">
            <w:pPr>
              <w:pStyle w:val="style4098"/>
              <w:jc w:val="left"/>
              <w:rPr/>
            </w:pPr>
            <w:r>
              <w:t>Ceph RBD 存储 (Rook)</w:t>
            </w:r>
          </w:p>
        </w:tc>
        <w:tc>
          <w:tcPr>
            <w:tcW w:w="0" w:type="auto"/>
            <w:tcBorders/>
          </w:tcPr>
          <w:p w14:paraId="BD5CA7F8">
            <w:pPr>
              <w:pStyle w:val="style4098"/>
              <w:jc w:val="center"/>
              <w:rPr/>
            </w:pPr>
            <w:r>
              <w:t>~1,000</w:t>
            </w:r>
          </w:p>
        </w:tc>
        <w:tc>
          <w:tcPr>
            <w:tcW w:w="0" w:type="auto"/>
            <w:tcBorders/>
          </w:tcPr>
          <w:p w14:paraId="94C14C48">
            <w:pPr>
              <w:pStyle w:val="style4098"/>
              <w:jc w:val="center"/>
              <w:rPr/>
            </w:pPr>
            <w:r>
              <w:t>4</w:t>
            </w:r>
          </w:p>
        </w:tc>
        <w:tc>
          <w:tcPr>
            <w:tcW w:w="0" w:type="auto"/>
            <w:tcBorders/>
          </w:tcPr>
          <w:p w14:paraId="DA6B07C0">
            <w:pPr>
              <w:pStyle w:val="style4098"/>
              <w:jc w:val="center"/>
              <w:rPr/>
            </w:pPr>
            <w:r>
              <w:t>4</w:t>
            </w:r>
          </w:p>
        </w:tc>
        <w:tc>
          <w:tcPr>
            <w:tcW w:w="0" w:type="auto"/>
            <w:tcBorders/>
          </w:tcPr>
          <w:p w14:paraId="D9ECE73D">
            <w:pPr>
              <w:pStyle w:val="style4098"/>
              <w:jc w:val="center"/>
              <w:rPr/>
            </w:pPr>
            <w:r>
              <w:t>3</w:t>
            </w:r>
          </w:p>
        </w:tc>
        <w:tc>
          <w:tcPr>
            <w:tcW w:w="0" w:type="auto"/>
            <w:tcBorders/>
          </w:tcPr>
          <w:p w14:paraId="9EEB4480">
            <w:pPr>
              <w:pStyle w:val="style4098"/>
              <w:jc w:val="center"/>
              <w:rPr/>
            </w:pPr>
            <w:r>
              <w:rPr>
                <w:b/>
                <w:bCs/>
              </w:rPr>
              <w:t>3.5</w:t>
            </w:r>
          </w:p>
        </w:tc>
        <w:tc>
          <w:tcPr>
            <w:tcW w:w="0" w:type="auto"/>
            <w:tcBorders/>
          </w:tcPr>
          <w:p w14:paraId="2865BEE7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C76BA01A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37123840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72C0EE31">
            <w:pPr>
              <w:pStyle w:val="style4098"/>
              <w:jc w:val="center"/>
              <w:rPr/>
            </w:pPr>
            <w:r>
              <w:t>✓</w:t>
            </w:r>
          </w:p>
        </w:tc>
      </w:tr>
      <w:tr w14:paraId="022BA509">
        <w:tblPrEx/>
        <w:trPr/>
        <w:tc>
          <w:tcPr>
            <w:tcW w:w="0" w:type="auto"/>
            <w:tcBorders/>
          </w:tcPr>
          <w:p w14:paraId="67872E3C">
            <w:pPr>
              <w:pStyle w:val="style4098"/>
              <w:jc w:val="center"/>
              <w:rPr/>
            </w:pPr>
            <w:r>
              <w:t>13</w:t>
            </w:r>
          </w:p>
        </w:tc>
        <w:tc>
          <w:tcPr>
            <w:tcW w:w="0" w:type="auto"/>
            <w:tcBorders/>
          </w:tcPr>
          <w:p w14:paraId="82B97C4B">
            <w:pPr>
              <w:pStyle w:val="style4098"/>
              <w:jc w:val="left"/>
              <w:rPr/>
            </w:pPr>
            <w:r>
              <w:t>KubeVirt VM 编排</w:t>
            </w:r>
          </w:p>
        </w:tc>
        <w:tc>
          <w:tcPr>
            <w:tcW w:w="0" w:type="auto"/>
            <w:tcBorders/>
          </w:tcPr>
          <w:p w14:paraId="CB7046D7">
            <w:pPr>
              <w:pStyle w:val="style4098"/>
              <w:jc w:val="center"/>
              <w:rPr/>
            </w:pPr>
            <w:r>
              <w:t>~3,000</w:t>
            </w:r>
          </w:p>
        </w:tc>
        <w:tc>
          <w:tcPr>
            <w:tcW w:w="0" w:type="auto"/>
            <w:tcBorders/>
          </w:tcPr>
          <w:p w14:paraId="EB53F4C7">
            <w:pPr>
              <w:pStyle w:val="style4098"/>
              <w:jc w:val="center"/>
              <w:rPr/>
            </w:pPr>
            <w:r>
              <w:t>4</w:t>
            </w:r>
          </w:p>
        </w:tc>
        <w:tc>
          <w:tcPr>
            <w:tcW w:w="0" w:type="auto"/>
            <w:tcBorders/>
          </w:tcPr>
          <w:p w14:paraId="540EDECF">
            <w:pPr>
              <w:pStyle w:val="style4098"/>
              <w:jc w:val="center"/>
              <w:rPr/>
            </w:pPr>
            <w:r>
              <w:t>4</w:t>
            </w:r>
          </w:p>
        </w:tc>
        <w:tc>
          <w:tcPr>
            <w:tcW w:w="0" w:type="auto"/>
            <w:tcBorders/>
          </w:tcPr>
          <w:p w14:paraId="220849D7">
            <w:pPr>
              <w:pStyle w:val="style4098"/>
              <w:jc w:val="center"/>
              <w:rPr/>
            </w:pPr>
            <w:r>
              <w:t>3</w:t>
            </w:r>
          </w:p>
        </w:tc>
        <w:tc>
          <w:tcPr>
            <w:tcW w:w="0" w:type="auto"/>
            <w:tcBorders/>
          </w:tcPr>
          <w:p w14:paraId="2B3BADE8">
            <w:pPr>
              <w:pStyle w:val="style4098"/>
              <w:jc w:val="center"/>
              <w:rPr/>
            </w:pPr>
            <w:r>
              <w:rPr>
                <w:b/>
                <w:bCs/>
              </w:rPr>
              <w:t>3.7</w:t>
            </w:r>
          </w:p>
        </w:tc>
        <w:tc>
          <w:tcPr>
            <w:tcW w:w="0" w:type="auto"/>
            <w:tcBorders/>
          </w:tcPr>
          <w:p w14:paraId="DC4D717A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66FB2642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D22D95E3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A8D808F5">
            <w:pPr>
              <w:pStyle w:val="style4098"/>
              <w:jc w:val="center"/>
              <w:rPr/>
            </w:pPr>
            <w:r>
              <w:t>✓</w:t>
            </w:r>
          </w:p>
        </w:tc>
      </w:tr>
      <w:tr w14:paraId="012389C5">
        <w:tblPrEx/>
        <w:trPr/>
        <w:tc>
          <w:tcPr>
            <w:tcW w:w="0" w:type="auto"/>
            <w:tcBorders/>
          </w:tcPr>
          <w:p w14:paraId="6D322540">
            <w:pPr>
              <w:pStyle w:val="style4098"/>
              <w:jc w:val="center"/>
              <w:rPr/>
            </w:pPr>
            <w:r>
              <w:t>14</w:t>
            </w:r>
          </w:p>
        </w:tc>
        <w:tc>
          <w:tcPr>
            <w:tcW w:w="0" w:type="auto"/>
            <w:tcBorders/>
          </w:tcPr>
          <w:p w14:paraId="696FAC9A">
            <w:pPr>
              <w:pStyle w:val="style4098"/>
              <w:jc w:val="left"/>
              <w:rPr/>
            </w:pPr>
            <w:r>
              <w:t>CubeSandbox 极速沙箱</w:t>
            </w:r>
          </w:p>
        </w:tc>
        <w:tc>
          <w:tcPr>
            <w:tcW w:w="0" w:type="auto"/>
            <w:tcBorders/>
          </w:tcPr>
          <w:p w14:paraId="0AAE73C6">
            <w:pPr>
              <w:pStyle w:val="style4098"/>
              <w:jc w:val="center"/>
              <w:rPr/>
            </w:pPr>
            <w:r>
              <w:t>~8,000</w:t>
            </w:r>
          </w:p>
        </w:tc>
        <w:tc>
          <w:tcPr>
            <w:tcW w:w="0" w:type="auto"/>
            <w:tcBorders/>
          </w:tcPr>
          <w:p w14:paraId="03952341">
            <w:pPr>
              <w:pStyle w:val="style4098"/>
              <w:jc w:val="center"/>
              <w:rPr/>
            </w:pPr>
            <w:r>
              <w:t>5</w:t>
            </w:r>
          </w:p>
        </w:tc>
        <w:tc>
          <w:tcPr>
            <w:tcW w:w="0" w:type="auto"/>
            <w:tcBorders/>
          </w:tcPr>
          <w:p w14:paraId="4996DA59">
            <w:pPr>
              <w:pStyle w:val="style4098"/>
              <w:jc w:val="center"/>
              <w:rPr/>
            </w:pPr>
            <w:r>
              <w:t>4</w:t>
            </w:r>
          </w:p>
        </w:tc>
        <w:tc>
          <w:tcPr>
            <w:tcW w:w="0" w:type="auto"/>
            <w:tcBorders/>
          </w:tcPr>
          <w:p w14:paraId="D152C95F">
            <w:pPr>
              <w:pStyle w:val="style4098"/>
              <w:jc w:val="center"/>
              <w:rPr/>
            </w:pPr>
            <w:r>
              <w:t>4</w:t>
            </w:r>
          </w:p>
        </w:tc>
        <w:tc>
          <w:tcPr>
            <w:tcW w:w="0" w:type="auto"/>
            <w:tcBorders/>
          </w:tcPr>
          <w:p w14:paraId="E3BFB078">
            <w:pPr>
              <w:pStyle w:val="style4098"/>
              <w:jc w:val="center"/>
              <w:rPr/>
            </w:pPr>
            <w:r>
              <w:rPr>
                <w:b/>
                <w:bCs/>
              </w:rPr>
              <w:t>4.7</w:t>
            </w:r>
          </w:p>
        </w:tc>
        <w:tc>
          <w:tcPr>
            <w:tcW w:w="0" w:type="auto"/>
            <w:tcBorders/>
          </w:tcPr>
          <w:p w14:paraId="A4356D30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78CCC47F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35894EC8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22353A5E">
            <w:pPr>
              <w:pStyle w:val="style4098"/>
              <w:jc w:val="center"/>
              <w:rPr/>
            </w:pPr>
            <w:r>
              <w:t>✓</w:t>
            </w:r>
          </w:p>
        </w:tc>
      </w:tr>
      <w:tr w14:paraId="12C02C13">
        <w:tblPrEx/>
        <w:trPr/>
        <w:tc>
          <w:tcPr>
            <w:tcW w:w="0" w:type="auto"/>
            <w:tcBorders/>
          </w:tcPr>
          <w:p w14:paraId="F44B3904">
            <w:pPr>
              <w:pStyle w:val="style4098"/>
              <w:jc w:val="center"/>
              <w:rPr/>
            </w:pPr>
            <w:r>
              <w:t>15</w:t>
            </w:r>
          </w:p>
        </w:tc>
        <w:tc>
          <w:tcPr>
            <w:tcW w:w="0" w:type="auto"/>
            <w:tcBorders/>
          </w:tcPr>
          <w:p w14:paraId="90794281">
            <w:pPr>
              <w:pStyle w:val="style4098"/>
              <w:jc w:val="left"/>
              <w:rPr/>
            </w:pPr>
            <w:r>
              <w:t>CubeVS eBPF/XDP 网络</w:t>
            </w:r>
          </w:p>
        </w:tc>
        <w:tc>
          <w:tcPr>
            <w:tcW w:w="0" w:type="auto"/>
            <w:tcBorders/>
          </w:tcPr>
          <w:p w14:paraId="0F07C3A3">
            <w:pPr>
              <w:pStyle w:val="style4098"/>
              <w:jc w:val="center"/>
              <w:rPr/>
            </w:pPr>
            <w:r>
              <w:t>~3,000</w:t>
            </w:r>
          </w:p>
        </w:tc>
        <w:tc>
          <w:tcPr>
            <w:tcW w:w="0" w:type="auto"/>
            <w:tcBorders/>
          </w:tcPr>
          <w:p w14:paraId="39CE2549">
            <w:pPr>
              <w:pStyle w:val="style4098"/>
              <w:jc w:val="center"/>
              <w:rPr/>
            </w:pPr>
            <w:r>
              <w:t>5</w:t>
            </w:r>
          </w:p>
        </w:tc>
        <w:tc>
          <w:tcPr>
            <w:tcW w:w="0" w:type="auto"/>
            <w:tcBorders/>
          </w:tcPr>
          <w:p w14:paraId="0C700EA1">
            <w:pPr>
              <w:pStyle w:val="style4098"/>
              <w:jc w:val="center"/>
              <w:rPr/>
            </w:pPr>
            <w:r>
              <w:t>4</w:t>
            </w:r>
          </w:p>
        </w:tc>
        <w:tc>
          <w:tcPr>
            <w:tcW w:w="0" w:type="auto"/>
            <w:tcBorders/>
          </w:tcPr>
          <w:p w14:paraId="2FA2E25A">
            <w:pPr>
              <w:pStyle w:val="style4098"/>
              <w:jc w:val="center"/>
              <w:rPr/>
            </w:pPr>
            <w:r>
              <w:t>4</w:t>
            </w:r>
          </w:p>
        </w:tc>
        <w:tc>
          <w:tcPr>
            <w:tcW w:w="0" w:type="auto"/>
            <w:tcBorders/>
          </w:tcPr>
          <w:p w14:paraId="FF76883C">
            <w:pPr>
              <w:pStyle w:val="style4098"/>
              <w:jc w:val="center"/>
              <w:rPr/>
            </w:pPr>
            <w:r>
              <w:rPr>
                <w:b/>
                <w:bCs/>
              </w:rPr>
              <w:t>4.5</w:t>
            </w:r>
          </w:p>
        </w:tc>
        <w:tc>
          <w:tcPr>
            <w:tcW w:w="0" w:type="auto"/>
            <w:tcBorders/>
          </w:tcPr>
          <w:p w14:paraId="CCBF3428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5EA0F2B3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DFA389BC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B7A09C6E">
            <w:pPr>
              <w:pStyle w:val="style4098"/>
              <w:jc w:val="center"/>
              <w:rPr/>
            </w:pPr>
            <w:r>
              <w:t>✓</w:t>
            </w:r>
          </w:p>
        </w:tc>
      </w:tr>
      <w:tr w14:paraId="CDFF8067">
        <w:tblPrEx/>
        <w:trPr/>
        <w:tc>
          <w:tcPr>
            <w:tcW w:w="0" w:type="auto"/>
            <w:tcBorders/>
          </w:tcPr>
          <w:p w14:paraId="927EA29C">
            <w:pPr>
              <w:pStyle w:val="style4098"/>
              <w:jc w:val="center"/>
              <w:rPr/>
            </w:pPr>
            <w:r>
              <w:t>16</w:t>
            </w:r>
          </w:p>
        </w:tc>
        <w:tc>
          <w:tcPr>
            <w:tcW w:w="0" w:type="auto"/>
            <w:tcBorders/>
          </w:tcPr>
          <w:p w14:paraId="41CA841E">
            <w:pPr>
              <w:pStyle w:val="style4098"/>
              <w:jc w:val="left"/>
              <w:rPr/>
            </w:pPr>
            <w:r>
              <w:t>Cloud Hypervisor 深度集成</w:t>
            </w:r>
          </w:p>
        </w:tc>
        <w:tc>
          <w:tcPr>
            <w:tcW w:w="0" w:type="auto"/>
            <w:tcBorders/>
          </w:tcPr>
          <w:p w14:paraId="59600379">
            <w:pPr>
              <w:pStyle w:val="style4098"/>
              <w:jc w:val="center"/>
              <w:rPr/>
            </w:pPr>
            <w:r>
              <w:t>~2,000</w:t>
            </w:r>
          </w:p>
        </w:tc>
        <w:tc>
          <w:tcPr>
            <w:tcW w:w="0" w:type="auto"/>
            <w:tcBorders/>
          </w:tcPr>
          <w:p w14:paraId="B56B02D0">
            <w:pPr>
              <w:pStyle w:val="style4098"/>
              <w:jc w:val="center"/>
              <w:rPr/>
            </w:pPr>
            <w:r>
              <w:t>4</w:t>
            </w:r>
          </w:p>
        </w:tc>
        <w:tc>
          <w:tcPr>
            <w:tcW w:w="0" w:type="auto"/>
            <w:tcBorders/>
          </w:tcPr>
          <w:p w14:paraId="20062653">
            <w:pPr>
              <w:pStyle w:val="style4098"/>
              <w:jc w:val="center"/>
              <w:rPr/>
            </w:pPr>
            <w:r>
              <w:t>4</w:t>
            </w:r>
          </w:p>
        </w:tc>
        <w:tc>
          <w:tcPr>
            <w:tcW w:w="0" w:type="auto"/>
            <w:tcBorders/>
          </w:tcPr>
          <w:p w14:paraId="B3B45610">
            <w:pPr>
              <w:pStyle w:val="style4098"/>
              <w:jc w:val="center"/>
              <w:rPr/>
            </w:pPr>
            <w:r>
              <w:t>4</w:t>
            </w:r>
          </w:p>
        </w:tc>
        <w:tc>
          <w:tcPr>
            <w:tcW w:w="0" w:type="auto"/>
            <w:tcBorders/>
          </w:tcPr>
          <w:p w14:paraId="014C450E">
            <w:pPr>
              <w:pStyle w:val="style4098"/>
              <w:jc w:val="center"/>
              <w:rPr/>
            </w:pPr>
            <w:r>
              <w:rPr>
                <w:b/>
                <w:bCs/>
              </w:rPr>
              <w:t>4.0</w:t>
            </w:r>
          </w:p>
        </w:tc>
        <w:tc>
          <w:tcPr>
            <w:tcW w:w="0" w:type="auto"/>
            <w:tcBorders/>
          </w:tcPr>
          <w:p w14:paraId="32C56D93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3235B23A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D0CBA2F4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782C7657">
            <w:pPr>
              <w:pStyle w:val="style4098"/>
              <w:jc w:val="center"/>
              <w:rPr/>
            </w:pPr>
            <w:r>
              <w:t>✓</w:t>
            </w:r>
          </w:p>
        </w:tc>
      </w:tr>
      <w:tr w14:paraId="35F6C538">
        <w:tblPrEx/>
        <w:trPr/>
        <w:tc>
          <w:tcPr>
            <w:tcW w:w="0" w:type="auto"/>
            <w:tcBorders/>
          </w:tcPr>
          <w:p w14:paraId="8FDB63CA">
            <w:pPr>
              <w:pStyle w:val="style4098"/>
              <w:jc w:val="center"/>
              <w:rPr/>
            </w:pPr>
            <w:r>
              <w:t>17</w:t>
            </w:r>
          </w:p>
        </w:tc>
        <w:tc>
          <w:tcPr>
            <w:tcW w:w="0" w:type="auto"/>
            <w:tcBorders/>
          </w:tcPr>
          <w:p w14:paraId="D98E75F3">
            <w:pPr>
              <w:pStyle w:val="style4098"/>
              <w:jc w:val="left"/>
              <w:rPr/>
            </w:pPr>
            <w:r>
              <w:t>CephFS / RGW (对象存储)</w:t>
            </w:r>
          </w:p>
        </w:tc>
        <w:tc>
          <w:tcPr>
            <w:tcW w:w="0" w:type="auto"/>
            <w:tcBorders/>
          </w:tcPr>
          <w:p w14:paraId="577B194A">
            <w:pPr>
              <w:pStyle w:val="style4098"/>
              <w:jc w:val="center"/>
              <w:rPr/>
            </w:pPr>
            <w:r>
              <w:t>~1,500</w:t>
            </w:r>
          </w:p>
        </w:tc>
        <w:tc>
          <w:tcPr>
            <w:tcW w:w="0" w:type="auto"/>
            <w:tcBorders/>
          </w:tcPr>
          <w:p w14:paraId="B7881F0D">
            <w:pPr>
              <w:pStyle w:val="style4098"/>
              <w:jc w:val="center"/>
              <w:rPr/>
            </w:pPr>
            <w:r>
              <w:t>4</w:t>
            </w:r>
          </w:p>
        </w:tc>
        <w:tc>
          <w:tcPr>
            <w:tcW w:w="0" w:type="auto"/>
            <w:tcBorders/>
          </w:tcPr>
          <w:p w14:paraId="4D0F615C">
            <w:pPr>
              <w:pStyle w:val="style4098"/>
              <w:jc w:val="center"/>
              <w:rPr/>
            </w:pPr>
            <w:r>
              <w:t>4</w:t>
            </w:r>
          </w:p>
        </w:tc>
        <w:tc>
          <w:tcPr>
            <w:tcW w:w="0" w:type="auto"/>
            <w:tcBorders/>
          </w:tcPr>
          <w:p w14:paraId="23151EFD">
            <w:pPr>
              <w:pStyle w:val="style4098"/>
              <w:jc w:val="center"/>
              <w:rPr/>
            </w:pPr>
            <w:r>
              <w:t>4</w:t>
            </w:r>
          </w:p>
        </w:tc>
        <w:tc>
          <w:tcPr>
            <w:tcW w:w="0" w:type="auto"/>
            <w:tcBorders/>
          </w:tcPr>
          <w:p w14:paraId="69B20DAD">
            <w:pPr>
              <w:pStyle w:val="style4098"/>
              <w:jc w:val="center"/>
              <w:rPr/>
            </w:pPr>
            <w:r>
              <w:rPr>
                <w:b/>
                <w:bCs/>
              </w:rPr>
              <w:t>3.9</w:t>
            </w:r>
          </w:p>
        </w:tc>
        <w:tc>
          <w:tcPr>
            <w:tcW w:w="0" w:type="auto"/>
            <w:tcBorders/>
          </w:tcPr>
          <w:p w14:paraId="AA26D625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16FDC9FC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43CAC315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6ABC5186">
            <w:pPr>
              <w:pStyle w:val="style4098"/>
              <w:jc w:val="center"/>
              <w:rPr/>
            </w:pPr>
            <w:r>
              <w:t>✓</w:t>
            </w:r>
          </w:p>
        </w:tc>
      </w:tr>
      <w:tr w14:paraId="486A53F8">
        <w:tblPrEx/>
        <w:trPr/>
        <w:tc>
          <w:tcPr>
            <w:tcW w:w="0" w:type="auto"/>
            <w:tcBorders/>
          </w:tcPr>
          <w:p w14:paraId="A59B5BDD">
            <w:pPr>
              <w:pStyle w:val="style4098"/>
              <w:jc w:val="center"/>
              <w:rPr/>
            </w:pPr>
            <w:r>
              <w:t>18</w:t>
            </w:r>
          </w:p>
        </w:tc>
        <w:tc>
          <w:tcPr>
            <w:tcW w:w="0" w:type="auto"/>
            <w:tcBorders/>
          </w:tcPr>
          <w:p w14:paraId="B3B4E18C">
            <w:pPr>
              <w:pStyle w:val="style4098"/>
              <w:jc w:val="left"/>
              <w:rPr/>
            </w:pPr>
            <w:r>
              <w:t>TEE 机密计算 (CoCo)</w:t>
            </w:r>
          </w:p>
        </w:tc>
        <w:tc>
          <w:tcPr>
            <w:tcW w:w="0" w:type="auto"/>
            <w:tcBorders/>
          </w:tcPr>
          <w:p w14:paraId="2CE25D00">
            <w:pPr>
              <w:pStyle w:val="style4098"/>
              <w:jc w:val="center"/>
              <w:rPr/>
            </w:pPr>
            <w:r>
              <w:t>~2,000</w:t>
            </w:r>
          </w:p>
        </w:tc>
        <w:tc>
          <w:tcPr>
            <w:tcW w:w="0" w:type="auto"/>
            <w:tcBorders/>
          </w:tcPr>
          <w:p w14:paraId="8E3926DB">
            <w:pPr>
              <w:pStyle w:val="style4098"/>
              <w:jc w:val="center"/>
              <w:rPr/>
            </w:pPr>
            <w:r>
              <w:t>5</w:t>
            </w:r>
          </w:p>
        </w:tc>
        <w:tc>
          <w:tcPr>
            <w:tcW w:w="0" w:type="auto"/>
            <w:tcBorders/>
          </w:tcPr>
          <w:p w14:paraId="B5B3595A">
            <w:pPr>
              <w:pStyle w:val="style4098"/>
              <w:jc w:val="center"/>
              <w:rPr/>
            </w:pPr>
            <w:r>
              <w:t>5</w:t>
            </w:r>
          </w:p>
        </w:tc>
        <w:tc>
          <w:tcPr>
            <w:tcW w:w="0" w:type="auto"/>
            <w:tcBorders/>
          </w:tcPr>
          <w:p w14:paraId="4B828D2B">
            <w:pPr>
              <w:pStyle w:val="style4098"/>
              <w:jc w:val="center"/>
              <w:rPr/>
            </w:pPr>
            <w:r>
              <w:t>4</w:t>
            </w:r>
          </w:p>
        </w:tc>
        <w:tc>
          <w:tcPr>
            <w:tcW w:w="0" w:type="auto"/>
            <w:tcBorders/>
          </w:tcPr>
          <w:p w14:paraId="62987A68">
            <w:pPr>
              <w:pStyle w:val="style4098"/>
              <w:jc w:val="center"/>
              <w:rPr/>
            </w:pPr>
            <w:r>
              <w:rPr>
                <w:b/>
                <w:bCs/>
              </w:rPr>
              <w:t>4.7</w:t>
            </w:r>
          </w:p>
        </w:tc>
        <w:tc>
          <w:tcPr>
            <w:tcW w:w="0" w:type="auto"/>
            <w:tcBorders/>
          </w:tcPr>
          <w:p w14:paraId="206C7C38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F26A0276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991FD7E6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BFCAD475">
            <w:pPr>
              <w:pStyle w:val="style4098"/>
              <w:jc w:val="center"/>
              <w:rPr/>
            </w:pPr>
            <w:r>
              <w:t>✓</w:t>
            </w:r>
          </w:p>
        </w:tc>
      </w:tr>
      <w:tr w14:paraId="9FA1E7E2">
        <w:tblPrEx/>
        <w:trPr/>
        <w:tc>
          <w:tcPr>
            <w:tcW w:w="0" w:type="auto"/>
            <w:tcBorders/>
          </w:tcPr>
          <w:p w14:paraId="DD176258">
            <w:pPr>
              <w:pStyle w:val="style4098"/>
              <w:jc w:val="center"/>
              <w:rPr/>
            </w:pPr>
            <w:r>
              <w:t>19</w:t>
            </w:r>
          </w:p>
        </w:tc>
        <w:tc>
          <w:tcPr>
            <w:tcW w:w="0" w:type="auto"/>
            <w:tcBorders/>
          </w:tcPr>
          <w:p w14:paraId="72853FD6">
            <w:pPr>
              <w:pStyle w:val="style4098"/>
              <w:jc w:val="left"/>
              <w:rPr/>
            </w:pPr>
            <w:r>
              <w:t>管理平面 (Web UI + CLI)</w:t>
            </w:r>
          </w:p>
        </w:tc>
        <w:tc>
          <w:tcPr>
            <w:tcW w:w="0" w:type="auto"/>
            <w:tcBorders/>
          </w:tcPr>
          <w:p w14:paraId="CC11EE0A">
            <w:pPr>
              <w:pStyle w:val="style4098"/>
              <w:jc w:val="center"/>
              <w:rPr/>
            </w:pPr>
            <w:r>
              <w:t>~15,000</w:t>
            </w:r>
          </w:p>
        </w:tc>
        <w:tc>
          <w:tcPr>
            <w:tcW w:w="0" w:type="auto"/>
            <w:tcBorders/>
          </w:tcPr>
          <w:p w14:paraId="6403649F">
            <w:pPr>
              <w:pStyle w:val="style4098"/>
              <w:jc w:val="center"/>
              <w:rPr/>
            </w:pPr>
            <w:r>
              <w:t>4</w:t>
            </w:r>
          </w:p>
        </w:tc>
        <w:tc>
          <w:tcPr>
            <w:tcW w:w="0" w:type="auto"/>
            <w:tcBorders/>
          </w:tcPr>
          <w:p w14:paraId="3F9333D4">
            <w:pPr>
              <w:pStyle w:val="style4098"/>
              <w:jc w:val="center"/>
              <w:rPr/>
            </w:pPr>
            <w:r>
              <w:t>3</w:t>
            </w:r>
          </w:p>
        </w:tc>
        <w:tc>
          <w:tcPr>
            <w:tcW w:w="0" w:type="auto"/>
            <w:tcBorders/>
          </w:tcPr>
          <w:p w14:paraId="8532F45A">
            <w:pPr>
              <w:pStyle w:val="style4098"/>
              <w:jc w:val="center"/>
              <w:rPr/>
            </w:pPr>
            <w:r>
              <w:t>4</w:t>
            </w:r>
          </w:p>
        </w:tc>
        <w:tc>
          <w:tcPr>
            <w:tcW w:w="0" w:type="auto"/>
            <w:tcBorders/>
          </w:tcPr>
          <w:p w14:paraId="2413D68F">
            <w:pPr>
              <w:pStyle w:val="style4098"/>
              <w:jc w:val="center"/>
              <w:rPr/>
            </w:pPr>
            <w:r>
              <w:rPr>
                <w:b/>
                <w:bCs/>
              </w:rPr>
              <w:t>4.1</w:t>
            </w:r>
          </w:p>
        </w:tc>
        <w:tc>
          <w:tcPr>
            <w:tcW w:w="0" w:type="auto"/>
            <w:tcBorders/>
          </w:tcPr>
          <w:p w14:paraId="A701E357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02DAC264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C6D7BD6B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CC47DA7E">
            <w:pPr>
              <w:pStyle w:val="style4098"/>
              <w:jc w:val="center"/>
              <w:rPr/>
            </w:pPr>
            <w:r>
              <w:t>✓</w:t>
            </w:r>
          </w:p>
        </w:tc>
      </w:tr>
      <w:tr w14:paraId="EBE6CF20">
        <w:tblPrEx/>
        <w:trPr/>
        <w:tc>
          <w:tcPr>
            <w:tcW w:w="0" w:type="auto"/>
            <w:tcBorders/>
          </w:tcPr>
          <w:p w14:paraId="1C2B0771">
            <w:pPr>
              <w:pStyle w:val="style4098"/>
              <w:jc w:val="center"/>
              <w:rPr/>
            </w:pPr>
            <w:r>
              <w:t>20</w:t>
            </w:r>
          </w:p>
        </w:tc>
        <w:tc>
          <w:tcPr>
            <w:tcW w:w="0" w:type="auto"/>
            <w:tcBorders/>
          </w:tcPr>
          <w:p w14:paraId="24FAD53D">
            <w:pPr>
              <w:pStyle w:val="style4098"/>
              <w:jc w:val="left"/>
              <w:rPr/>
            </w:pPr>
            <w:r>
              <w:t>统一编排 (Instance CRD/HA)</w:t>
            </w:r>
          </w:p>
        </w:tc>
        <w:tc>
          <w:tcPr>
            <w:tcW w:w="0" w:type="auto"/>
            <w:tcBorders/>
          </w:tcPr>
          <w:p w14:paraId="ED5C9F26">
            <w:pPr>
              <w:pStyle w:val="style4098"/>
              <w:jc w:val="center"/>
              <w:rPr/>
            </w:pPr>
            <w:r>
              <w:t>~5,000</w:t>
            </w:r>
          </w:p>
        </w:tc>
        <w:tc>
          <w:tcPr>
            <w:tcW w:w="0" w:type="auto"/>
            <w:tcBorders/>
          </w:tcPr>
          <w:p w14:paraId="B1A7145F">
            <w:pPr>
              <w:pStyle w:val="style4098"/>
              <w:jc w:val="center"/>
              <w:rPr/>
            </w:pPr>
            <w:r>
              <w:t>5</w:t>
            </w:r>
          </w:p>
        </w:tc>
        <w:tc>
          <w:tcPr>
            <w:tcW w:w="0" w:type="auto"/>
            <w:tcBorders/>
          </w:tcPr>
          <w:p w14:paraId="3F431A17">
            <w:pPr>
              <w:pStyle w:val="style4098"/>
              <w:jc w:val="center"/>
              <w:rPr/>
            </w:pPr>
            <w:r>
              <w:t>5</w:t>
            </w:r>
          </w:p>
        </w:tc>
        <w:tc>
          <w:tcPr>
            <w:tcW w:w="0" w:type="auto"/>
            <w:tcBorders/>
          </w:tcPr>
          <w:p w14:paraId="B123EF03">
            <w:pPr>
              <w:pStyle w:val="style4098"/>
              <w:jc w:val="center"/>
              <w:rPr/>
            </w:pPr>
            <w:r>
              <w:t>4</w:t>
            </w:r>
          </w:p>
        </w:tc>
        <w:tc>
          <w:tcPr>
            <w:tcW w:w="0" w:type="auto"/>
            <w:tcBorders/>
          </w:tcPr>
          <w:p w14:paraId="C1A839E8">
            <w:pPr>
              <w:pStyle w:val="style4098"/>
              <w:jc w:val="center"/>
              <w:rPr/>
            </w:pPr>
            <w:r>
              <w:rPr>
                <w:b/>
                <w:bCs/>
              </w:rPr>
              <w:t>4.7</w:t>
            </w:r>
          </w:p>
        </w:tc>
        <w:tc>
          <w:tcPr>
            <w:tcW w:w="0" w:type="auto"/>
            <w:tcBorders/>
          </w:tcPr>
          <w:p w14:paraId="A1A0B931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5B1742FF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34477C57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12BA74BD">
            <w:pPr>
              <w:pStyle w:val="style4098"/>
              <w:jc w:val="center"/>
              <w:rPr/>
            </w:pPr>
            <w:r>
              <w:t>✓</w:t>
            </w:r>
          </w:p>
        </w:tc>
      </w:tr>
    </w:tbl>
    <w:p w14:paraId="30E8CD1D">
      <w:pPr>
        <w:pStyle w:val="style66"/>
        <w:rPr/>
      </w:pPr>
      <w:r>
        <w:t>上表揭示了关键决策依据：L0 仅启用重度 &lt;1.5 的组件，全部依赖上游二进制分发，零自研代码；L1 将阈值提升至 &lt;3.0，引入 Kata 与 OVN 两大能力增量，自研代码控制在 ~5,000 行（主要集中在 RuntimeClass 适配与 OVN 集成脚本）；L2 引入 K8s 生态后重度跳升，自研代码累积至 ~20,000 行；L3 叠加 CubeSandbox 与 TEE 等高性能高安全组件，总代码量达 50,000+ 行。</w:t>
      </w:r>
    </w:p>
    <w:bookmarkStart w:id="5" w:name="级别总览"/>
    <w:bookmarkEnd w:id="4"/>
    <w:p w14:paraId="676899DA">
      <w:pPr>
        <w:pStyle w:val="style4103"/>
        <w:rPr/>
      </w:pPr>
      <w:r>
        <w:t>1.3 级别总览</w:t>
      </w:r>
    </w:p>
    <w:tbl>
      <w:tblPr>
        <w:tblStyle w:val="style4111"/>
        <w:tblW w:w="5000" w:type="pct"/>
        <w:tblLook w:val="0020" w:firstRow="1" w:lastRow="0" w:firstColumn="0" w:lastColumn="0" w:noHBand="0" w:noVBand="0"/>
      </w:tblPr>
      <w:tblGrid>
        <w:gridCol w:w="849"/>
        <w:gridCol w:w="1493"/>
        <w:gridCol w:w="1726"/>
        <w:gridCol w:w="1786"/>
        <w:gridCol w:w="2060"/>
      </w:tblGrid>
      <w:tr w14:paraId="D77F333B">
        <w:trPr>
          <w:tblHeader/>
        </w:trPr>
        <w:tc>
          <w:tcPr>
            <w:tcW w:w="0" w:type="auto"/>
            <w:tcBorders/>
          </w:tcPr>
          <w:p w14:paraId="0371C4DB">
            <w:pPr>
              <w:pStyle w:val="style4098"/>
              <w:jc w:val="left"/>
              <w:rPr/>
            </w:pPr>
            <w:r>
              <w:t>维度</w:t>
            </w:r>
          </w:p>
        </w:tc>
        <w:tc>
          <w:tcPr>
            <w:tcW w:w="0" w:type="auto"/>
            <w:tcBorders/>
          </w:tcPr>
          <w:p w14:paraId="F3464B36">
            <w:pPr>
              <w:pStyle w:val="style4098"/>
              <w:jc w:val="left"/>
              <w:rPr/>
            </w:pPr>
            <w:r>
              <w:t>L0 MVP</w:t>
            </w:r>
          </w:p>
        </w:tc>
        <w:tc>
          <w:tcPr>
            <w:tcW w:w="0" w:type="auto"/>
            <w:tcBorders/>
          </w:tcPr>
          <w:p w14:paraId="1F381B18">
            <w:pPr>
              <w:pStyle w:val="style4098"/>
              <w:jc w:val="left"/>
              <w:rPr/>
            </w:pPr>
            <w:r>
              <w:t>L1 基础版</w:t>
            </w:r>
          </w:p>
        </w:tc>
        <w:tc>
          <w:tcPr>
            <w:tcW w:w="0" w:type="auto"/>
            <w:tcBorders/>
          </w:tcPr>
          <w:p w14:paraId="CF0C30BC">
            <w:pPr>
              <w:pStyle w:val="style4098"/>
              <w:jc w:val="left"/>
              <w:rPr/>
            </w:pPr>
            <w:r>
              <w:t>L2 标准版</w:t>
            </w:r>
          </w:p>
        </w:tc>
        <w:tc>
          <w:tcPr>
            <w:tcW w:w="0" w:type="auto"/>
            <w:tcBorders/>
          </w:tcPr>
          <w:p w14:paraId="7DF9CD8B">
            <w:pPr>
              <w:pStyle w:val="style4098"/>
              <w:jc w:val="left"/>
              <w:rPr/>
            </w:pPr>
            <w:r>
              <w:t>L3 全功能版</w:t>
            </w:r>
          </w:p>
        </w:tc>
      </w:tr>
      <w:tr w14:paraId="DA68D49F">
        <w:tblPrEx/>
        <w:trPr/>
        <w:tc>
          <w:tcPr>
            <w:tcW w:w="0" w:type="auto"/>
            <w:tcBorders/>
          </w:tcPr>
          <w:p w14:paraId="37D22ADF">
            <w:pPr>
              <w:pStyle w:val="style4098"/>
              <w:jc w:val="left"/>
              <w:rPr/>
            </w:pPr>
            <w:r>
              <w:rPr>
                <w:b/>
                <w:bCs/>
              </w:rPr>
              <w:t>代码重度</w:t>
            </w:r>
          </w:p>
        </w:tc>
        <w:tc>
          <w:tcPr>
            <w:tcW w:w="0" w:type="auto"/>
            <w:tcBorders/>
          </w:tcPr>
          <w:p w14:paraId="722AC75C">
            <w:pPr>
              <w:pStyle w:val="style4098"/>
              <w:jc w:val="left"/>
              <w:rPr/>
            </w:pPr>
            <w:r>
              <w:t>零代码（&lt;1.5）</w:t>
            </w:r>
          </w:p>
        </w:tc>
        <w:tc>
          <w:tcPr>
            <w:tcW w:w="0" w:type="auto"/>
            <w:tcBorders/>
          </w:tcPr>
          <w:p w14:paraId="92F0E866">
            <w:pPr>
              <w:pStyle w:val="style4098"/>
              <w:jc w:val="left"/>
              <w:rPr/>
            </w:pPr>
            <w:r>
              <w:t>低（~5,000 行）</w:t>
            </w:r>
          </w:p>
        </w:tc>
        <w:tc>
          <w:tcPr>
            <w:tcW w:w="0" w:type="auto"/>
            <w:tcBorders/>
          </w:tcPr>
          <w:p w14:paraId="35BF0B86">
            <w:pPr>
              <w:pStyle w:val="style4098"/>
              <w:jc w:val="left"/>
              <w:rPr/>
            </w:pPr>
            <w:r>
              <w:t>中（~20,000 行）</w:t>
            </w:r>
          </w:p>
        </w:tc>
        <w:tc>
          <w:tcPr>
            <w:tcW w:w="0" w:type="auto"/>
            <w:tcBorders/>
          </w:tcPr>
          <w:p w14:paraId="D4C67804">
            <w:pPr>
              <w:pStyle w:val="style4098"/>
              <w:jc w:val="left"/>
              <w:rPr/>
            </w:pPr>
            <w:r>
              <w:t>高（~50,000+ 行）</w:t>
            </w:r>
          </w:p>
        </w:tc>
      </w:tr>
      <w:tr w14:paraId="465BEFEB">
        <w:tblPrEx/>
        <w:trPr/>
        <w:tc>
          <w:tcPr>
            <w:tcW w:w="0" w:type="auto"/>
            <w:tcBorders/>
          </w:tcPr>
          <w:p w14:paraId="6A51332D">
            <w:pPr>
              <w:pStyle w:val="style4098"/>
              <w:jc w:val="left"/>
              <w:rPr/>
            </w:pPr>
            <w:r>
              <w:rPr>
                <w:b/>
                <w:bCs/>
              </w:rPr>
              <w:t>预计周期</w:t>
            </w:r>
          </w:p>
        </w:tc>
        <w:tc>
          <w:tcPr>
            <w:tcW w:w="0" w:type="auto"/>
            <w:tcBorders/>
          </w:tcPr>
          <w:p w14:paraId="7B9E429C">
            <w:pPr>
              <w:pStyle w:val="style4098"/>
              <w:jc w:val="left"/>
              <w:rPr/>
            </w:pPr>
            <w:r>
              <w:t>当天部署</w:t>
            </w:r>
          </w:p>
        </w:tc>
        <w:tc>
          <w:tcPr>
            <w:tcW w:w="0" w:type="auto"/>
            <w:tcBorders/>
          </w:tcPr>
          <w:p w14:paraId="BB54CDB9">
            <w:pPr>
              <w:pStyle w:val="style4098"/>
              <w:jc w:val="left"/>
              <w:rPr/>
            </w:pPr>
            <w:r>
              <w:t>1–2 个月</w:t>
            </w:r>
          </w:p>
        </w:tc>
        <w:tc>
          <w:tcPr>
            <w:tcW w:w="0" w:type="auto"/>
            <w:tcBorders/>
          </w:tcPr>
          <w:p w14:paraId="6793ED1A">
            <w:pPr>
              <w:pStyle w:val="style4098"/>
              <w:jc w:val="left"/>
              <w:rPr/>
            </w:pPr>
            <w:r>
              <w:t>3–6 个月</w:t>
            </w:r>
          </w:p>
        </w:tc>
        <w:tc>
          <w:tcPr>
            <w:tcW w:w="0" w:type="auto"/>
            <w:tcBorders/>
          </w:tcPr>
          <w:p w14:paraId="EF662770">
            <w:pPr>
              <w:pStyle w:val="style4098"/>
              <w:jc w:val="left"/>
              <w:rPr/>
            </w:pPr>
            <w:r>
              <w:t>6–12 个月</w:t>
            </w:r>
          </w:p>
        </w:tc>
      </w:tr>
      <w:tr w14:paraId="C0E33B72">
        <w:tblPrEx/>
        <w:trPr/>
        <w:tc>
          <w:tcPr>
            <w:tcW w:w="0" w:type="auto"/>
            <w:tcBorders/>
          </w:tcPr>
          <w:p w14:paraId="4E8B4DE9">
            <w:pPr>
              <w:pStyle w:val="style4098"/>
              <w:jc w:val="left"/>
              <w:rPr/>
            </w:pPr>
            <w:r>
              <w:rPr>
                <w:b/>
                <w:bCs/>
              </w:rPr>
              <w:t>PVE 功能对标率</w:t>
            </w:r>
          </w:p>
        </w:tc>
        <w:tc>
          <w:tcPr>
            <w:tcW w:w="0" w:type="auto"/>
            <w:tcBorders/>
          </w:tcPr>
          <w:p w14:paraId="3441BE53">
            <w:pPr>
              <w:pStyle w:val="style4098"/>
              <w:jc w:val="left"/>
              <w:rPr/>
            </w:pPr>
            <w:r>
              <w:t>~30%</w:t>
            </w:r>
          </w:p>
        </w:tc>
        <w:tc>
          <w:tcPr>
            <w:tcW w:w="0" w:type="auto"/>
            <w:tcBorders/>
          </w:tcPr>
          <w:p w14:paraId="A2753FB1">
            <w:pPr>
              <w:pStyle w:val="style4098"/>
              <w:jc w:val="left"/>
              <w:rPr/>
            </w:pPr>
            <w:r>
              <w:t>~50%</w:t>
            </w:r>
          </w:p>
        </w:tc>
        <w:tc>
          <w:tcPr>
            <w:tcW w:w="0" w:type="auto"/>
            <w:tcBorders/>
          </w:tcPr>
          <w:p w14:paraId="0EEB7587">
            <w:pPr>
              <w:pStyle w:val="style4098"/>
              <w:jc w:val="left"/>
              <w:rPr/>
            </w:pPr>
            <w:r>
              <w:t>~80%</w:t>
            </w:r>
          </w:p>
        </w:tc>
        <w:tc>
          <w:tcPr>
            <w:tcW w:w="0" w:type="auto"/>
            <w:tcBorders/>
          </w:tcPr>
          <w:p w14:paraId="A4C7008D">
            <w:pPr>
              <w:pStyle w:val="style4098"/>
              <w:jc w:val="left"/>
              <w:rPr/>
            </w:pPr>
            <w:r>
              <w:t>~100%+</w:t>
            </w:r>
          </w:p>
        </w:tc>
      </w:tr>
      <w:tr w14:paraId="58A0CCAB">
        <w:tblPrEx/>
        <w:trPr/>
        <w:tc>
          <w:tcPr>
            <w:tcW w:w="0" w:type="auto"/>
            <w:tcBorders/>
          </w:tcPr>
          <w:p w14:paraId="C8BC5FC8">
            <w:pPr>
              <w:pStyle w:val="style4098"/>
              <w:jc w:val="left"/>
              <w:rPr/>
            </w:pPr>
            <w:r>
              <w:rPr>
                <w:b/>
                <w:bCs/>
              </w:rPr>
              <w:t>节点规模</w:t>
            </w:r>
          </w:p>
        </w:tc>
        <w:tc>
          <w:tcPr>
            <w:tcW w:w="0" w:type="auto"/>
            <w:tcBorders/>
          </w:tcPr>
          <w:p w14:paraId="261B2D62">
            <w:pPr>
              <w:pStyle w:val="style4098"/>
              <w:jc w:val="left"/>
              <w:rPr/>
            </w:pPr>
            <w:r>
              <w:t>单节点</w:t>
            </w:r>
          </w:p>
        </w:tc>
        <w:tc>
          <w:tcPr>
            <w:tcW w:w="0" w:type="auto"/>
            <w:tcBorders/>
          </w:tcPr>
          <w:p w14:paraId="B0B09913">
            <w:pPr>
              <w:pStyle w:val="style4098"/>
              <w:jc w:val="left"/>
              <w:rPr/>
            </w:pPr>
            <w:r>
              <w:t>3 节点集群</w:t>
            </w:r>
          </w:p>
        </w:tc>
        <w:tc>
          <w:tcPr>
            <w:tcW w:w="0" w:type="auto"/>
            <w:tcBorders/>
          </w:tcPr>
          <w:p w14:paraId="48F3393C">
            <w:pPr>
              <w:pStyle w:val="style4098"/>
              <w:jc w:val="left"/>
              <w:rPr/>
            </w:pPr>
            <w:r>
              <w:t>10–50 节点</w:t>
            </w:r>
          </w:p>
        </w:tc>
        <w:tc>
          <w:tcPr>
            <w:tcW w:w="0" w:type="auto"/>
            <w:tcBorders/>
          </w:tcPr>
          <w:p w14:paraId="2BA3F069">
            <w:pPr>
              <w:pStyle w:val="style4098"/>
              <w:jc w:val="left"/>
              <w:rPr/>
            </w:pPr>
            <w:r>
              <w:t>50–5,000 节点</w:t>
            </w:r>
          </w:p>
        </w:tc>
      </w:tr>
      <w:tr w14:paraId="E7A69177">
        <w:tblPrEx/>
        <w:trPr/>
        <w:tc>
          <w:tcPr>
            <w:tcW w:w="0" w:type="auto"/>
            <w:tcBorders/>
          </w:tcPr>
          <w:p w14:paraId="8CF3D652">
            <w:pPr>
              <w:pStyle w:val="style4098"/>
              <w:jc w:val="left"/>
              <w:rPr/>
            </w:pPr>
            <w:r>
              <w:rPr>
                <w:b/>
                <w:bCs/>
              </w:rPr>
              <w:t>核心新增能力</w:t>
            </w:r>
          </w:p>
        </w:tc>
        <w:tc>
          <w:tcPr>
            <w:tcW w:w="0" w:type="auto"/>
            <w:tcBorders/>
          </w:tcPr>
          <w:p w14:paraId="7D8709A7">
            <w:pPr>
              <w:pStyle w:val="style4098"/>
              <w:jc w:val="left"/>
              <w:rPr/>
            </w:pPr>
            <w:r>
              <w:t>VM/容器生命周期、本地存储快照、基础网络</w:t>
            </w:r>
          </w:p>
        </w:tc>
        <w:tc>
          <w:tcPr>
            <w:tcW w:w="0" w:type="auto"/>
            <w:tcBorders/>
          </w:tcPr>
          <w:p w14:paraId="804B37C2">
            <w:pPr>
              <w:pStyle w:val="style4098"/>
              <w:jc w:val="left"/>
              <w:rPr/>
            </w:pPr>
            <w:r>
              <w:t>集群高可用、安全容器（VM 级隔离）、SDN 多租户 VPC</w:t>
            </w:r>
          </w:p>
        </w:tc>
        <w:tc>
          <w:tcPr>
            <w:tcW w:w="0" w:type="auto"/>
            <w:tcBorders/>
          </w:tcPr>
          <w:p w14:paraId="1BECD0D5">
            <w:pPr>
              <w:pStyle w:val="style4098"/>
              <w:jc w:val="left"/>
              <w:rPr/>
            </w:pPr>
            <w:r>
              <w:t>K8s 编排、eBPF 网络、分布式存储、VM 统一管理</w:t>
            </w:r>
          </w:p>
        </w:tc>
        <w:tc>
          <w:tcPr>
            <w:tcW w:w="0" w:type="auto"/>
            <w:tcBorders/>
          </w:tcPr>
          <w:p w14:paraId="55B233FF">
            <w:pPr>
              <w:pStyle w:val="style4098"/>
              <w:jc w:val="left"/>
              <w:rPr/>
            </w:pPr>
            <w:r>
              <w:t>极速沙箱、TEE 机密计算、完整管理平面、统一 Instance 抽象</w:t>
            </w:r>
          </w:p>
        </w:tc>
      </w:tr>
      <w:tr w14:paraId="2562B04B">
        <w:tblPrEx/>
        <w:trPr/>
        <w:tc>
          <w:tcPr>
            <w:tcW w:w="0" w:type="auto"/>
            <w:tcBorders/>
          </w:tcPr>
          <w:p w14:paraId="9CBE9108">
            <w:pPr>
              <w:pStyle w:val="style4098"/>
              <w:jc w:val="left"/>
              <w:rPr/>
            </w:pPr>
            <w:r>
              <w:rPr>
                <w:b/>
                <w:bCs/>
              </w:rPr>
              <w:t>适用场景</w:t>
            </w:r>
          </w:p>
        </w:tc>
        <w:tc>
          <w:tcPr>
            <w:tcW w:w="0" w:type="auto"/>
            <w:tcBorders/>
          </w:tcPr>
          <w:p w14:paraId="0855E26E">
            <w:pPr>
              <w:pStyle w:val="style4098"/>
              <w:jc w:val="left"/>
              <w:rPr/>
            </w:pPr>
            <w:r>
              <w:t>开发测试、POC 验证、边缘单节点</w:t>
            </w:r>
          </w:p>
        </w:tc>
        <w:tc>
          <w:tcPr>
            <w:tcW w:w="0" w:type="auto"/>
            <w:tcBorders/>
          </w:tcPr>
          <w:p w14:paraId="61A96B6A">
            <w:pPr>
              <w:pStyle w:val="style4098"/>
              <w:jc w:val="left"/>
              <w:rPr/>
            </w:pPr>
            <w:r>
              <w:t>中小企业虚拟化、多租户容器平台、等保 2.0 基础合规</w:t>
            </w:r>
          </w:p>
        </w:tc>
        <w:tc>
          <w:tcPr>
            <w:tcW w:w="0" w:type="auto"/>
            <w:tcBorders/>
          </w:tcPr>
          <w:p w14:paraId="E2E9EEFF">
            <w:pPr>
              <w:pStyle w:val="style4098"/>
              <w:jc w:val="left"/>
              <w:rPr/>
            </w:pPr>
            <w:r>
              <w:t>企业私有云、混合负载编排、生产级存储</w:t>
            </w:r>
          </w:p>
        </w:tc>
        <w:tc>
          <w:tcPr>
            <w:tcW w:w="0" w:type="auto"/>
            <w:tcBorders/>
          </w:tcPr>
          <w:p w14:paraId="64171D66">
            <w:pPr>
              <w:pStyle w:val="style4098"/>
              <w:jc w:val="left"/>
              <w:rPr/>
            </w:pPr>
            <w:r>
              <w:t>AI Agent 平台、金融合规云、全谱系工作负载统一基础设施</w:t>
            </w:r>
          </w:p>
        </w:tc>
      </w:tr>
      <w:tr w14:paraId="B38440FF">
        <w:tblPrEx/>
        <w:trPr/>
        <w:tc>
          <w:tcPr>
            <w:tcW w:w="0" w:type="auto"/>
            <w:tcBorders/>
          </w:tcPr>
          <w:p w14:paraId="8238D156">
            <w:pPr>
              <w:pStyle w:val="style4098"/>
              <w:jc w:val="left"/>
              <w:rPr/>
            </w:pPr>
            <w:r>
              <w:rPr>
                <w:b/>
                <w:bCs/>
              </w:rPr>
              <w:t>升级路径</w:t>
            </w:r>
          </w:p>
        </w:tc>
        <w:tc>
          <w:tcPr>
            <w:tcW w:w="0" w:type="auto"/>
            <w:tcBorders/>
          </w:tcPr>
          <w:p w14:paraId="B77879AC">
            <w:pPr>
              <w:pStyle w:val="style4098"/>
              <w:jc w:val="left"/>
              <w:rPr/>
            </w:pPr>
            <w:r>
              <w:t>→ L1 平滑升级（加入集群）</w:t>
            </w:r>
          </w:p>
        </w:tc>
        <w:tc>
          <w:tcPr>
            <w:tcW w:w="0" w:type="auto"/>
            <w:tcBorders/>
          </w:tcPr>
          <w:p w14:paraId="68918CB0">
            <w:pPr>
              <w:pStyle w:val="style4098"/>
              <w:jc w:val="left"/>
              <w:rPr/>
            </w:pPr>
            <w:r>
              <w:t>→ L2 需引入 K8s（数据可迁移）</w:t>
            </w:r>
          </w:p>
        </w:tc>
        <w:tc>
          <w:tcPr>
            <w:tcW w:w="0" w:type="auto"/>
            <w:tcBorders/>
          </w:tcPr>
          <w:p w14:paraId="7A5D284B">
            <w:pPr>
              <w:pStyle w:val="style4098"/>
              <w:jc w:val="left"/>
              <w:rPr/>
            </w:pPr>
            <w:r>
              <w:t>→ L3 功能叠加（已有基座不动）</w:t>
            </w:r>
          </w:p>
        </w:tc>
        <w:tc>
          <w:tcPr>
            <w:tcW w:w="0" w:type="auto"/>
            <w:tcBorders/>
          </w:tcPr>
          <w:p w14:paraId="D42459F5">
            <w:pPr>
              <w:pStyle w:val="style4098"/>
              <w:jc w:val="left"/>
              <w:rPr/>
            </w:pPr>
            <w:r>
              <w:t>全功能架构对齐</w:t>
            </w:r>
          </w:p>
        </w:tc>
      </w:tr>
    </w:tbl>
    <w:p w14:paraId="F92449CF">
      <w:pPr>
        <w:pStyle w:val="style66"/>
        <w:rPr/>
      </w:pPr>
      <w:r>
        <w:t>L0 到 L1 的升级是</w:t>
      </w:r>
      <w:r>
        <w:rPr>
          <w:b/>
          <w:bCs/>
        </w:rPr>
        <w:t>同构扩展</w:t>
      </w:r>
      <w:r>
        <w:t>——单节点 Incus 加入已有 Cowsql 集群即可，实例与存储池自动同步。L1 到 L2 是</w:t>
      </w:r>
      <w:r>
        <w:rPr>
          <w:b/>
          <w:bCs/>
        </w:rPr>
        <w:t>异构跃迁</w:t>
      </w:r>
      <w:r>
        <w:t>——引入 Kubernetes 控制平面后，Incus 集群作为 L2 存储与计算后端被 KubeVirt 和 RuntimeClass 统一管理，已有 VM 和容器通过统一 Instance CRD 纳管。L2 到 L3 是</w:t>
      </w:r>
      <w:r>
        <w:rPr>
          <w:b/>
          <w:bCs/>
        </w:rPr>
        <w:t>能力补全</w:t>
      </w:r>
      <w:r>
        <w:t>——在已有 K8s 基座上叠加 CubeSandbox 极速沙箱、TEE 机密计算和自研管理平面，不影响既有工作负载。</w:t>
      </w:r>
    </w:p>
    <w:bookmarkStart w:id="6" w:name="l0-最小可用版-mvp"/>
    <w:bookmarkEnd w:id="5"/>
    <w:bookmarkEnd w:id="2"/>
    <w:p w14:paraId="2F38E286">
      <w:pPr>
        <w:pStyle w:val="style4102"/>
        <w:rPr/>
      </w:pPr>
      <w:r>
        <w:t>2. L0 最小可用版 (MVP)</w:t>
      </w:r>
    </w:p>
    <w:bookmarkStart w:id="7" w:name="设计目标"/>
    <w:p w14:paraId="7D48AABA">
      <w:pPr>
        <w:pStyle w:val="style4103"/>
        <w:rPr/>
      </w:pPr>
      <w:r>
        <w:t>2.1 设计目标</w:t>
      </w:r>
    </w:p>
    <w:p w14:paraId="4535E79C">
      <w:pPr>
        <w:pStyle w:val="style4097"/>
        <w:rPr/>
      </w:pPr>
      <w:r>
        <w:t>L0 的设计目标是</w:t>
      </w:r>
      <w:r>
        <w:rPr>
          <w:b/>
          <w:bCs/>
        </w:rPr>
        <w:t>零代码开发、当天部署、当天可用</w:t>
      </w:r>
      <w:r>
        <w:t>。该级别不对标 PVE 的集群能力或高级网络功能，而是聚焦虚拟化最核心的能力：在单台物理服务器上创建、运行和管理虚拟机与容器。L0 的核心价值在于</w:t>
      </w:r>
      <w:r>
        <w:rPr>
          <w:b/>
          <w:bCs/>
        </w:rPr>
        <w:t>最低门槛验证平台技术选型</w:t>
      </w:r>
      <w:r>
        <w:t>——团队通过实际操作 Incus、KVM/QEMU 和 LXC，验证硬件兼容性、存储后端性能和网络基础功能，为后续级别的建设积累第一手运维经验。L0 同时承担</w:t>
      </w:r>
      <w:r>
        <w:rPr>
          <w:b/>
          <w:bCs/>
        </w:rPr>
        <w:t>风险对冲</w:t>
      </w:r>
      <w:r>
        <w:t>角色：即使后续级别因资源或优先级原因延迟，L0 本身已可作为独立虚拟化节点服务于开发测试和轻量生产场景。</w:t>
      </w:r>
    </w:p>
    <w:bookmarkStart w:id="8" w:name="技术栈"/>
    <w:bookmarkEnd w:id="7"/>
    <w:p w14:paraId="3770233F">
      <w:pPr>
        <w:pStyle w:val="style4103"/>
        <w:rPr/>
      </w:pPr>
      <w:r>
        <w:t>2.2 技术栈</w:t>
      </w:r>
    </w:p>
    <w:p w14:paraId="594FE8EC">
      <w:pPr>
        <w:pStyle w:val="style4097"/>
        <w:rPr/>
      </w:pPr>
      <w:r>
        <w:t>L0 技术栈遵循”上游即答案”原则——所有组件均通过系统包管理器安装，不做任何自研集成开发。</w:t>
      </w:r>
    </w:p>
    <w:p w14:paraId="1D6F754F">
      <w:pPr>
        <w:pStyle w:val="style66"/>
        <w:rPr/>
      </w:pPr>
      <w:r>
        <w:rPr>
          <w:b/>
          <w:bCs/>
        </w:rPr>
        <w:t>Incus 单节点</w:t>
      </w:r>
      <w:r>
        <w:t>作为管理平面核心。Incus 是 Canonical LXD 的社区分支，采用 Apache 2.0 许可证，由 Linux Containers 社区维护</w:t>
      </w:r>
      <w:r>
        <w:t xml:space="preserve"> </w:t>
      </w:r>
      <w:r>
        <w:rPr>
          <w:vertAlign w:val="superscript"/>
        </w:rPr>
        <w:footnoteReference w:id="1"/>
      </w:r>
      <w:r>
        <w:t>。单节点模式下 incusd 内置 Cowsql 退化为 SQLite，无需额外数据库部署。Incus 通过统一的 RESTful API 管理 instances、storage-pools 和 networks，将系统容器（LXC）与完整虚拟机（QEMU/KVM）纳入同一管理端点</w:t>
      </w:r>
      <w:r>
        <w:t xml:space="preserve"> </w:t>
      </w:r>
      <w:r>
        <w:rPr>
          <w:vertAlign w:val="superscript"/>
        </w:rPr>
        <w:footnoteReference w:id="2"/>
      </w:r>
      <w:r>
        <w:t>。</w:t>
      </w:r>
    </w:p>
    <w:p w14:paraId="F62073A3">
      <w:pPr>
        <w:pStyle w:val="style66"/>
        <w:rPr/>
      </w:pPr>
      <w:r>
        <w:rPr>
          <w:b/>
          <w:bCs/>
        </w:rPr>
        <w:t>KVM/QEMU</w:t>
      </w:r>
      <w:r>
        <w:t xml:space="preserve"> </w:t>
      </w:r>
      <w:r>
        <w:t>提供硬件虚拟化能力。KVM 以内核模块（</w:t>
      </w:r>
      <w:r>
        <w:rPr>
          <w:rStyle w:val="style4120"/>
        </w:rPr>
        <w:t>kvm.ko</w:t>
      </w:r>
      <w:r>
        <w:t>、</w:t>
      </w:r>
      <w:r>
        <w:rPr>
          <w:rStyle w:val="style4120"/>
        </w:rPr>
        <w:t>kvm-intel.ko</w:t>
      </w:r>
      <w:r>
        <w:t>/</w:t>
      </w:r>
      <w:r>
        <w:rPr>
          <w:rStyle w:val="style4120"/>
        </w:rPr>
        <w:t>kvm-amd.ko</w:t>
      </w:r>
      <w:r>
        <w:t>）形式提供</w:t>
      </w:r>
      <w:r>
        <w:t xml:space="preserve"> </w:t>
      </w:r>
      <w:r>
        <w:rPr>
          <w:rStyle w:val="style4120"/>
        </w:rPr>
        <w:t>/dev/kvm</w:t>
      </w:r>
      <w:r>
        <w:t xml:space="preserve"> </w:t>
      </w:r>
      <w:r>
        <w:t>接口，QEMU 通过 Q35 芯片组 + UEFI（OVMF）固件提供完整 PC 兼容机器模型</w:t>
      </w:r>
      <w:r>
        <w:t xml:space="preserve"> </w:t>
      </w:r>
      <w:r>
        <w:rPr>
          <w:vertAlign w:val="superscript"/>
        </w:rPr>
        <w:footnoteReference w:id="3"/>
      </w:r>
      <w:r>
        <w:t xml:space="preserve"> </w:t>
      </w:r>
      <w:r>
        <w:rPr>
          <w:vertAlign w:val="superscript"/>
        </w:rPr>
        <w:footnoteReference w:id="4"/>
      </w:r>
      <w:r>
        <w:t>。Incus 自动调用 QEMU 启动 VM，用户无需直接接触 QEMU 命令行。</w:t>
      </w:r>
    </w:p>
    <w:p w14:paraId="0B6B561D">
      <w:pPr>
        <w:pStyle w:val="style66"/>
        <w:rPr/>
      </w:pPr>
      <w:r>
        <w:rPr>
          <w:b/>
          <w:bCs/>
        </w:rPr>
        <w:t>LXC</w:t>
      </w:r>
      <w:r>
        <w:t xml:space="preserve"> </w:t>
      </w:r>
      <w:r>
        <w:t>提供系统容器能力。LXC 基于 Linux Namespaces 和 cgroups 构建软件级隔离，共享宿主内核，启动延迟低于 200 ms，内存增量开销约 2 MB</w:t>
      </w:r>
      <w:r>
        <w:t xml:space="preserve"> </w:t>
      </w:r>
      <w:r>
        <w:rPr>
          <w:vertAlign w:val="superscript"/>
        </w:rPr>
        <w:footnoteReference w:id="5"/>
      </w:r>
      <w:r>
        <w:t>。Incus 将 LXC 封装在统一实例模型中，用户通过相同 API 管理容器与 VM。</w:t>
      </w:r>
    </w:p>
    <w:p w14:paraId="4183AABB">
      <w:pPr>
        <w:pStyle w:val="style66"/>
        <w:rPr/>
      </w:pPr>
      <w:r>
        <w:rPr>
          <w:b/>
          <w:bCs/>
        </w:rPr>
        <w:t>Linux Bridge + VLAN</w:t>
      </w:r>
      <w:r>
        <w:t xml:space="preserve"> </w:t>
      </w:r>
      <w:r>
        <w:t>提供基础网络能力。Linux Bridge 是 Incus 默认网络类型，内置 DHCP/DNS 服务</w:t>
      </w:r>
      <w:r>
        <w:t xml:space="preserve"> </w:t>
      </w:r>
      <w:r>
        <w:rPr>
          <w:vertAlign w:val="superscript"/>
        </w:rPr>
        <w:footnoteReference w:id="6"/>
      </w:r>
      <w:r>
        <w:t>，通过 VLAN 标签实现简单的网络分段。该方案零依赖、零配置，适合单节点场景。</w:t>
      </w:r>
    </w:p>
    <w:p w14:paraId="947815EF">
      <w:pPr>
        <w:pStyle w:val="style66"/>
        <w:rPr/>
      </w:pPr>
      <w:r>
        <w:rPr>
          <w:b/>
          <w:bCs/>
        </w:rPr>
        <w:t>ZFS/Btrfs</w:t>
      </w:r>
      <w:r>
        <w:t xml:space="preserve"> </w:t>
      </w:r>
      <w:r>
        <w:t>提供本地存储能力。ZFS 是 Incus 和 PVE 均推荐的存储后端，支持 CoW 快照、压缩和去重，每 1 TB 存储约需 1 GB ARC 缓存</w:t>
      </w:r>
      <w:r>
        <w:t xml:space="preserve"> </w:t>
      </w:r>
      <w:r>
        <w:rPr>
          <w:vertAlign w:val="superscript"/>
        </w:rPr>
        <w:footnoteReference w:id="7"/>
      </w:r>
      <w:r>
        <w:t>。Btrfs 作为轻量替代，RAM 需求显著更低，适合资源受限节点</w:t>
      </w:r>
      <w:r>
        <w:t xml:space="preserve"> </w:t>
      </w:r>
      <w:r>
        <w:rPr/>
        <w:fldChar w:fldCharType="begin"/>
      </w:r>
      <w:r>
        <w:instrText>NOTEREF _Ref_Footnote_7 \h \f</w:instrText>
      </w:r>
      <w:r>
        <w:rPr/>
        <w:fldChar w:fldCharType="separate"/>
      </w:r>
      <w:r>
        <w:rPr>
          <w:vertAlign w:val="superscript"/>
        </w:rPr>
        <w:t>7</w:t>
      </w:r>
      <w:r>
        <w:rPr/>
        <w:fldChar w:fldCharType="end"/>
      </w:r>
      <w:r>
        <w:t>。</w:t>
      </w:r>
    </w:p>
    <w:bookmarkStart w:id="9" w:name="部署架构"/>
    <w:bookmarkEnd w:id="8"/>
    <w:p w14:paraId="79503362">
      <w:pPr>
        <w:pStyle w:val="style4103"/>
        <w:rPr/>
      </w:pPr>
      <w:r>
        <w:t>2.3 部署架构</w:t>
      </w:r>
    </w:p>
    <w:p w14:paraId="D75A4279">
      <w:pPr>
        <w:pStyle w:val="style4097"/>
        <w:rPr/>
      </w:pPr>
      <w:r>
        <w:t>L0 采用单节点三层架构。最上层为</w:t>
      </w:r>
      <w:r>
        <w:rPr>
          <w:b/>
          <w:bCs/>
        </w:rPr>
        <w:t>管理面</w:t>
      </w:r>
      <w:r>
        <w:t>，运行 incusd 守护进程，暴露 REST API（Unix socket + TCP 可选），提供实例生命周期管理、存储池配置和网络定义能力。管理面同时内嵌 Cowsql（单节点退化为 SQLite），持久化所有配置与实例元数据。中间层为</w:t>
      </w:r>
      <w:r>
        <w:rPr>
          <w:b/>
          <w:bCs/>
        </w:rPr>
        <w:t>虚拟化层</w:t>
      </w:r>
      <w:r>
        <w:t>，KVM 内核模块提供硬件虚拟化支撑，QEMU 执行完整 VM 的启动与 I/O 处理；LXC 库被 incusd 动态调用，创建和管理系统容器。最下层为</w:t>
      </w:r>
      <w:r>
        <w:rPr>
          <w:b/>
          <w:bCs/>
        </w:rPr>
        <w:t>基础设施层</w:t>
      </w:r>
      <w:r>
        <w:t>，包括物理 CPU（Intel VT-x / AMD-V）、物理网卡、本地磁盘（推荐 NVMe SSD）以及 ZFS/Btrfs 文件系统。</w:t>
      </w:r>
    </w:p>
    <w:p w14:paraId="699376A2">
      <w:pPr>
        <w:pStyle w:val="style66"/>
        <w:rPr/>
      </w:pPr>
      <w:r>
        <w:t>数据流分为管理流与实例流两条路径。管理流从用户 CLI（</w:t>
      </w:r>
      <w:r>
        <w:rPr>
          <w:rStyle w:val="style4120"/>
        </w:rPr>
        <w:t>incus</w:t>
      </w:r>
      <w:r>
        <w:t xml:space="preserve"> </w:t>
      </w:r>
      <w:r>
        <w:t>命令）或 Web 终端出发，通过 Unix socket 与本地 incusd 通信，完成实例创建、配置修改和状态查询。实例流从 incusd 出发，通过 liblxc API 创建容器或生成 QEMU 命令行启动 VM；VM 网络通过 Linux Bridge 与宿主机物理网卡桥接，容器网络通过 veth pair 接入同一 Bridge；存储 I/O 直接落盘到 ZFS/Btrfs 数据集。</w:t>
      </w:r>
    </w:p>
    <w:bookmarkStart w:id="10" w:name="能力清单"/>
    <w:bookmarkEnd w:id="9"/>
    <w:p w14:paraId="AE9D5777">
      <w:pPr>
        <w:pStyle w:val="style4103"/>
        <w:rPr/>
      </w:pPr>
      <w:r>
        <w:t>2.4 能力清单</w:t>
      </w:r>
    </w:p>
    <w:tbl>
      <w:tblPr>
        <w:tblStyle w:val="style4111"/>
        <w:tblW w:w="5000" w:type="pct"/>
        <w:tblLook w:val="0020" w:firstRow="1" w:lastRow="0" w:firstColumn="0" w:lastColumn="0" w:noHBand="0" w:noVBand="0"/>
      </w:tblPr>
      <w:tblGrid>
        <w:gridCol w:w="1077"/>
        <w:gridCol w:w="2930"/>
        <w:gridCol w:w="982"/>
        <w:gridCol w:w="2928"/>
      </w:tblGrid>
      <w:tr w14:paraId="CC40AD5A">
        <w:trPr>
          <w:tblHeader/>
        </w:trPr>
        <w:tc>
          <w:tcPr>
            <w:tcW w:w="0" w:type="auto"/>
            <w:tcBorders/>
          </w:tcPr>
          <w:p w14:paraId="E17E1639">
            <w:pPr>
              <w:pStyle w:val="style4098"/>
              <w:jc w:val="left"/>
              <w:rPr/>
            </w:pPr>
            <w:r>
              <w:t>能力域</w:t>
            </w:r>
          </w:p>
        </w:tc>
        <w:tc>
          <w:tcPr>
            <w:tcW w:w="0" w:type="auto"/>
            <w:tcBorders/>
          </w:tcPr>
          <w:p w14:paraId="610D380C">
            <w:pPr>
              <w:pStyle w:val="style4098"/>
              <w:jc w:val="left"/>
              <w:rPr/>
            </w:pPr>
            <w:r>
              <w:t>功能项</w:t>
            </w:r>
          </w:p>
        </w:tc>
        <w:tc>
          <w:tcPr>
            <w:tcW w:w="0" w:type="auto"/>
            <w:tcBorders/>
          </w:tcPr>
          <w:p w14:paraId="FCC1F3B9">
            <w:pPr>
              <w:pStyle w:val="style4098"/>
              <w:jc w:val="center"/>
              <w:rPr/>
            </w:pPr>
            <w:r>
              <w:t>L0 支持状态</w:t>
            </w:r>
          </w:p>
        </w:tc>
        <w:tc>
          <w:tcPr>
            <w:tcW w:w="0" w:type="auto"/>
            <w:tcBorders/>
          </w:tcPr>
          <w:p w14:paraId="AB0BA3A9">
            <w:pPr>
              <w:pStyle w:val="style4098"/>
              <w:jc w:val="left"/>
              <w:rPr/>
            </w:pPr>
            <w:r>
              <w:t>说明</w:t>
            </w:r>
          </w:p>
        </w:tc>
      </w:tr>
      <w:tr w14:paraId="F51D0D13">
        <w:tblPrEx/>
        <w:trPr/>
        <w:tc>
          <w:tcPr>
            <w:tcW w:w="0" w:type="auto"/>
            <w:tcBorders/>
          </w:tcPr>
          <w:p w14:paraId="BCFDA2A8">
            <w:pPr>
              <w:pStyle w:val="style4098"/>
              <w:jc w:val="left"/>
              <w:rPr/>
            </w:pPr>
            <w:r>
              <w:rPr>
                <w:b/>
                <w:bCs/>
              </w:rPr>
              <w:t>VM 生命周期</w:t>
            </w:r>
          </w:p>
        </w:tc>
        <w:tc>
          <w:tcPr>
            <w:tcW w:w="0" w:type="auto"/>
            <w:tcBorders/>
          </w:tcPr>
          <w:p w14:paraId="4A191280">
            <w:pPr>
              <w:pStyle w:val="style4098"/>
              <w:jc w:val="left"/>
              <w:rPr/>
            </w:pPr>
            <w:r>
              <w:t>创建/启动/停止/删除 VM</w:t>
            </w:r>
          </w:p>
        </w:tc>
        <w:tc>
          <w:tcPr>
            <w:tcW w:w="0" w:type="auto"/>
            <w:tcBorders/>
          </w:tcPr>
          <w:p w14:paraId="7440D0BD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A543A151">
            <w:pPr>
              <w:pStyle w:val="style4098"/>
              <w:jc w:val="left"/>
              <w:rPr/>
            </w:pPr>
            <w:r>
              <w:t>通过 QEMU/KVM，支持 x86_64</w:t>
            </w:r>
          </w:p>
        </w:tc>
      </w:tr>
      <w:tr w14:paraId="3424558E">
        <w:tblPrEx/>
        <w:trPr/>
        <w:tc>
          <w:tcPr>
            <w:tcW w:w="0" w:type="auto"/>
            <w:tcBorders/>
          </w:tcPr>
          <w:p w14:paraId="8A0B4A41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921EDF0A">
            <w:pPr>
              <w:pStyle w:val="style4098"/>
              <w:jc w:val="left"/>
              <w:rPr/>
            </w:pPr>
            <w:r>
              <w:t>CPU/内存热插拔</w:t>
            </w:r>
          </w:p>
        </w:tc>
        <w:tc>
          <w:tcPr>
            <w:tcW w:w="0" w:type="auto"/>
            <w:tcBorders/>
          </w:tcPr>
          <w:p w14:paraId="F3A84265">
            <w:pPr>
              <w:pStyle w:val="style4098"/>
              <w:jc w:val="center"/>
              <w:rPr/>
            </w:pPr>
            <w:r>
              <w:t>✗</w:t>
            </w:r>
          </w:p>
        </w:tc>
        <w:tc>
          <w:tcPr>
            <w:tcW w:w="0" w:type="auto"/>
            <w:tcBorders/>
          </w:tcPr>
          <w:p w14:paraId="69102FED">
            <w:pPr>
              <w:pStyle w:val="style4098"/>
              <w:jc w:val="left"/>
              <w:rPr/>
            </w:pPr>
            <w:r>
              <w:t>需集群模式下的实时迁移支持</w:t>
            </w:r>
          </w:p>
        </w:tc>
      </w:tr>
      <w:tr w14:paraId="EC4D7094">
        <w:tblPrEx/>
        <w:trPr/>
        <w:tc>
          <w:tcPr>
            <w:tcW w:w="0" w:type="auto"/>
            <w:tcBorders/>
          </w:tcPr>
          <w:p w14:paraId="28E1543B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9BA6CA9A">
            <w:pPr>
              <w:pStyle w:val="style4098"/>
              <w:jc w:val="left"/>
              <w:rPr/>
            </w:pPr>
            <w:r>
              <w:t>在线迁移</w:t>
            </w:r>
          </w:p>
        </w:tc>
        <w:tc>
          <w:tcPr>
            <w:tcW w:w="0" w:type="auto"/>
            <w:tcBorders/>
          </w:tcPr>
          <w:p w14:paraId="595314C5">
            <w:pPr>
              <w:pStyle w:val="style4098"/>
              <w:jc w:val="center"/>
              <w:rPr/>
            </w:pPr>
            <w:r>
              <w:t>✗</w:t>
            </w:r>
          </w:p>
        </w:tc>
        <w:tc>
          <w:tcPr>
            <w:tcW w:w="0" w:type="auto"/>
            <w:tcBorders/>
          </w:tcPr>
          <w:p w14:paraId="71D01D7A">
            <w:pPr>
              <w:pStyle w:val="style4098"/>
              <w:jc w:val="left"/>
              <w:rPr/>
            </w:pPr>
            <w:r>
              <w:t>单节点无法迁移</w:t>
            </w:r>
          </w:p>
        </w:tc>
      </w:tr>
      <w:tr w14:paraId="BA361E6F">
        <w:tblPrEx/>
        <w:trPr/>
        <w:tc>
          <w:tcPr>
            <w:tcW w:w="0" w:type="auto"/>
            <w:tcBorders/>
          </w:tcPr>
          <w:p w14:paraId="F6EC950C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C4AF5CDA">
            <w:pPr>
              <w:pStyle w:val="style4098"/>
              <w:jc w:val="left"/>
              <w:rPr/>
            </w:pPr>
            <w:r>
              <w:t>快照/回滚</w:t>
            </w:r>
          </w:p>
        </w:tc>
        <w:tc>
          <w:tcPr>
            <w:tcW w:w="0" w:type="auto"/>
            <w:tcBorders/>
          </w:tcPr>
          <w:p w14:paraId="8D097A23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F16C72D0">
            <w:pPr>
              <w:pStyle w:val="style4098"/>
              <w:jc w:val="left"/>
              <w:rPr/>
            </w:pPr>
            <w:r>
              <w:t>ZFS/Btrfs 原生快照，O(1) 元数据操作</w:t>
            </w:r>
          </w:p>
        </w:tc>
      </w:tr>
      <w:tr w14:paraId="AC22CFCC">
        <w:tblPrEx/>
        <w:trPr/>
        <w:tc>
          <w:tcPr>
            <w:tcW w:w="0" w:type="auto"/>
            <w:tcBorders/>
          </w:tcPr>
          <w:p w14:paraId="7860384A">
            <w:pPr>
              <w:pStyle w:val="style4098"/>
              <w:jc w:val="left"/>
              <w:rPr/>
            </w:pPr>
            <w:r>
              <w:rPr>
                <w:b/>
                <w:bCs/>
              </w:rPr>
              <w:t>容器管理</w:t>
            </w:r>
          </w:p>
        </w:tc>
        <w:tc>
          <w:tcPr>
            <w:tcW w:w="0" w:type="auto"/>
            <w:tcBorders/>
          </w:tcPr>
          <w:p w14:paraId="D5918B30">
            <w:pPr>
              <w:pStyle w:val="style4098"/>
              <w:jc w:val="left"/>
              <w:rPr/>
            </w:pPr>
            <w:r>
              <w:t>创建/启动/停止/删除 LXC 容器</w:t>
            </w:r>
          </w:p>
        </w:tc>
        <w:tc>
          <w:tcPr>
            <w:tcW w:w="0" w:type="auto"/>
            <w:tcBorders/>
          </w:tcPr>
          <w:p w14:paraId="66C9AD72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19542F6E">
            <w:pPr>
              <w:pStyle w:val="style4098"/>
              <w:jc w:val="left"/>
              <w:rPr/>
            </w:pPr>
            <w:r>
              <w:t>系统容器，共享宿主内核</w:t>
            </w:r>
          </w:p>
        </w:tc>
      </w:tr>
      <w:tr w14:paraId="23EF94D1">
        <w:tblPrEx/>
        <w:trPr/>
        <w:tc>
          <w:tcPr>
            <w:tcW w:w="0" w:type="auto"/>
            <w:tcBorders/>
          </w:tcPr>
          <w:p w14:paraId="ACD014E1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A583D352">
            <w:pPr>
              <w:pStyle w:val="style4098"/>
              <w:jc w:val="left"/>
              <w:rPr/>
            </w:pPr>
            <w:r>
              <w:t>应用容器 (Docker 兼容)</w:t>
            </w:r>
          </w:p>
        </w:tc>
        <w:tc>
          <w:tcPr>
            <w:tcW w:w="0" w:type="auto"/>
            <w:tcBorders/>
          </w:tcPr>
          <w:p w14:paraId="709D1C3A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A1A80ACB">
            <w:pPr>
              <w:pStyle w:val="style4098"/>
              <w:jc w:val="left"/>
              <w:rPr/>
            </w:pPr>
            <w:r>
              <w:t>Incus 支持 OCI 镜像运行</w:t>
            </w:r>
          </w:p>
        </w:tc>
      </w:tr>
      <w:tr w14:paraId="F187A3A0">
        <w:tblPrEx/>
        <w:trPr/>
        <w:tc>
          <w:tcPr>
            <w:tcW w:w="0" w:type="auto"/>
            <w:tcBorders/>
          </w:tcPr>
          <w:p w14:paraId="559FC4DC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A68952B5">
            <w:pPr>
              <w:pStyle w:val="style4098"/>
              <w:jc w:val="left"/>
              <w:rPr/>
            </w:pPr>
            <w:r>
              <w:t>容器实时迁移</w:t>
            </w:r>
          </w:p>
        </w:tc>
        <w:tc>
          <w:tcPr>
            <w:tcW w:w="0" w:type="auto"/>
            <w:tcBorders/>
          </w:tcPr>
          <w:p w14:paraId="F78730ED">
            <w:pPr>
              <w:pStyle w:val="style4098"/>
              <w:jc w:val="center"/>
              <w:rPr/>
            </w:pPr>
            <w:r>
              <w:t>✗</w:t>
            </w:r>
          </w:p>
        </w:tc>
        <w:tc>
          <w:tcPr>
            <w:tcW w:w="0" w:type="auto"/>
            <w:tcBorders/>
          </w:tcPr>
          <w:p w14:paraId="F4C95E71">
            <w:pPr>
              <w:pStyle w:val="style4098"/>
              <w:jc w:val="left"/>
              <w:rPr/>
            </w:pPr>
            <w:r>
              <w:t>需集群模式</w:t>
            </w:r>
          </w:p>
        </w:tc>
      </w:tr>
      <w:tr w14:paraId="E39B629B">
        <w:tblPrEx/>
        <w:trPr/>
        <w:tc>
          <w:tcPr>
            <w:tcW w:w="0" w:type="auto"/>
            <w:tcBorders/>
          </w:tcPr>
          <w:p w14:paraId="5D40E04B">
            <w:pPr>
              <w:pStyle w:val="style4098"/>
              <w:jc w:val="left"/>
              <w:rPr/>
            </w:pPr>
            <w:r>
              <w:rPr>
                <w:b/>
                <w:bCs/>
              </w:rPr>
              <w:t>存储</w:t>
            </w:r>
          </w:p>
        </w:tc>
        <w:tc>
          <w:tcPr>
            <w:tcW w:w="0" w:type="auto"/>
            <w:tcBorders/>
          </w:tcPr>
          <w:p w14:paraId="FAB81DF0">
            <w:pPr>
              <w:pStyle w:val="style4098"/>
              <w:jc w:val="left"/>
              <w:rPr/>
            </w:pPr>
            <w:r>
              <w:t>本地 ZFS/Btrfs 池</w:t>
            </w:r>
          </w:p>
        </w:tc>
        <w:tc>
          <w:tcPr>
            <w:tcW w:w="0" w:type="auto"/>
            <w:tcBorders/>
          </w:tcPr>
          <w:p w14:paraId="57C69E99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1A9984FB">
            <w:pPr>
              <w:pStyle w:val="style4098"/>
              <w:jc w:val="left"/>
              <w:rPr/>
            </w:pPr>
            <w:r>
              <w:t>完整 CoW 快照、压缩、去重</w:t>
            </w:r>
          </w:p>
        </w:tc>
      </w:tr>
      <w:tr w14:paraId="D58202F5">
        <w:tblPrEx/>
        <w:trPr/>
        <w:tc>
          <w:tcPr>
            <w:tcW w:w="0" w:type="auto"/>
            <w:tcBorders/>
          </w:tcPr>
          <w:p w14:paraId="05029E2E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EF91865E">
            <w:pPr>
              <w:pStyle w:val="style4098"/>
              <w:jc w:val="left"/>
              <w:rPr/>
            </w:pPr>
            <w:r>
              <w:t>存储快照</w:t>
            </w:r>
          </w:p>
        </w:tc>
        <w:tc>
          <w:tcPr>
            <w:tcW w:w="0" w:type="auto"/>
            <w:tcBorders/>
          </w:tcPr>
          <w:p w14:paraId="E8CCBAE7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DAA22343">
            <w:pPr>
              <w:pStyle w:val="style4098"/>
              <w:jc w:val="left"/>
              <w:rPr/>
            </w:pPr>
            <w:r>
              <w:t>近乎瞬时创建</w:t>
            </w:r>
            <w:r>
              <w:t xml:space="preserve"> </w:t>
            </w:r>
            <w:r>
              <w:rPr/>
              <w:fldChar w:fldCharType="begin"/>
            </w:r>
            <w:r>
              <w:instrText>NOTEREF _Ref_Footnote_7 \h \f</w:instrText>
            </w:r>
            <w:r>
              <w:rPr/>
              <w:fldChar w:fldCharType="separate"/>
            </w:r>
            <w:r>
              <w:rPr>
                <w:vertAlign w:val="superscript"/>
              </w:rPr>
              <w:t>7</w:t>
            </w:r>
            <w:r>
              <w:rPr/>
              <w:fldChar w:fldCharType="end"/>
            </w:r>
          </w:p>
        </w:tc>
      </w:tr>
      <w:tr w14:paraId="B87577CC">
        <w:tblPrEx/>
        <w:trPr/>
        <w:tc>
          <w:tcPr>
            <w:tcW w:w="0" w:type="auto"/>
            <w:tcBorders/>
          </w:tcPr>
          <w:p w14:paraId="3AF8DE35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CC1BDD6C">
            <w:pPr>
              <w:pStyle w:val="style4098"/>
              <w:jc w:val="left"/>
              <w:rPr/>
            </w:pPr>
            <w:r>
              <w:t>存储配额</w:t>
            </w:r>
          </w:p>
        </w:tc>
        <w:tc>
          <w:tcPr>
            <w:tcW w:w="0" w:type="auto"/>
            <w:tcBorders/>
          </w:tcPr>
          <w:p w14:paraId="52459FBA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41957204">
            <w:pPr>
              <w:pStyle w:val="style4098"/>
              <w:jc w:val="left"/>
              <w:rPr/>
            </w:pPr>
            <w:r>
              <w:t>实例级磁盘限制</w:t>
            </w:r>
          </w:p>
        </w:tc>
      </w:tr>
      <w:tr w14:paraId="4CC13165">
        <w:tblPrEx/>
        <w:trPr/>
        <w:tc>
          <w:tcPr>
            <w:tcW w:w="0" w:type="auto"/>
            <w:tcBorders/>
          </w:tcPr>
          <w:p w14:paraId="15C448D5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DF6290CC">
            <w:pPr>
              <w:pStyle w:val="style4098"/>
              <w:jc w:val="left"/>
              <w:rPr/>
            </w:pPr>
            <w:r>
              <w:t>分布式存储 (Ceph)</w:t>
            </w:r>
          </w:p>
        </w:tc>
        <w:tc>
          <w:tcPr>
            <w:tcW w:w="0" w:type="auto"/>
            <w:tcBorders/>
          </w:tcPr>
          <w:p w14:paraId="BE6BC614">
            <w:pPr>
              <w:pStyle w:val="style4098"/>
              <w:jc w:val="center"/>
              <w:rPr/>
            </w:pPr>
            <w:r>
              <w:t>✗</w:t>
            </w:r>
          </w:p>
        </w:tc>
        <w:tc>
          <w:tcPr>
            <w:tcW w:w="0" w:type="auto"/>
            <w:tcBorders/>
          </w:tcPr>
          <w:p w14:paraId="6FA9FD98">
            <w:pPr>
              <w:pStyle w:val="style4098"/>
              <w:jc w:val="left"/>
              <w:rPr/>
            </w:pPr>
            <w:r>
              <w:t>单节点不支持 Ceph 集群</w:t>
            </w:r>
          </w:p>
        </w:tc>
      </w:tr>
      <w:tr w14:paraId="D3B08C0D">
        <w:tblPrEx/>
        <w:trPr/>
        <w:tc>
          <w:tcPr>
            <w:tcW w:w="0" w:type="auto"/>
            <w:tcBorders/>
          </w:tcPr>
          <w:p w14:paraId="41F6BF12">
            <w:pPr>
              <w:pStyle w:val="style4098"/>
              <w:jc w:val="left"/>
              <w:rPr/>
            </w:pPr>
            <w:r>
              <w:rPr>
                <w:b/>
                <w:bCs/>
              </w:rPr>
              <w:t>网络</w:t>
            </w:r>
          </w:p>
        </w:tc>
        <w:tc>
          <w:tcPr>
            <w:tcW w:w="0" w:type="auto"/>
            <w:tcBorders/>
          </w:tcPr>
          <w:p w14:paraId="FAB0D8D1">
            <w:pPr>
              <w:pStyle w:val="style4098"/>
              <w:jc w:val="left"/>
              <w:rPr/>
            </w:pPr>
            <w:r>
              <w:t>Linux Bridge + DHCP/DNS</w:t>
            </w:r>
          </w:p>
        </w:tc>
        <w:tc>
          <w:tcPr>
            <w:tcW w:w="0" w:type="auto"/>
            <w:tcBorders/>
          </w:tcPr>
          <w:p w14:paraId="DBAB2332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09076F70">
            <w:pPr>
              <w:pStyle w:val="style4098"/>
              <w:jc w:val="left"/>
              <w:rPr/>
            </w:pPr>
            <w:r>
              <w:t>Incus 默认桥接网络</w:t>
            </w:r>
          </w:p>
        </w:tc>
      </w:tr>
      <w:tr w14:paraId="36D08F39">
        <w:tblPrEx/>
        <w:trPr/>
        <w:tc>
          <w:tcPr>
            <w:tcW w:w="0" w:type="auto"/>
            <w:tcBorders/>
          </w:tcPr>
          <w:p w14:paraId="F1D6ACD1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932AB4A7">
            <w:pPr>
              <w:pStyle w:val="style4098"/>
              <w:jc w:val="left"/>
              <w:rPr/>
            </w:pPr>
            <w:r>
              <w:t>VLAN 分段</w:t>
            </w:r>
          </w:p>
        </w:tc>
        <w:tc>
          <w:tcPr>
            <w:tcW w:w="0" w:type="auto"/>
            <w:tcBorders/>
          </w:tcPr>
          <w:p w14:paraId="49AAD7D5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A9D7FB5B">
            <w:pPr>
              <w:pStyle w:val="style4098"/>
              <w:jc w:val="left"/>
              <w:rPr/>
            </w:pPr>
            <w:r>
              <w:t>802.1Q 标签隔离</w:t>
            </w:r>
          </w:p>
        </w:tc>
      </w:tr>
      <w:tr w14:paraId="043D4EA2">
        <w:tblPrEx/>
        <w:trPr/>
        <w:tc>
          <w:tcPr>
            <w:tcW w:w="0" w:type="auto"/>
            <w:tcBorders/>
          </w:tcPr>
          <w:p w14:paraId="66C76D29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B98534F7">
            <w:pPr>
              <w:pStyle w:val="style4098"/>
              <w:jc w:val="left"/>
              <w:rPr/>
            </w:pPr>
            <w:r>
              <w:t>SDN / VPC</w:t>
            </w:r>
          </w:p>
        </w:tc>
        <w:tc>
          <w:tcPr>
            <w:tcW w:w="0" w:type="auto"/>
            <w:tcBorders/>
          </w:tcPr>
          <w:p w14:paraId="B5BC3F90">
            <w:pPr>
              <w:pStyle w:val="style4098"/>
              <w:jc w:val="center"/>
              <w:rPr/>
            </w:pPr>
            <w:r>
              <w:t>✗</w:t>
            </w:r>
          </w:p>
        </w:tc>
        <w:tc>
          <w:tcPr>
            <w:tcW w:w="0" w:type="auto"/>
            <w:tcBorders/>
          </w:tcPr>
          <w:p w14:paraId="D91C1907">
            <w:pPr>
              <w:pStyle w:val="style4098"/>
              <w:jc w:val="left"/>
              <w:rPr/>
            </w:pPr>
            <w:r>
              <w:t>需 OVN</w:t>
            </w:r>
          </w:p>
        </w:tc>
      </w:tr>
      <w:tr w14:paraId="60FFDFFC">
        <w:tblPrEx/>
        <w:trPr/>
        <w:tc>
          <w:tcPr>
            <w:tcW w:w="0" w:type="auto"/>
            <w:tcBorders/>
          </w:tcPr>
          <w:p w14:paraId="35E7551B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7B814F6C">
            <w:pPr>
              <w:pStyle w:val="style4098"/>
              <w:jc w:val="left"/>
              <w:rPr/>
            </w:pPr>
            <w:r>
              <w:t>网络 ACL</w:t>
            </w:r>
          </w:p>
        </w:tc>
        <w:tc>
          <w:tcPr>
            <w:tcW w:w="0" w:type="auto"/>
            <w:tcBorders/>
          </w:tcPr>
          <w:p w14:paraId="95C5C7E9">
            <w:pPr>
              <w:pStyle w:val="style4098"/>
              <w:jc w:val="center"/>
              <w:rPr/>
            </w:pPr>
            <w:r>
              <w:t>✗</w:t>
            </w:r>
          </w:p>
        </w:tc>
        <w:tc>
          <w:tcPr>
            <w:tcW w:w="0" w:type="auto"/>
            <w:tcBorders/>
          </w:tcPr>
          <w:p w14:paraId="C1D261D5">
            <w:pPr>
              <w:pStyle w:val="style4098"/>
              <w:jc w:val="left"/>
              <w:rPr/>
            </w:pPr>
            <w:r>
              <w:t>需 OVN 或集群模式</w:t>
            </w:r>
          </w:p>
        </w:tc>
      </w:tr>
      <w:tr w14:paraId="03451353">
        <w:tblPrEx/>
        <w:trPr/>
        <w:tc>
          <w:tcPr>
            <w:tcW w:w="0" w:type="auto"/>
            <w:tcBorders/>
          </w:tcPr>
          <w:p w14:paraId="ED797C9C">
            <w:pPr>
              <w:pStyle w:val="style4098"/>
              <w:jc w:val="left"/>
              <w:rPr/>
            </w:pPr>
            <w:r>
              <w:rPr>
                <w:b/>
                <w:bCs/>
              </w:rPr>
              <w:t>安全</w:t>
            </w:r>
          </w:p>
        </w:tc>
        <w:tc>
          <w:tcPr>
            <w:tcW w:w="0" w:type="auto"/>
            <w:tcBorders/>
          </w:tcPr>
          <w:p w14:paraId="8E88C654">
            <w:pPr>
              <w:pStyle w:val="style4098"/>
              <w:jc w:val="left"/>
              <w:rPr/>
            </w:pPr>
            <w:r>
              <w:t>VM 硬件级隔离</w:t>
            </w:r>
          </w:p>
        </w:tc>
        <w:tc>
          <w:tcPr>
            <w:tcW w:w="0" w:type="auto"/>
            <w:tcBorders/>
          </w:tcPr>
          <w:p w14:paraId="573AB391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17EE891C">
            <w:pPr>
              <w:pStyle w:val="style4098"/>
              <w:jc w:val="left"/>
              <w:rPr/>
            </w:pPr>
            <w:r>
              <w:t>KVM 独立 Guest 内核</w:t>
            </w:r>
          </w:p>
        </w:tc>
      </w:tr>
      <w:tr w14:paraId="6084791F">
        <w:tblPrEx/>
        <w:trPr/>
        <w:tc>
          <w:tcPr>
            <w:tcW w:w="0" w:type="auto"/>
            <w:tcBorders/>
          </w:tcPr>
          <w:p w14:paraId="580B3C13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E7497ADA">
            <w:pPr>
              <w:pStyle w:val="style4098"/>
              <w:jc w:val="left"/>
              <w:rPr/>
            </w:pPr>
            <w:r>
              <w:t>容器 seccomp/AppArmor</w:t>
            </w:r>
          </w:p>
        </w:tc>
        <w:tc>
          <w:tcPr>
            <w:tcW w:w="0" w:type="auto"/>
            <w:tcBorders/>
          </w:tcPr>
          <w:p w14:paraId="C7038967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C0A0DDE0">
            <w:pPr>
              <w:pStyle w:val="style4098"/>
              <w:jc w:val="left"/>
              <w:rPr/>
            </w:pPr>
            <w:r>
              <w:t>LXC 默认安全 Profile</w:t>
            </w:r>
          </w:p>
        </w:tc>
      </w:tr>
      <w:tr w14:paraId="3DB1CC9B">
        <w:tblPrEx/>
        <w:trPr/>
        <w:tc>
          <w:tcPr>
            <w:tcW w:w="0" w:type="auto"/>
            <w:tcBorders/>
          </w:tcPr>
          <w:p w14:paraId="4C65498E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731AD775">
            <w:pPr>
              <w:pStyle w:val="style4098"/>
              <w:jc w:val="left"/>
              <w:rPr/>
            </w:pPr>
            <w:r>
              <w:t>安全容器 (独立内核)</w:t>
            </w:r>
          </w:p>
        </w:tc>
        <w:tc>
          <w:tcPr>
            <w:tcW w:w="0" w:type="auto"/>
            <w:tcBorders/>
          </w:tcPr>
          <w:p w14:paraId="6A0278A4">
            <w:pPr>
              <w:pStyle w:val="style4098"/>
              <w:jc w:val="center"/>
              <w:rPr/>
            </w:pPr>
            <w:r>
              <w:t>✗</w:t>
            </w:r>
          </w:p>
        </w:tc>
        <w:tc>
          <w:tcPr>
            <w:tcW w:w="0" w:type="auto"/>
            <w:tcBorders/>
          </w:tcPr>
          <w:p w14:paraId="F52DD295">
            <w:pPr>
              <w:pStyle w:val="style4098"/>
              <w:jc w:val="left"/>
              <w:rPr/>
            </w:pPr>
            <w:r>
              <w:t>需 Kata Containers</w:t>
            </w:r>
          </w:p>
        </w:tc>
      </w:tr>
      <w:tr w14:paraId="51B7F48D">
        <w:tblPrEx/>
        <w:trPr/>
        <w:tc>
          <w:tcPr>
            <w:tcW w:w="0" w:type="auto"/>
            <w:tcBorders/>
          </w:tcPr>
          <w:p w14:paraId="27164085">
            <w:pPr>
              <w:pStyle w:val="style4098"/>
              <w:jc w:val="left"/>
              <w:rPr/>
            </w:pPr>
            <w:r>
              <w:rPr>
                <w:b/>
                <w:bCs/>
              </w:rPr>
              <w:t>管理</w:t>
            </w:r>
          </w:p>
        </w:tc>
        <w:tc>
          <w:tcPr>
            <w:tcW w:w="0" w:type="auto"/>
            <w:tcBorders/>
          </w:tcPr>
          <w:p w14:paraId="807B5733">
            <w:pPr>
              <w:pStyle w:val="style4098"/>
              <w:jc w:val="left"/>
              <w:rPr/>
            </w:pPr>
            <w:r>
              <w:t>REST API + CLI</w:t>
            </w:r>
          </w:p>
        </w:tc>
        <w:tc>
          <w:tcPr>
            <w:tcW w:w="0" w:type="auto"/>
            <w:tcBorders/>
          </w:tcPr>
          <w:p w14:paraId="A8B07233">
            <w:pPr>
              <w:pStyle w:val="style4098"/>
              <w:jc w:val="center"/>
              <w:rPr/>
            </w:pPr>
            <w:r>
              <w:t>✓</w:t>
            </w:r>
          </w:p>
        </w:tc>
        <w:tc>
          <w:tcPr>
            <w:tcW w:w="0" w:type="auto"/>
            <w:tcBorders/>
          </w:tcPr>
          <w:p w14:paraId="CD7E94F5">
            <w:pPr>
              <w:pStyle w:val="style4098"/>
              <w:jc w:val="left"/>
              <w:rPr/>
            </w:pPr>
            <w:r>
              <w:t>Incus 原生 API</w:t>
            </w:r>
          </w:p>
        </w:tc>
      </w:tr>
      <w:tr w14:paraId="C3629518">
        <w:tblPrEx/>
        <w:trPr/>
        <w:tc>
          <w:tcPr>
            <w:tcW w:w="0" w:type="auto"/>
            <w:tcBorders/>
          </w:tcPr>
          <w:p w14:paraId="C23402C8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3D187C1C">
            <w:pPr>
              <w:pStyle w:val="style4098"/>
              <w:jc w:val="left"/>
              <w:rPr/>
            </w:pPr>
            <w:r>
              <w:t>Web UI</w:t>
            </w:r>
          </w:p>
        </w:tc>
        <w:tc>
          <w:tcPr>
            <w:tcW w:w="0" w:type="auto"/>
            <w:tcBorders/>
          </w:tcPr>
          <w:p w14:paraId="49C82DBF">
            <w:pPr>
              <w:pStyle w:val="style4098"/>
              <w:jc w:val="center"/>
              <w:rPr/>
            </w:pPr>
            <w:r>
              <w:t>✗</w:t>
            </w:r>
          </w:p>
        </w:tc>
        <w:tc>
          <w:tcPr>
            <w:tcW w:w="0" w:type="auto"/>
            <w:tcBorders/>
          </w:tcPr>
          <w:p w14:paraId="D75D855C">
            <w:pPr>
              <w:pStyle w:val="style4098"/>
              <w:jc w:val="left"/>
              <w:rPr/>
            </w:pPr>
            <w:r>
              <w:t>需自研或第三方</w:t>
            </w:r>
          </w:p>
        </w:tc>
      </w:tr>
      <w:tr w14:paraId="CCA34BB5">
        <w:tblPrEx/>
        <w:trPr/>
        <w:tc>
          <w:tcPr>
            <w:tcW w:w="0" w:type="auto"/>
            <w:tcBorders/>
          </w:tcPr>
          <w:p w14:paraId="ADB40BC4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61A338D3">
            <w:pPr>
              <w:pStyle w:val="style4098"/>
              <w:jc w:val="left"/>
              <w:rPr/>
            </w:pPr>
            <w:r>
              <w:t>集群管理</w:t>
            </w:r>
          </w:p>
        </w:tc>
        <w:tc>
          <w:tcPr>
            <w:tcW w:w="0" w:type="auto"/>
            <w:tcBorders/>
          </w:tcPr>
          <w:p w14:paraId="B3C92A6E">
            <w:pPr>
              <w:pStyle w:val="style4098"/>
              <w:jc w:val="center"/>
              <w:rPr/>
            </w:pPr>
            <w:r>
              <w:t>✗</w:t>
            </w:r>
          </w:p>
        </w:tc>
        <w:tc>
          <w:tcPr>
            <w:tcW w:w="0" w:type="auto"/>
            <w:tcBorders/>
          </w:tcPr>
          <w:p w14:paraId="DDA1B61F">
            <w:pPr>
              <w:pStyle w:val="style4098"/>
              <w:jc w:val="left"/>
              <w:rPr/>
            </w:pPr>
            <w:r>
              <w:t>单节点</w:t>
            </w:r>
          </w:p>
        </w:tc>
      </w:tr>
      <w:tr w14:paraId="9BB01A20">
        <w:tblPrEx/>
        <w:trPr/>
        <w:tc>
          <w:tcPr>
            <w:tcW w:w="0" w:type="auto"/>
            <w:tcBorders/>
          </w:tcPr>
          <w:p w14:paraId="361AFA78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0CBEB8D2">
            <w:pPr>
              <w:pStyle w:val="style4098"/>
              <w:jc w:val="left"/>
              <w:rPr/>
            </w:pPr>
            <w:r>
              <w:t>多租户 RBAC</w:t>
            </w:r>
          </w:p>
        </w:tc>
        <w:tc>
          <w:tcPr>
            <w:tcW w:w="0" w:type="auto"/>
            <w:tcBorders/>
          </w:tcPr>
          <w:p w14:paraId="F0FBC0AE">
            <w:pPr>
              <w:pStyle w:val="style4098"/>
              <w:jc w:val="center"/>
              <w:rPr/>
            </w:pPr>
            <w:r>
              <w:t>✗</w:t>
            </w:r>
          </w:p>
        </w:tc>
        <w:tc>
          <w:tcPr>
            <w:tcW w:w="0" w:type="auto"/>
            <w:tcBorders/>
          </w:tcPr>
          <w:p w14:paraId="232346C8">
            <w:pPr>
              <w:pStyle w:val="style4098"/>
              <w:jc w:val="left"/>
              <w:rPr/>
            </w:pPr>
            <w:r>
              <w:t>单用户模式</w:t>
            </w:r>
          </w:p>
        </w:tc>
      </w:tr>
    </w:tbl>
    <w:p w14:paraId="BD60C0C8">
      <w:pPr>
        <w:pStyle w:val="style66"/>
        <w:rPr/>
      </w:pPr>
      <w:r>
        <w:t>L0 覆盖了虚拟化最核心的 30% 功能——实例生命周期管理、本地存储快照和基础网络连通性。未覆盖的 70% 集中在集群高可用、高级网络、安全容器和管理平面四个领域，这些将在 L1–L3 逐步补齐。</w:t>
      </w:r>
    </w:p>
    <w:bookmarkStart w:id="11" w:name="与-pve-对标"/>
    <w:bookmarkEnd w:id="10"/>
    <w:p w14:paraId="430442E7">
      <w:pPr>
        <w:pStyle w:val="style4103"/>
        <w:rPr/>
      </w:pPr>
      <w:r>
        <w:t>2.5 与 PVE 对标</w:t>
      </w:r>
    </w:p>
    <w:p w14:paraId="45C560E8">
      <w:pPr>
        <w:pStyle w:val="style4097"/>
        <w:rPr/>
      </w:pPr>
      <w:r>
        <w:t>PVE 单节点部署提供以下功能：基于 QEMU/KVM 的 VM 管理、基于 LXC 的容器管理、基于 ZFS/LVM 的本地存储、基于 Linux Bridge 的网络以及 ExtJS Web UI</w:t>
      </w:r>
      <w:r>
        <w:t xml:space="preserve"> </w:t>
      </w:r>
      <w:r>
        <w:rPr>
          <w:vertAlign w:val="superscript"/>
        </w:rPr>
        <w:footnoteReference w:id="8"/>
      </w:r>
      <w:r>
        <w:t xml:space="preserve"> </w:t>
      </w:r>
      <w:r>
        <w:rPr>
          <w:vertAlign w:val="superscript"/>
        </w:rPr>
        <w:footnoteReference w:id="9"/>
      </w:r>
      <w:r>
        <w:t>。L0 与 PVE 单节点在技术栈上高度重叠，均依赖 QEMU/KVM + LXC + ZFS + Linux Bridge 这一成熟组合。</w:t>
      </w:r>
    </w:p>
    <w:p w14:paraId="C4CBBF77">
      <w:pPr>
        <w:pStyle w:val="style66"/>
        <w:rPr/>
      </w:pPr>
      <w:r>
        <w:t>L0</w:t>
      </w:r>
      <w:r>
        <w:t xml:space="preserve"> </w:t>
      </w:r>
      <w:r>
        <w:rPr>
          <w:b/>
          <w:bCs/>
        </w:rPr>
        <w:t>已覆盖</w:t>
      </w:r>
      <w:r>
        <w:t>的 PVE 功能包括：VM 完整生命周期管理（PVE 通过 pvedaemon 管理，L0 通过 incusd 管理）；LXC 容器管理；ZFS 存储池与快照；Linux Bridge 网络与 VLAN；REST API 管理接口（PVE 的 pveproxy 提供 HTTP API，Incus 原生提供 OpenAPI 规范 API</w:t>
      </w:r>
      <w:r>
        <w:t xml:space="preserve"> </w:t>
      </w:r>
      <w:r>
        <w:rPr/>
        <w:fldChar w:fldCharType="begin"/>
      </w:r>
      <w:r>
        <w:instrText>NOTEREF _Ref_Footnote_2 \h \f</w:instrText>
      </w:r>
      <w:r>
        <w:rPr/>
        <w:fldChar w:fldCharType="separate"/>
      </w:r>
      <w:r>
        <w:rPr>
          <w:vertAlign w:val="superscript"/>
        </w:rPr>
        <w:t>2</w:t>
      </w:r>
      <w:r>
        <w:rPr/>
        <w:fldChar w:fldCharType="end"/>
      </w:r>
      <w:r>
        <w:t>）。</w:t>
      </w:r>
    </w:p>
    <w:p w14:paraId="C15DE1D9">
      <w:pPr>
        <w:pStyle w:val="style66"/>
        <w:rPr/>
      </w:pPr>
      <w:r>
        <w:t>L0</w:t>
      </w:r>
      <w:r>
        <w:t xml:space="preserve"> </w:t>
      </w:r>
      <w:r>
        <w:rPr>
          <w:b/>
          <w:bCs/>
        </w:rPr>
        <w:t>未覆盖</w:t>
      </w:r>
      <w:r>
        <w:t>的 PVE 功能包括：Web UI（PVE 的 ExtJS 界面经过 15 年迭代</w:t>
      </w:r>
      <w:r>
        <w:t xml:space="preserve"> </w:t>
      </w:r>
      <w:r>
        <w:rPr/>
        <w:fldChar w:fldCharType="begin"/>
      </w:r>
      <w:r>
        <w:instrText>NOTEREF _Ref_Footnote_8 \h \f</w:instrText>
      </w:r>
      <w:r>
        <w:rPr/>
        <w:fldChar w:fldCharType="separate"/>
      </w:r>
      <w:r>
        <w:rPr>
          <w:vertAlign w:val="superscript"/>
        </w:rPr>
        <w:t>8</w:t>
      </w:r>
      <w:r>
        <w:rPr/>
        <w:fldChar w:fldCharType="end"/>
      </w:r>
      <w:r>
        <w:t>，L0 仅提供 CLI）；备份/恢复（PVE 内置 vzdump 工具支持增量备份）；防火墙（PVE 提供基于 iptables 的节点级防火墙）；模板市场（PVE 提供 Turnkey Linux 等预构建模板下载）。这些差距在 L2（Web UI 自研）和 L1–L3（备份、防火墙能力逐步叠加）中补齐。</w:t>
      </w:r>
    </w:p>
    <w:bookmarkStart w:id="12" w:name="部署步骤"/>
    <w:bookmarkEnd w:id="11"/>
    <w:p w14:paraId="17D6F625">
      <w:pPr>
        <w:pStyle w:val="style4103"/>
        <w:rPr/>
      </w:pPr>
      <w:r>
        <w:t>2.6 部署步骤</w:t>
      </w:r>
    </w:p>
    <w:p w14:paraId="00E6CD30">
      <w:pPr>
        <w:pStyle w:val="style4097"/>
        <w:rPr/>
      </w:pPr>
      <w:r>
        <w:t>L0 部署在单台 Ubuntu 22.04/24.04 服务器上执行，全过程约 30 分钟：</w:t>
      </w:r>
    </w:p>
    <w:p w14:paraId="C207EF89">
      <w:pPr>
        <w:pStyle w:val="style4123"/>
        <w:rPr/>
      </w:pPr>
      <w:r>
        <w:rPr>
          <w:rStyle w:val="style4136"/>
        </w:rPr>
        <w:t># 1. 启用 KVM 虚拟化</w:t>
      </w:r>
      <w:r>
        <w:br/>
      </w:r>
      <w:r>
        <w:rPr>
          <w:rStyle w:val="style4141"/>
        </w:rPr>
        <w:t>sudo</w:t>
      </w:r>
      <w:r>
        <w:rPr>
          <w:rStyle w:val="style4154"/>
        </w:rPr>
        <w:t xml:space="preserve"> apt update </w:t>
      </w:r>
      <w:r>
        <w:rPr>
          <w:rStyle w:val="style4124"/>
        </w:rPr>
        <w:t>&amp;&amp;</w:t>
      </w:r>
      <w:r>
        <w:rPr>
          <w:rStyle w:val="style4154"/>
        </w:rPr>
        <w:t xml:space="preserve"> </w:t>
      </w:r>
      <w:r>
        <w:rPr>
          <w:rStyle w:val="style4141"/>
        </w:rPr>
        <w:t>sudo</w:t>
      </w:r>
      <w:r>
        <w:rPr>
          <w:rStyle w:val="style4154"/>
        </w:rPr>
        <w:t xml:space="preserve"> apt install </w:t>
      </w:r>
      <w:r>
        <w:rPr>
          <w:rStyle w:val="style4148"/>
        </w:rPr>
        <w:t>-y</w:t>
      </w:r>
      <w:r>
        <w:rPr>
          <w:rStyle w:val="style4154"/>
        </w:rPr>
        <w:t xml:space="preserve"> qemu-kvm libvirt-daemon-system</w:t>
      </w:r>
      <w:r>
        <w:br/>
      </w:r>
      <w:r>
        <w:rPr>
          <w:rStyle w:val="style4141"/>
        </w:rPr>
        <w:t>lsmod</w:t>
      </w:r>
      <w:r>
        <w:rPr>
          <w:rStyle w:val="style4154"/>
        </w:rPr>
        <w:t xml:space="preserve"> </w:t>
      </w:r>
      <w:r>
        <w:rPr>
          <w:rStyle w:val="style4124"/>
        </w:rPr>
        <w:t>|</w:t>
      </w:r>
      <w:r>
        <w:rPr>
          <w:rStyle w:val="style4154"/>
        </w:rPr>
        <w:t xml:space="preserve"> </w:t>
      </w:r>
      <w:r>
        <w:rPr>
          <w:rStyle w:val="style4141"/>
        </w:rPr>
        <w:t>grep</w:t>
      </w:r>
      <w:r>
        <w:rPr>
          <w:rStyle w:val="style4154"/>
        </w:rPr>
        <w:t xml:space="preserve"> kvm  </w:t>
      </w:r>
      <w:r>
        <w:rPr>
          <w:rStyle w:val="style4136"/>
        </w:rPr>
        <w:t># 确认 kvm_intel / kvm_amd 已加载</w:t>
      </w:r>
      <w:r>
        <w:br/>
      </w:r>
      <w:r>
        <w:br/>
      </w:r>
      <w:r>
        <w:rPr>
          <w:rStyle w:val="style4136"/>
        </w:rPr>
        <w:t># 2. 安装 ZFS（推荐）或 Btrfs</w:t>
      </w:r>
      <w:r>
        <w:br/>
      </w:r>
      <w:r>
        <w:rPr>
          <w:rStyle w:val="style4141"/>
        </w:rPr>
        <w:t>sudo</w:t>
      </w:r>
      <w:r>
        <w:rPr>
          <w:rStyle w:val="style4154"/>
        </w:rPr>
        <w:t xml:space="preserve"> apt install </w:t>
      </w:r>
      <w:r>
        <w:rPr>
          <w:rStyle w:val="style4148"/>
        </w:rPr>
        <w:t>-y</w:t>
      </w:r>
      <w:r>
        <w:rPr>
          <w:rStyle w:val="style4154"/>
        </w:rPr>
        <w:t xml:space="preserve"> zfsutils-linux</w:t>
      </w:r>
      <w:r>
        <w:br/>
      </w:r>
      <w:r>
        <w:rPr>
          <w:rStyle w:val="style4141"/>
        </w:rPr>
        <w:t>sudo</w:t>
      </w:r>
      <w:r>
        <w:rPr>
          <w:rStyle w:val="style4154"/>
        </w:rPr>
        <w:t xml:space="preserve"> zpool create incus-pool /dev/nvme0n1</w:t>
      </w:r>
      <w:r>
        <w:br/>
      </w:r>
      <w:r>
        <w:br/>
      </w:r>
      <w:r>
        <w:rPr>
          <w:rStyle w:val="style4136"/>
        </w:rPr>
        <w:t># 3. 安装 Incus（通过官方 APT 仓库）</w:t>
      </w:r>
      <w:r>
        <w:br/>
      </w:r>
      <w:r>
        <w:rPr>
          <w:rStyle w:val="style4146"/>
        </w:rPr>
        <w:t>curl</w:t>
      </w:r>
      <w:r>
        <w:rPr>
          <w:rStyle w:val="style4154"/>
        </w:rPr>
        <w:t xml:space="preserve"> </w:t>
      </w:r>
      <w:r>
        <w:rPr>
          <w:rStyle w:val="style4148"/>
        </w:rPr>
        <w:t>-fsSL</w:t>
      </w:r>
      <w:r>
        <w:rPr>
          <w:rStyle w:val="style4154"/>
        </w:rPr>
        <w:t xml:space="preserve"> https://pkgs.zabbly.com/key.asc </w:t>
      </w:r>
      <w:r>
        <w:rPr>
          <w:rStyle w:val="style4124"/>
        </w:rPr>
        <w:t>|</w:t>
      </w:r>
      <w:r>
        <w:rPr>
          <w:rStyle w:val="style4154"/>
        </w:rPr>
        <w:t xml:space="preserve"> </w:t>
      </w:r>
      <w:r>
        <w:rPr>
          <w:rStyle w:val="style4141"/>
        </w:rPr>
        <w:t>sudo</w:t>
      </w:r>
      <w:r>
        <w:rPr>
          <w:rStyle w:val="style4154"/>
        </w:rPr>
        <w:t xml:space="preserve"> gpg </w:t>
      </w:r>
      <w:r>
        <w:rPr>
          <w:rStyle w:val="style4148"/>
        </w:rPr>
        <w:t>--dearmor</w:t>
      </w:r>
      <w:r>
        <w:rPr>
          <w:rStyle w:val="style4154"/>
        </w:rPr>
        <w:t xml:space="preserve"> </w:t>
      </w:r>
      <w:r>
        <w:rPr>
          <w:rStyle w:val="style4148"/>
        </w:rPr>
        <w:t>-o</w:t>
      </w:r>
      <w:r>
        <w:rPr>
          <w:rStyle w:val="style4154"/>
        </w:rPr>
        <w:t xml:space="preserve"> /usr/share/keyrings/zabbly.gpg</w:t>
      </w:r>
      <w:r>
        <w:br/>
      </w:r>
      <w:r>
        <w:rPr>
          <w:rStyle w:val="style4145"/>
        </w:rPr>
        <w:t>echo</w:t>
      </w:r>
      <w:r>
        <w:rPr>
          <w:rStyle w:val="style4154"/>
        </w:rPr>
        <w:t xml:space="preserve"> </w:t>
      </w:r>
      <w:r>
        <w:rPr>
          <w:rStyle w:val="style4132"/>
        </w:rPr>
        <w:t xml:space="preserve">"deb [signed-by=/usr/share/keyrings/zabbly.gpg] https://pkgs.zabbly.com/incus/stable </w:t>
      </w:r>
      <w:r>
        <w:rPr>
          <w:rStyle w:val="style4142"/>
        </w:rPr>
        <w:t>$(</w:t>
      </w:r>
      <w:r>
        <w:rPr>
          <w:rStyle w:val="style4146"/>
        </w:rPr>
        <w:t>lsb_release</w:t>
      </w:r>
      <w:r>
        <w:rPr>
          <w:rStyle w:val="style4154"/>
        </w:rPr>
        <w:t xml:space="preserve"> </w:t>
      </w:r>
      <w:r>
        <w:rPr>
          <w:rStyle w:val="style4148"/>
        </w:rPr>
        <w:t>-cs</w:t>
      </w:r>
      <w:r>
        <w:rPr>
          <w:rStyle w:val="style4142"/>
        </w:rPr>
        <w:t>)</w:t>
      </w:r>
      <w:r>
        <w:rPr>
          <w:rStyle w:val="style4132"/>
        </w:rPr>
        <w:t xml:space="preserve"> main"</w:t>
      </w:r>
      <w:r>
        <w:rPr>
          <w:rStyle w:val="style4154"/>
        </w:rPr>
        <w:t xml:space="preserve"> </w:t>
      </w:r>
      <w:r>
        <w:rPr>
          <w:rStyle w:val="style4124"/>
        </w:rPr>
        <w:t>|</w:t>
      </w:r>
      <w:r>
        <w:rPr>
          <w:rStyle w:val="style4154"/>
        </w:rPr>
        <w:t xml:space="preserve"> </w:t>
      </w:r>
      <w:r>
        <w:rPr>
          <w:rStyle w:val="style4125"/>
        </w:rPr>
        <w:t>\</w:t>
      </w:r>
      <w:r>
        <w:br/>
      </w:r>
      <w:r>
        <w:rPr>
          <w:rStyle w:val="style4154"/>
        </w:rPr>
        <w:t xml:space="preserve">  </w:t>
      </w:r>
      <w:r>
        <w:rPr>
          <w:rStyle w:val="style4141"/>
        </w:rPr>
        <w:t>sudo</w:t>
      </w:r>
      <w:r>
        <w:rPr>
          <w:rStyle w:val="style4154"/>
        </w:rPr>
        <w:t xml:space="preserve"> tee /etc/apt/sources.list.d/zabbly-incus-stable.list</w:t>
      </w:r>
      <w:r>
        <w:br/>
      </w:r>
      <w:r>
        <w:rPr>
          <w:rStyle w:val="style4141"/>
        </w:rPr>
        <w:t>sudo</w:t>
      </w:r>
      <w:r>
        <w:rPr>
          <w:rStyle w:val="style4154"/>
        </w:rPr>
        <w:t xml:space="preserve"> apt update </w:t>
      </w:r>
      <w:r>
        <w:rPr>
          <w:rStyle w:val="style4124"/>
        </w:rPr>
        <w:t>&amp;&amp;</w:t>
      </w:r>
      <w:r>
        <w:rPr>
          <w:rStyle w:val="style4154"/>
        </w:rPr>
        <w:t xml:space="preserve"> </w:t>
      </w:r>
      <w:r>
        <w:rPr>
          <w:rStyle w:val="style4141"/>
        </w:rPr>
        <w:t>sudo</w:t>
      </w:r>
      <w:r>
        <w:rPr>
          <w:rStyle w:val="style4154"/>
        </w:rPr>
        <w:t xml:space="preserve"> apt install </w:t>
      </w:r>
      <w:r>
        <w:rPr>
          <w:rStyle w:val="style4148"/>
        </w:rPr>
        <w:t>-y</w:t>
      </w:r>
      <w:r>
        <w:rPr>
          <w:rStyle w:val="style4154"/>
        </w:rPr>
        <w:t xml:space="preserve"> incus</w:t>
      </w:r>
      <w:r>
        <w:br/>
      </w:r>
      <w:r>
        <w:br/>
      </w:r>
      <w:r>
        <w:rPr>
          <w:rStyle w:val="style4136"/>
        </w:rPr>
        <w:t># 4. 初始化 Incus（交互式向导，全默认即可）</w:t>
      </w:r>
      <w:r>
        <w:br/>
      </w:r>
      <w:r>
        <w:rPr>
          <w:rStyle w:val="style4141"/>
        </w:rPr>
        <w:t>sudo</w:t>
      </w:r>
      <w:r>
        <w:rPr>
          <w:rStyle w:val="style4154"/>
        </w:rPr>
        <w:t xml:space="preserve"> incus admin init</w:t>
      </w:r>
      <w:r>
        <w:br/>
      </w:r>
      <w:r>
        <w:br/>
      </w:r>
      <w:r>
        <w:rPr>
          <w:rStyle w:val="style4136"/>
        </w:rPr>
        <w:t># 5. 创建测试 VM</w:t>
      </w:r>
      <w:r>
        <w:br/>
      </w:r>
      <w:r>
        <w:rPr>
          <w:rStyle w:val="style4146"/>
        </w:rPr>
        <w:t>incus</w:t>
      </w:r>
      <w:r>
        <w:rPr>
          <w:rStyle w:val="style4154"/>
        </w:rPr>
        <w:t xml:space="preserve"> launch images:ubuntu/24.04/cloud test-vm </w:t>
      </w:r>
      <w:r>
        <w:rPr>
          <w:rStyle w:val="style4148"/>
        </w:rPr>
        <w:t>--vm</w:t>
      </w:r>
      <w:r>
        <w:br/>
      </w:r>
      <w:r>
        <w:br/>
      </w:r>
      <w:r>
        <w:rPr>
          <w:rStyle w:val="style4136"/>
        </w:rPr>
        <w:t># 6. 创建测试容器</w:t>
      </w:r>
      <w:r>
        <w:br/>
      </w:r>
      <w:r>
        <w:rPr>
          <w:rStyle w:val="style4146"/>
        </w:rPr>
        <w:t>incus</w:t>
      </w:r>
      <w:r>
        <w:rPr>
          <w:rStyle w:val="style4154"/>
        </w:rPr>
        <w:t xml:space="preserve"> launch images:ubuntu/24.04/cloud test-ct</w:t>
      </w:r>
      <w:r>
        <w:br/>
      </w:r>
      <w:r>
        <w:br/>
      </w:r>
      <w:r>
        <w:rPr>
          <w:rStyle w:val="style4136"/>
        </w:rPr>
        <w:t># 7. 查看运行实例</w:t>
      </w:r>
      <w:r>
        <w:br/>
      </w:r>
      <w:r>
        <w:rPr>
          <w:rStyle w:val="style4146"/>
        </w:rPr>
        <w:t>incus</w:t>
      </w:r>
      <w:r>
        <w:rPr>
          <w:rStyle w:val="style4154"/>
        </w:rPr>
        <w:t xml:space="preserve"> list</w:t>
      </w:r>
      <w:r>
        <w:br/>
      </w:r>
      <w:r>
        <w:br/>
      </w:r>
      <w:r>
        <w:rPr>
          <w:rStyle w:val="style4136"/>
        </w:rPr>
        <w:t># 8. 创建存储快照</w:t>
      </w:r>
      <w:r>
        <w:br/>
      </w:r>
      <w:r>
        <w:rPr>
          <w:rStyle w:val="style4146"/>
        </w:rPr>
        <w:t>incus</w:t>
      </w:r>
      <w:r>
        <w:rPr>
          <w:rStyle w:val="style4154"/>
        </w:rPr>
        <w:t xml:space="preserve"> storage volume snapshot create incus-pool test-vm vm-snap-01</w:t>
      </w:r>
      <w:r>
        <w:br/>
      </w:r>
      <w:r>
        <w:br/>
      </w:r>
      <w:r>
        <w:rPr>
          <w:rStyle w:val="style4136"/>
        </w:rPr>
        <w:t># 9. 配置桥接网络（默认已创建，按需调整）</w:t>
      </w:r>
      <w:r>
        <w:br/>
      </w:r>
      <w:r>
        <w:rPr>
          <w:rStyle w:val="style4146"/>
        </w:rPr>
        <w:t>incus</w:t>
      </w:r>
      <w:r>
        <w:rPr>
          <w:rStyle w:val="style4154"/>
        </w:rPr>
        <w:t xml:space="preserve"> network show incusbr0</w:t>
      </w:r>
      <w:r>
        <w:br/>
      </w:r>
      <w:r>
        <w:br/>
      </w:r>
      <w:r>
        <w:rPr>
          <w:rStyle w:val="style4136"/>
        </w:rPr>
        <w:t># 10. 启用 TCP API 访问（可选，用于远程管理）</w:t>
      </w:r>
      <w:r>
        <w:br/>
      </w:r>
      <w:r>
        <w:rPr>
          <w:rStyle w:val="style4146"/>
        </w:rPr>
        <w:t>incus</w:t>
      </w:r>
      <w:r>
        <w:rPr>
          <w:rStyle w:val="style4154"/>
        </w:rPr>
        <w:t xml:space="preserve"> config set core.https_address :8443</w:t>
      </w:r>
    </w:p>
    <w:p w14:paraId="0F213F0C">
      <w:pPr>
        <w:pStyle w:val="style4097"/>
        <w:rPr/>
      </w:pPr>
      <w:r>
        <w:t>以上 10 步完成后，即可获得一个功能完整的单节点虚拟化平台，支持 VM 与容器的并行运行、存储快照和基础网络连通。全部配置通过</w:t>
      </w:r>
      <w:r>
        <w:t xml:space="preserve"> </w:t>
      </w:r>
      <w:r>
        <w:rPr>
          <w:rStyle w:val="style4120"/>
        </w:rPr>
        <w:t>incus</w:t>
      </w:r>
      <w:r>
        <w:t xml:space="preserve"> </w:t>
      </w:r>
      <w:r>
        <w:t>CLI 管理，REST API 可通过任意 HTTP 客户端调用。</w:t>
      </w:r>
    </w:p>
    <w:bookmarkStart w:id="13" w:name="l1-基础版"/>
    <w:bookmarkEnd w:id="12"/>
    <w:bookmarkEnd w:id="6"/>
    <w:p w14:paraId="D5AC326F">
      <w:pPr>
        <w:pStyle w:val="style4102"/>
        <w:rPr/>
      </w:pPr>
      <w:r>
        <w:t>3. L1 基础版</w:t>
      </w:r>
    </w:p>
    <w:bookmarkStart w:id="14" w:name="设计目标-1"/>
    <w:p w14:paraId="B164BB03">
      <w:pPr>
        <w:pStyle w:val="style4103"/>
        <w:rPr/>
      </w:pPr>
      <w:r>
        <w:t>3.1 设计目标</w:t>
      </w:r>
    </w:p>
    <w:p w14:paraId="4F0AB07F">
      <w:pPr>
        <w:pStyle w:val="style4097"/>
        <w:rPr/>
      </w:pPr>
      <w:r>
        <w:t>L1 在 L0 的单节点虚拟化基础上，向三个方向扩展：</w:t>
      </w:r>
      <w:r>
        <w:rPr>
          <w:b/>
          <w:bCs/>
        </w:rPr>
        <w:t>集群高可用</w:t>
      </w:r>
      <w:r>
        <w:t>（Incus 集群模式）、</w:t>
      </w:r>
      <w:r>
        <w:rPr>
          <w:b/>
          <w:bCs/>
        </w:rPr>
        <w:t>安全容器</w:t>
      </w:r>
      <w:r>
        <w:t>（Kata Containers 引入 VM 级隔离）和</w:t>
      </w:r>
      <w:r>
        <w:rPr>
          <w:b/>
          <w:bCs/>
        </w:rPr>
        <w:t>SDN 网络</w:t>
      </w:r>
      <w:r>
        <w:t>（OVN 多租户 VPC）。设计约束为代码重度低（~5,000 行集成代码）、周期可控（1–2 个月交付），使中小企业或部门级虚拟化平台能够在有限资源下获得生产级能力。</w:t>
      </w:r>
    </w:p>
    <w:p w14:paraId="4C08104D">
      <w:pPr>
        <w:pStyle w:val="style66"/>
        <w:rPr/>
      </w:pPr>
      <w:r>
        <w:t>L1 的核心价值主张是</w:t>
      </w:r>
      <w:r>
        <w:rPr>
          <w:b/>
          <w:bCs/>
        </w:rPr>
        <w:t>“</w:t>
      </w:r>
      <w:r>
        <w:rPr>
          <w:b/>
          <w:bCs/>
        </w:rPr>
        <w:t>PVE 50% 功能 + 容器安全性超越 PVE</w:t>
      </w:r>
      <w:r>
        <w:rPr>
          <w:b/>
          <w:bCs/>
        </w:rPr>
        <w:t>”</w:t>
      </w:r>
      <w:r>
        <w:t>。PVE 的容器支持限于 LXC 共享内核</w:t>
      </w:r>
      <w:r>
        <w:t xml:space="preserve"> </w:t>
      </w:r>
      <w:r>
        <w:rPr>
          <w:vertAlign w:val="superscript"/>
        </w:rPr>
        <w:footnoteReference w:id="10"/>
      </w:r>
      <w:r>
        <w:t>，在多租户场景下存在内核逃逸风险（Dirty Pipe、Leaky Vessels 等 CVE</w:t>
      </w:r>
      <w:r>
        <w:t xml:space="preserve"> </w:t>
      </w:r>
      <w:r>
        <w:rPr>
          <w:vertAlign w:val="superscript"/>
        </w:rPr>
        <w:footnoteReference w:id="11"/>
      </w:r>
      <w:r>
        <w:t>）；L1 通过 Kata Containers 为每个容器提供独立 Guest OS 内核</w:t>
      </w:r>
      <w:r>
        <w:t xml:space="preserve"> </w:t>
      </w:r>
      <w:r>
        <w:rPr>
          <w:vertAlign w:val="superscript"/>
        </w:rPr>
        <w:footnoteReference w:id="12"/>
      </w:r>
      <w:r>
        <w:t>，共享内核攻击无法穿透，在安全性维度上形成对 PVE 的差异化优势。该优势在中国市场尤为关键——等保 2.0 明确要求多租户场景使用安全容器实现内核级强隔离</w:t>
      </w:r>
      <w:r>
        <w:t xml:space="preserve"> </w:t>
      </w:r>
      <w:r>
        <w:rPr>
          <w:vertAlign w:val="superscript"/>
        </w:rPr>
        <w:footnoteReference w:id="13"/>
      </w:r>
      <w:r>
        <w:t>。</w:t>
      </w:r>
    </w:p>
    <w:bookmarkStart w:id="15" w:name="技术栈在-l0-基础上增加"/>
    <w:bookmarkEnd w:id="14"/>
    <w:p w14:paraId="EA4E2C0D">
      <w:pPr>
        <w:pStyle w:val="style4103"/>
        <w:rPr/>
      </w:pPr>
      <w:r>
        <w:t>3.2 技术栈（在 L0 基础上增加）</w:t>
      </w:r>
    </w:p>
    <w:p w14:paraId="DE29E161">
      <w:pPr>
        <w:pStyle w:val="style4097"/>
        <w:rPr/>
      </w:pPr>
      <w:r>
        <w:rPr>
          <w:b/>
          <w:bCs/>
        </w:rPr>
        <w:t>Incus 集群（Cowsql Raft）</w:t>
      </w:r>
      <w:r>
        <w:t xml:space="preserve"> </w:t>
      </w:r>
      <w:r>
        <w:t>将管理平面从单节点扩展为 3 节点高可用集群。Cowsql 是从 Dqlite fork 的分布式 SQLite 实现，基于 Raft 共识提供数据复制、容错与自动故障转移</w:t>
      </w:r>
      <w:r>
        <w:t xml:space="preserve"> </w:t>
      </w:r>
      <w:r>
        <w:rPr>
          <w:vertAlign w:val="superscript"/>
        </w:rPr>
        <w:footnoteReference w:id="14"/>
      </w:r>
      <w:r>
        <w:t>。集群默认配置（3 投票成员）可承受 1 个节点离线，无需外部 etcd 或数据库。实例放置基于资源约束自动选择节点，VM 实时迁移通过自动计算 CPU 基线能力集实现</w:t>
      </w:r>
      <w:r>
        <w:t xml:space="preserve"> </w:t>
      </w:r>
      <w:r>
        <w:rPr>
          <w:vertAlign w:val="superscript"/>
        </w:rPr>
        <w:footnoteReference w:id="15"/>
      </w:r>
      <w:r>
        <w:t>。</w:t>
      </w:r>
    </w:p>
    <w:p w14:paraId="3B565093">
      <w:pPr>
        <w:pStyle w:val="style66"/>
        <w:rPr/>
      </w:pPr>
      <w:r>
        <w:rPr>
          <w:b/>
          <w:bCs/>
        </w:rPr>
        <w:t>Kata Containers + containerd</w:t>
      </w:r>
      <w:r>
        <w:t xml:space="preserve"> </w:t>
      </w:r>
      <w:r>
        <w:t>提供安全容器运行时。Kata 将每个 Pod 运行在独立的轻量级虚拟机中，通过 KVM 硬件虚拟化实现内核级隔离</w:t>
      </w:r>
      <w:r>
        <w:t xml:space="preserve"> </w:t>
      </w:r>
      <w:r>
        <w:rPr/>
        <w:fldChar w:fldCharType="begin"/>
      </w:r>
      <w:r>
        <w:instrText>NOTEREF _Ref_Footnote_12 \h \f</w:instrText>
      </w:r>
      <w:r>
        <w:rPr/>
        <w:fldChar w:fldCharType="separate"/>
      </w:r>
      <w:r>
        <w:rPr>
          <w:vertAlign w:val="superscript"/>
        </w:rPr>
        <w:t>12</w:t>
      </w:r>
      <w:r>
        <w:rPr/>
        <w:fldChar w:fldCharType="end"/>
      </w:r>
      <w:r>
        <w:t>。Kata 3.0 引入 Rust 编写的 runtime-rs、内置 Dragonball VMM 和 virtio-fs 默认存储</w:t>
      </w:r>
      <w:r>
        <w:t xml:space="preserve"> </w:t>
      </w:r>
      <w:r>
        <w:rPr>
          <w:vertAlign w:val="superscript"/>
        </w:rPr>
        <w:footnoteReference w:id="16"/>
      </w:r>
      <w:r>
        <w:t>，Cloud Hypervisor 后端可实现 ~200 ms 启动</w:t>
      </w:r>
      <w:r>
        <w:t xml:space="preserve"> </w:t>
      </w:r>
      <w:r>
        <w:rPr>
          <w:vertAlign w:val="superscript"/>
        </w:rPr>
        <w:footnoteReference w:id="17"/>
      </w:r>
      <w:r>
        <w:t>。containerd 作为容器生命周期管理器，通过 Shim v2 API 与 Kata 集成。</w:t>
      </w:r>
    </w:p>
    <w:p w14:paraId="A8FCE91F">
      <w:pPr>
        <w:pStyle w:val="style66"/>
        <w:rPr/>
      </w:pPr>
      <w:r>
        <w:rPr>
          <w:b/>
          <w:bCs/>
        </w:rPr>
        <w:t>RuntimeClass 多隔离级别</w:t>
      </w:r>
      <w:r>
        <w:t xml:space="preserve"> </w:t>
      </w:r>
      <w:r>
        <w:t>实现 Kubernetes 风格的运行时选择机制。尽管 L1 尚未引入完整的 Kubernetes 控制平面，但 RuntimeClass 的语义——工作负载按类型自动路由到匹配的运行时——通过 Incus 的 profiles 和自定义脚本实现等效功能。两种隔离级别覆盖主要场景：系统容器/VM（Incus 原生）和安全容器（Kata VM 级隔离）。</w:t>
      </w:r>
    </w:p>
    <w:p w14:paraId="5ED3A6E3">
      <w:pPr>
        <w:pStyle w:val="style66"/>
        <w:rPr/>
      </w:pPr>
      <w:r>
        <w:rPr>
          <w:b/>
          <w:bCs/>
        </w:rPr>
        <w:t>OVN SDN 网络</w:t>
      </w:r>
      <w:r>
        <w:t xml:space="preserve"> </w:t>
      </w:r>
      <w:r>
        <w:t>将基础 Linux Bridge 升级为软件定义网络。OVN 提供逻辑交换机、逻辑路由器、DHCP/DNS 服务、网络 ACL 和负载均衡</w:t>
      </w:r>
      <w:r>
        <w:t xml:space="preserve"> </w:t>
      </w:r>
      <w:r>
        <w:rPr>
          <w:vertAlign w:val="superscript"/>
        </w:rPr>
        <w:footnoteReference w:id="18"/>
      </w:r>
      <w:r>
        <w:t>，每个租户可分配独立 VPC，VPC 间通过 VNI 在数据链路层完全隔离</w:t>
      </w:r>
      <w:r>
        <w:t xml:space="preserve"> </w:t>
      </w:r>
      <w:r>
        <w:rPr/>
        <w:fldChar w:fldCharType="begin"/>
      </w:r>
      <w:r>
        <w:instrText>NOTEREF _Ref_Footnote_16 \h \f</w:instrText>
      </w:r>
      <w:r>
        <w:rPr/>
        <w:fldChar w:fldCharType="separate"/>
      </w:r>
      <w:r>
        <w:rPr>
          <w:vertAlign w:val="superscript"/>
        </w:rPr>
        <w:t>16</w:t>
      </w:r>
      <w:r>
        <w:rPr/>
        <w:fldChar w:fldCharType="end"/>
      </w:r>
      <w:r>
        <w:t>。Incus 从 6.3 版本起使用原生 OVSDB 客户端与 OVN 交互</w:t>
      </w:r>
      <w:r>
        <w:t xml:space="preserve"> </w:t>
      </w:r>
      <w:r>
        <w:rPr>
          <w:vertAlign w:val="superscript"/>
        </w:rPr>
        <w:footnoteReference w:id="19"/>
      </w:r>
      <w:r>
        <w:t>。</w:t>
      </w:r>
    </w:p>
    <w:bookmarkStart w:id="16" w:name="部署架构-1"/>
    <w:bookmarkEnd w:id="15"/>
    <w:p w14:paraId="01344762">
      <w:pPr>
        <w:pStyle w:val="style4103"/>
        <w:rPr/>
      </w:pPr>
      <w:r>
        <w:t>3.3 部署架构</w:t>
      </w:r>
    </w:p>
    <w:p w14:paraId="2767257C">
      <w:pPr>
        <w:pStyle w:val="style4097"/>
        <w:rPr/>
      </w:pPr>
      <w:r>
        <w:t>L1 采用 3 节点集群架构，每节点承担控制与计算双重角色。控制平面由</w:t>
      </w:r>
      <w:r>
        <w:t xml:space="preserve"> </w:t>
      </w:r>
      <w:r>
        <w:rPr>
          <w:b/>
          <w:bCs/>
        </w:rPr>
        <w:t>Cowsql Raft 集群</w:t>
      </w:r>
      <w:r>
        <w:t xml:space="preserve"> </w:t>
      </w:r>
      <w:r>
        <w:t>构成——3 个投票成员通过 Raft 共识复制 Incus 配置与实例元数据，任意 1 节点故障不影响仲裁。每个节点运行</w:t>
      </w:r>
      <w:r>
        <w:t xml:space="preserve"> </w:t>
      </w:r>
      <w:r>
        <w:rPr>
          <w:b/>
          <w:bCs/>
        </w:rPr>
        <w:t>incusd</w:t>
      </w:r>
      <w:r>
        <w:t xml:space="preserve"> </w:t>
      </w:r>
      <w:r>
        <w:t>守护进程，集群模式下所有节点共享统一 API 端点，用户可在任意节点执行管理操作。</w:t>
      </w:r>
    </w:p>
    <w:p w14:paraId="4D35DCE3">
      <w:pPr>
        <w:pStyle w:val="style66"/>
        <w:rPr/>
      </w:pPr>
      <w:r>
        <w:t>计算平面在每个节点上并行运行三种运行时：</w:t>
      </w:r>
      <w:r>
        <w:rPr>
          <w:b/>
          <w:bCs/>
        </w:rPr>
        <w:t>QEMU/KVM</w:t>
      </w:r>
      <w:r>
        <w:t xml:space="preserve"> </w:t>
      </w:r>
      <w:r>
        <w:t>处理完整 VM（长生命周期、兼容性要求高），</w:t>
      </w:r>
      <w:r>
        <w:rPr>
          <w:b/>
          <w:bCs/>
        </w:rPr>
        <w:t>LXC</w:t>
      </w:r>
      <w:r>
        <w:t xml:space="preserve"> </w:t>
      </w:r>
      <w:r>
        <w:t>处理系统容器（轻量、共享内核可接受），</w:t>
      </w:r>
      <w:r>
        <w:rPr>
          <w:b/>
          <w:bCs/>
        </w:rPr>
        <w:t>Kata Containers</w:t>
      </w:r>
      <w:r>
        <w:t xml:space="preserve"> </w:t>
      </w:r>
      <w:r>
        <w:t>处理安全容器（多租户、不可信代码）。Kata 通过 containerd 和 containerd-shim-kata-v2 接入，与 Incus 管理的 VM/容器共存于同一节点。</w:t>
      </w:r>
    </w:p>
    <w:p w14:paraId="E7CDF765">
      <w:pPr>
        <w:pStyle w:val="style66"/>
        <w:rPr/>
      </w:pPr>
      <w:r>
        <w:t>网络平面采用</w:t>
      </w:r>
      <w:r>
        <w:rPr>
          <w:b/>
          <w:bCs/>
        </w:rPr>
        <w:t>双轨架构</w:t>
      </w:r>
      <w:r>
        <w:t>：LXC 容器和 VM 默认使用 Linux Bridge（L0 兼容路径），需要高级隔离的实例通过 OVN 逻辑网络接入。OVN 的 ovn-northd 将逻辑配置转换为 OpenFlow 流表，ovn-controller 下发到每个节点的 OVS 实例</w:t>
      </w:r>
      <w:r>
        <w:t xml:space="preserve"> </w:t>
      </w:r>
      <w:r>
        <w:rPr>
          <w:vertAlign w:val="superscript"/>
        </w:rPr>
        <w:footnoteReference w:id="20"/>
      </w:r>
      <w:r>
        <w:t>。租户 A 的实例接入 OVN 逻辑交换机 A（VNI 1001），租户 B 的实例接入逻辑交换机 B（VNI 1002），两者在数据链路层完全隔离。</w:t>
      </w:r>
    </w:p>
    <w:p w14:paraId="7710043A">
      <w:pPr>
        <w:pStyle w:val="style66"/>
        <w:rPr/>
      </w:pPr>
      <w:r>
        <w:rPr>
          <w:b/>
          <w:bCs/>
        </w:rPr>
        <w:t>新增组件</w:t>
      </w:r>
      <w:r>
        <w:t>相对于 L0 包括：Cowsql 集群通信层（节点间 Raft 日志复制）、containerd + containerd-shim-kata-v2（Kata 生命周期管理）、Kata 运行时与 VMM 二进制、OVN 控制平面（ovn-northd、ovn-sb、ovn-nb）与 OVS 数据平面（ovn-controller、ovs-vswitchd）。</w:t>
      </w:r>
    </w:p>
    <w:bookmarkStart w:id="17" w:name="能力清单-1"/>
    <w:bookmarkEnd w:id="16"/>
    <w:p w14:paraId="853FEB28">
      <w:pPr>
        <w:pStyle w:val="style4103"/>
        <w:rPr/>
      </w:pPr>
      <w:r>
        <w:t>3.4 能力清单</w:t>
      </w:r>
    </w:p>
    <w:tbl>
      <w:tblPr>
        <w:tblStyle w:val="style4111"/>
        <w:tblW w:w="5000" w:type="pct"/>
        <w:tblLook w:val="0020" w:firstRow="1" w:lastRow="0" w:firstColumn="0" w:lastColumn="0" w:noHBand="0" w:noVBand="0"/>
      </w:tblPr>
      <w:tblGrid>
        <w:gridCol w:w="1123"/>
        <w:gridCol w:w="2741"/>
        <w:gridCol w:w="1036"/>
        <w:gridCol w:w="3016"/>
      </w:tblGrid>
      <w:tr w14:paraId="F1D96C0C">
        <w:trPr>
          <w:tblHeader/>
        </w:trPr>
        <w:tc>
          <w:tcPr>
            <w:tcW w:w="0" w:type="auto"/>
            <w:tcBorders/>
          </w:tcPr>
          <w:p w14:paraId="0E7E4740">
            <w:pPr>
              <w:pStyle w:val="style4098"/>
              <w:jc w:val="left"/>
              <w:rPr/>
            </w:pPr>
            <w:r>
              <w:t>能力域</w:t>
            </w:r>
          </w:p>
        </w:tc>
        <w:tc>
          <w:tcPr>
            <w:tcW w:w="0" w:type="auto"/>
            <w:tcBorders/>
          </w:tcPr>
          <w:p w14:paraId="AD6DA94C">
            <w:pPr>
              <w:pStyle w:val="style4098"/>
              <w:jc w:val="left"/>
              <w:rPr/>
            </w:pPr>
            <w:r>
              <w:t>功能项</w:t>
            </w:r>
          </w:p>
        </w:tc>
        <w:tc>
          <w:tcPr>
            <w:tcW w:w="0" w:type="auto"/>
            <w:tcBorders/>
          </w:tcPr>
          <w:p w14:paraId="F3DD7385">
            <w:pPr>
              <w:pStyle w:val="style4098"/>
              <w:jc w:val="center"/>
              <w:rPr/>
            </w:pPr>
            <w:r>
              <w:t>L1 新增状态</w:t>
            </w:r>
          </w:p>
        </w:tc>
        <w:tc>
          <w:tcPr>
            <w:tcW w:w="0" w:type="auto"/>
            <w:tcBorders/>
          </w:tcPr>
          <w:p w14:paraId="3550A8E5">
            <w:pPr>
              <w:pStyle w:val="style4098"/>
              <w:jc w:val="left"/>
              <w:rPr/>
            </w:pPr>
            <w:r>
              <w:t>说明</w:t>
            </w:r>
          </w:p>
        </w:tc>
      </w:tr>
      <w:tr w14:paraId="B5AF6D94">
        <w:tblPrEx/>
        <w:trPr/>
        <w:tc>
          <w:tcPr>
            <w:tcW w:w="0" w:type="auto"/>
            <w:tcBorders/>
          </w:tcPr>
          <w:p w14:paraId="184EE291">
            <w:pPr>
              <w:pStyle w:val="style4098"/>
              <w:jc w:val="left"/>
              <w:rPr/>
            </w:pPr>
            <w:r>
              <w:rPr>
                <w:b/>
                <w:bCs/>
              </w:rPr>
              <w:t>集群</w:t>
            </w:r>
          </w:p>
        </w:tc>
        <w:tc>
          <w:tcPr>
            <w:tcW w:w="0" w:type="auto"/>
            <w:tcBorders/>
          </w:tcPr>
          <w:p w14:paraId="79FBB405">
            <w:pPr>
              <w:pStyle w:val="style4098"/>
              <w:jc w:val="left"/>
              <w:rPr/>
            </w:pPr>
            <w:r>
              <w:t>3 节点高可用</w:t>
            </w:r>
          </w:p>
        </w:tc>
        <w:tc>
          <w:tcPr>
            <w:tcW w:w="0" w:type="auto"/>
            <w:tcBorders/>
          </w:tcPr>
          <w:p w14:paraId="91FA6D77">
            <w:pPr>
              <w:pStyle w:val="style4098"/>
              <w:jc w:val="center"/>
              <w:rPr/>
            </w:pPr>
            <w:r>
              <w:t>✓ 新增</w:t>
            </w:r>
          </w:p>
        </w:tc>
        <w:tc>
          <w:tcPr>
            <w:tcW w:w="0" w:type="auto"/>
            <w:tcBorders/>
          </w:tcPr>
          <w:p w14:paraId="04AD95ED">
            <w:pPr>
              <w:pStyle w:val="style4098"/>
              <w:jc w:val="left"/>
              <w:rPr/>
            </w:pPr>
            <w:r>
              <w:t>Cowsql Raft，容忍 1 节点故障</w:t>
            </w:r>
          </w:p>
        </w:tc>
      </w:tr>
      <w:tr w14:paraId="6749EA64">
        <w:tblPrEx/>
        <w:trPr/>
        <w:tc>
          <w:tcPr>
            <w:tcW w:w="0" w:type="auto"/>
            <w:tcBorders/>
          </w:tcPr>
          <w:p w14:paraId="26595D07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F69E7842">
            <w:pPr>
              <w:pStyle w:val="style4098"/>
              <w:jc w:val="left"/>
              <w:rPr/>
            </w:pPr>
            <w:r>
              <w:t>自动故障转移</w:t>
            </w:r>
          </w:p>
        </w:tc>
        <w:tc>
          <w:tcPr>
            <w:tcW w:w="0" w:type="auto"/>
            <w:tcBorders/>
          </w:tcPr>
          <w:p w14:paraId="CF8F7D2B">
            <w:pPr>
              <w:pStyle w:val="style4098"/>
              <w:jc w:val="center"/>
              <w:rPr/>
            </w:pPr>
            <w:r>
              <w:t>✓ 新增</w:t>
            </w:r>
          </w:p>
        </w:tc>
        <w:tc>
          <w:tcPr>
            <w:tcW w:w="0" w:type="auto"/>
            <w:tcBorders/>
          </w:tcPr>
          <w:p w14:paraId="6390283F">
            <w:pPr>
              <w:pStyle w:val="style4098"/>
              <w:jc w:val="left"/>
              <w:rPr/>
            </w:pPr>
            <w:r>
              <w:t>数据库层面自动切换 Leader</w:t>
            </w:r>
          </w:p>
        </w:tc>
      </w:tr>
      <w:tr w14:paraId="9134C28D">
        <w:tblPrEx/>
        <w:trPr/>
        <w:tc>
          <w:tcPr>
            <w:tcW w:w="0" w:type="auto"/>
            <w:tcBorders/>
          </w:tcPr>
          <w:p w14:paraId="AA285805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4A7219D0">
            <w:pPr>
              <w:pStyle w:val="style4098"/>
              <w:jc w:val="left"/>
              <w:rPr/>
            </w:pPr>
            <w:r>
              <w:t>跨节点实时迁移</w:t>
            </w:r>
          </w:p>
        </w:tc>
        <w:tc>
          <w:tcPr>
            <w:tcW w:w="0" w:type="auto"/>
            <w:tcBorders/>
          </w:tcPr>
          <w:p w14:paraId="74753E70">
            <w:pPr>
              <w:pStyle w:val="style4098"/>
              <w:jc w:val="center"/>
              <w:rPr/>
            </w:pPr>
            <w:r>
              <w:t>✓ 新增</w:t>
            </w:r>
          </w:p>
        </w:tc>
        <w:tc>
          <w:tcPr>
            <w:tcW w:w="0" w:type="auto"/>
            <w:tcBorders/>
          </w:tcPr>
          <w:p w14:paraId="1F575373">
            <w:pPr>
              <w:pStyle w:val="style4098"/>
              <w:jc w:val="left"/>
              <w:rPr/>
            </w:pPr>
            <w:r>
              <w:t>VM 在线迁移（需共享存储）</w:t>
            </w:r>
            <w:r>
              <w:rPr/>
              <w:fldChar w:fldCharType="begin"/>
            </w:r>
            <w:r>
              <w:instrText>NOTEREF _Ref_Footnote_15 \h \f</w:instrText>
            </w:r>
            <w:r>
              <w:rPr/>
              <w:fldChar w:fldCharType="separate"/>
            </w:r>
            <w:r>
              <w:rPr>
                <w:vertAlign w:val="superscript"/>
              </w:rPr>
              <w:t>15</w:t>
            </w:r>
            <w:r>
              <w:rPr/>
              <w:fldChar w:fldCharType="end"/>
            </w:r>
          </w:p>
        </w:tc>
      </w:tr>
      <w:tr w14:paraId="120E3C51">
        <w:tblPrEx/>
        <w:trPr/>
        <w:tc>
          <w:tcPr>
            <w:tcW w:w="0" w:type="auto"/>
            <w:tcBorders/>
          </w:tcPr>
          <w:p w14:paraId="48A0754F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919EAE54">
            <w:pPr>
              <w:pStyle w:val="style4098"/>
              <w:jc w:val="left"/>
              <w:rPr/>
            </w:pPr>
            <w:r>
              <w:t>集群组/亲和性调度</w:t>
            </w:r>
          </w:p>
        </w:tc>
        <w:tc>
          <w:tcPr>
            <w:tcW w:w="0" w:type="auto"/>
            <w:tcBorders/>
          </w:tcPr>
          <w:p w14:paraId="3B7C75D4">
            <w:pPr>
              <w:pStyle w:val="style4098"/>
              <w:jc w:val="center"/>
              <w:rPr/>
            </w:pPr>
            <w:r>
              <w:t>✓ 新增</w:t>
            </w:r>
          </w:p>
        </w:tc>
        <w:tc>
          <w:tcPr>
            <w:tcW w:w="0" w:type="auto"/>
            <w:tcBorders/>
          </w:tcPr>
          <w:p w14:paraId="E8B9F175">
            <w:pPr>
              <w:pStyle w:val="style4098"/>
              <w:jc w:val="left"/>
              <w:rPr/>
            </w:pPr>
            <w:r>
              <w:t>按资源特征分组放置实例</w:t>
            </w:r>
          </w:p>
        </w:tc>
      </w:tr>
      <w:tr w14:paraId="54CFD64D">
        <w:tblPrEx/>
        <w:trPr/>
        <w:tc>
          <w:tcPr>
            <w:tcW w:w="0" w:type="auto"/>
            <w:tcBorders/>
          </w:tcPr>
          <w:p w14:paraId="E8BF496C">
            <w:pPr>
              <w:pStyle w:val="style4098"/>
              <w:jc w:val="left"/>
              <w:rPr/>
            </w:pPr>
            <w:r>
              <w:rPr>
                <w:b/>
                <w:bCs/>
              </w:rPr>
              <w:t>安全容器</w:t>
            </w:r>
          </w:p>
        </w:tc>
        <w:tc>
          <w:tcPr>
            <w:tcW w:w="0" w:type="auto"/>
            <w:tcBorders/>
          </w:tcPr>
          <w:p w14:paraId="4AE418FD">
            <w:pPr>
              <w:pStyle w:val="style4098"/>
              <w:jc w:val="left"/>
              <w:rPr/>
            </w:pPr>
            <w:r>
              <w:t>VM 级容器隔离</w:t>
            </w:r>
          </w:p>
        </w:tc>
        <w:tc>
          <w:tcPr>
            <w:tcW w:w="0" w:type="auto"/>
            <w:tcBorders/>
          </w:tcPr>
          <w:p w14:paraId="7164AD5E">
            <w:pPr>
              <w:pStyle w:val="style4098"/>
              <w:jc w:val="center"/>
              <w:rPr/>
            </w:pPr>
            <w:r>
              <w:t>✓ 新增</w:t>
            </w:r>
          </w:p>
        </w:tc>
        <w:tc>
          <w:tcPr>
            <w:tcW w:w="0" w:type="auto"/>
            <w:tcBorders/>
          </w:tcPr>
          <w:p w14:paraId="06570C43">
            <w:pPr>
              <w:pStyle w:val="style4098"/>
              <w:jc w:val="left"/>
              <w:rPr/>
            </w:pPr>
            <w:r>
              <w:t>Kata MicroVM，独立 Guest 内核</w:t>
            </w:r>
            <w:r>
              <w:t xml:space="preserve"> </w:t>
            </w:r>
            <w:r>
              <w:rPr/>
              <w:fldChar w:fldCharType="begin"/>
            </w:r>
            <w:r>
              <w:instrText>NOTEREF _Ref_Footnote_12 \h \f</w:instrText>
            </w:r>
            <w:r>
              <w:rPr/>
              <w:fldChar w:fldCharType="separate"/>
            </w:r>
            <w:r>
              <w:rPr>
                <w:vertAlign w:val="superscript"/>
              </w:rPr>
              <w:t>12</w:t>
            </w:r>
            <w:r>
              <w:rPr/>
              <w:fldChar w:fldCharType="end"/>
            </w:r>
          </w:p>
        </w:tc>
      </w:tr>
      <w:tr w14:paraId="0A7FFA9E">
        <w:tblPrEx/>
        <w:trPr/>
        <w:tc>
          <w:tcPr>
            <w:tcW w:w="0" w:type="auto"/>
            <w:tcBorders/>
          </w:tcPr>
          <w:p w14:paraId="C1E440D2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1089C79F">
            <w:pPr>
              <w:pStyle w:val="style4098"/>
              <w:jc w:val="left"/>
              <w:rPr/>
            </w:pPr>
            <w:r>
              <w:t>OCI 镜像兼容</w:t>
            </w:r>
          </w:p>
        </w:tc>
        <w:tc>
          <w:tcPr>
            <w:tcW w:w="0" w:type="auto"/>
            <w:tcBorders/>
          </w:tcPr>
          <w:p w14:paraId="2BC0ED4D">
            <w:pPr>
              <w:pStyle w:val="style4098"/>
              <w:jc w:val="center"/>
              <w:rPr/>
            </w:pPr>
            <w:r>
              <w:t>✓ 新增</w:t>
            </w:r>
          </w:p>
        </w:tc>
        <w:tc>
          <w:tcPr>
            <w:tcW w:w="0" w:type="auto"/>
            <w:tcBorders/>
          </w:tcPr>
          <w:p w14:paraId="E3D48EEC">
            <w:pPr>
              <w:pStyle w:val="style4098"/>
              <w:jc w:val="left"/>
              <w:rPr/>
            </w:pPr>
            <w:r>
              <w:t>Docker Hub 生态直接使用</w:t>
            </w:r>
          </w:p>
        </w:tc>
      </w:tr>
      <w:tr w14:paraId="8AF1371A">
        <w:tblPrEx/>
        <w:trPr/>
        <w:tc>
          <w:tcPr>
            <w:tcW w:w="0" w:type="auto"/>
            <w:tcBorders/>
          </w:tcPr>
          <w:p w14:paraId="9EBAD84F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8D6B37F0">
            <w:pPr>
              <w:pStyle w:val="style4098"/>
              <w:jc w:val="left"/>
              <w:rPr/>
            </w:pPr>
            <w:r>
              <w:t>seccomp + AppArmor</w:t>
            </w:r>
          </w:p>
        </w:tc>
        <w:tc>
          <w:tcPr>
            <w:tcW w:w="0" w:type="auto"/>
            <w:tcBorders/>
          </w:tcPr>
          <w:p w14:paraId="CC68050C">
            <w:pPr>
              <w:pStyle w:val="style4098"/>
              <w:jc w:val="center"/>
              <w:rPr/>
            </w:pPr>
            <w:r>
              <w:t>✓ 新增</w:t>
            </w:r>
          </w:p>
        </w:tc>
        <w:tc>
          <w:tcPr>
            <w:tcW w:w="0" w:type="auto"/>
            <w:tcBorders/>
          </w:tcPr>
          <w:p w14:paraId="72D24AD9">
            <w:pPr>
              <w:pStyle w:val="style4098"/>
              <w:jc w:val="left"/>
              <w:rPr/>
            </w:pPr>
            <w:r>
              <w:t>多层安全加固</w:t>
            </w:r>
          </w:p>
        </w:tc>
      </w:tr>
      <w:tr w14:paraId="AD588ADD">
        <w:tblPrEx/>
        <w:trPr/>
        <w:tc>
          <w:tcPr>
            <w:tcW w:w="0" w:type="auto"/>
            <w:tcBorders/>
          </w:tcPr>
          <w:p w14:paraId="C0487F03">
            <w:pPr>
              <w:pStyle w:val="style4098"/>
              <w:jc w:val="left"/>
              <w:rPr/>
            </w:pPr>
            <w:r>
              <w:rPr>
                <w:b/>
                <w:bCs/>
              </w:rPr>
              <w:t>SDN 网络</w:t>
            </w:r>
          </w:p>
        </w:tc>
        <w:tc>
          <w:tcPr>
            <w:tcW w:w="0" w:type="auto"/>
            <w:tcBorders/>
          </w:tcPr>
          <w:p w14:paraId="21D84773">
            <w:pPr>
              <w:pStyle w:val="style4098"/>
              <w:jc w:val="left"/>
              <w:rPr/>
            </w:pPr>
            <w:r>
              <w:t>多租户 VPC</w:t>
            </w:r>
          </w:p>
        </w:tc>
        <w:tc>
          <w:tcPr>
            <w:tcW w:w="0" w:type="auto"/>
            <w:tcBorders/>
          </w:tcPr>
          <w:p w14:paraId="9CD33116">
            <w:pPr>
              <w:pStyle w:val="style4098"/>
              <w:jc w:val="center"/>
              <w:rPr/>
            </w:pPr>
            <w:r>
              <w:t>✓ 新增</w:t>
            </w:r>
          </w:p>
        </w:tc>
        <w:tc>
          <w:tcPr>
            <w:tcW w:w="0" w:type="auto"/>
            <w:tcBorders/>
          </w:tcPr>
          <w:p w14:paraId="E57CBF7A">
            <w:pPr>
              <w:pStyle w:val="style4098"/>
              <w:jc w:val="left"/>
              <w:rPr/>
            </w:pPr>
            <w:r>
              <w:t>OVN 逻辑网络，VNI 隔离</w:t>
            </w:r>
          </w:p>
        </w:tc>
      </w:tr>
      <w:tr w14:paraId="25C143DD">
        <w:tblPrEx/>
        <w:trPr/>
        <w:tc>
          <w:tcPr>
            <w:tcW w:w="0" w:type="auto"/>
            <w:tcBorders/>
          </w:tcPr>
          <w:p w14:paraId="25B539A0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F33EE383">
            <w:pPr>
              <w:pStyle w:val="style4098"/>
              <w:jc w:val="left"/>
              <w:rPr/>
            </w:pPr>
            <w:r>
              <w:t>网络 ACL</w:t>
            </w:r>
          </w:p>
        </w:tc>
        <w:tc>
          <w:tcPr>
            <w:tcW w:w="0" w:type="auto"/>
            <w:tcBorders/>
          </w:tcPr>
          <w:p w14:paraId="83906CCB">
            <w:pPr>
              <w:pStyle w:val="style4098"/>
              <w:jc w:val="center"/>
              <w:rPr/>
            </w:pPr>
            <w:r>
              <w:t>✓ 新增</w:t>
            </w:r>
          </w:p>
        </w:tc>
        <w:tc>
          <w:tcPr>
            <w:tcW w:w="0" w:type="auto"/>
            <w:tcBorders/>
          </w:tcPr>
          <w:p w14:paraId="5332FCD1">
            <w:pPr>
              <w:pStyle w:val="style4098"/>
              <w:jc w:val="left"/>
              <w:rPr/>
            </w:pPr>
            <w:r>
              <w:t>有状态/无状态规则</w:t>
            </w:r>
            <w:r>
              <w:t xml:space="preserve"> </w:t>
            </w:r>
            <w:r>
              <w:rPr/>
              <w:fldChar w:fldCharType="begin"/>
            </w:r>
            <w:r>
              <w:instrText>NOTEREF _Ref_Footnote_18 \h \f</w:instrText>
            </w:r>
            <w:r>
              <w:rPr/>
              <w:fldChar w:fldCharType="separate"/>
            </w:r>
            <w:r>
              <w:rPr>
                <w:vertAlign w:val="superscript"/>
              </w:rPr>
              <w:t>18</w:t>
            </w:r>
            <w:r>
              <w:rPr/>
              <w:fldChar w:fldCharType="end"/>
            </w:r>
          </w:p>
        </w:tc>
      </w:tr>
      <w:tr w14:paraId="1153AF2D">
        <w:tblPrEx/>
        <w:trPr/>
        <w:tc>
          <w:tcPr>
            <w:tcW w:w="0" w:type="auto"/>
            <w:tcBorders/>
          </w:tcPr>
          <w:p w14:paraId="99C135B5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B6862945">
            <w:pPr>
              <w:pStyle w:val="style4098"/>
              <w:jc w:val="left"/>
              <w:rPr/>
            </w:pPr>
            <w:r>
              <w:t>DHCP/DNS 服务</w:t>
            </w:r>
          </w:p>
        </w:tc>
        <w:tc>
          <w:tcPr>
            <w:tcW w:w="0" w:type="auto"/>
            <w:tcBorders/>
          </w:tcPr>
          <w:p w14:paraId="7E8CA5B5">
            <w:pPr>
              <w:pStyle w:val="style4098"/>
              <w:jc w:val="center"/>
              <w:rPr/>
            </w:pPr>
            <w:r>
              <w:t>✓ 新增</w:t>
            </w:r>
          </w:p>
        </w:tc>
        <w:tc>
          <w:tcPr>
            <w:tcW w:w="0" w:type="auto"/>
            <w:tcBorders/>
          </w:tcPr>
          <w:p w14:paraId="967139D7">
            <w:pPr>
              <w:pStyle w:val="style4098"/>
              <w:jc w:val="left"/>
              <w:rPr/>
            </w:pPr>
            <w:r>
              <w:t>OVN 内置</w:t>
            </w:r>
          </w:p>
        </w:tc>
      </w:tr>
      <w:tr w14:paraId="18EF5A67">
        <w:tblPrEx/>
        <w:trPr/>
        <w:tc>
          <w:tcPr>
            <w:tcW w:w="0" w:type="auto"/>
            <w:tcBorders/>
          </w:tcPr>
          <w:p w14:paraId="0BDC1364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961AF65B">
            <w:pPr>
              <w:pStyle w:val="style4098"/>
              <w:jc w:val="left"/>
              <w:rPr/>
            </w:pPr>
            <w:r>
              <w:t>负载均衡</w:t>
            </w:r>
          </w:p>
        </w:tc>
        <w:tc>
          <w:tcPr>
            <w:tcW w:w="0" w:type="auto"/>
            <w:tcBorders/>
          </w:tcPr>
          <w:p w14:paraId="817D2322">
            <w:pPr>
              <w:pStyle w:val="style4098"/>
              <w:jc w:val="center"/>
              <w:rPr/>
            </w:pPr>
            <w:r>
              <w:t>✓ 新增</w:t>
            </w:r>
          </w:p>
        </w:tc>
        <w:tc>
          <w:tcPr>
            <w:tcW w:w="0" w:type="auto"/>
            <w:tcBorders/>
          </w:tcPr>
          <w:p w14:paraId="0EDB8343">
            <w:pPr>
              <w:pStyle w:val="style4098"/>
              <w:jc w:val="left"/>
              <w:rPr/>
            </w:pPr>
            <w:r>
              <w:t>OVN 虚拟 IP</w:t>
            </w:r>
          </w:p>
        </w:tc>
      </w:tr>
      <w:tr w14:paraId="C4CA2C01">
        <w:tblPrEx/>
        <w:trPr/>
        <w:tc>
          <w:tcPr>
            <w:tcW w:w="0" w:type="auto"/>
            <w:tcBorders/>
          </w:tcPr>
          <w:p w14:paraId="C5495C4E">
            <w:pPr>
              <w:pStyle w:val="style4098"/>
              <w:jc w:val="left"/>
              <w:rPr/>
            </w:pPr>
            <w:r>
              <w:rPr>
                <w:b/>
                <w:bCs/>
              </w:rPr>
              <w:t>运行时选择</w:t>
            </w:r>
          </w:p>
        </w:tc>
        <w:tc>
          <w:tcPr>
            <w:tcW w:w="0" w:type="auto"/>
            <w:tcBorders/>
          </w:tcPr>
          <w:p w14:paraId="2C19D287">
            <w:pPr>
              <w:pStyle w:val="style4098"/>
              <w:jc w:val="left"/>
              <w:rPr/>
            </w:pPr>
            <w:r>
              <w:t>Incus (VM/LXC) / Kata 自动路由</w:t>
            </w:r>
          </w:p>
        </w:tc>
        <w:tc>
          <w:tcPr>
            <w:tcW w:w="0" w:type="auto"/>
            <w:tcBorders/>
          </w:tcPr>
          <w:p w14:paraId="9C867942">
            <w:pPr>
              <w:pStyle w:val="style4098"/>
              <w:jc w:val="center"/>
              <w:rPr/>
            </w:pPr>
            <w:r>
              <w:t>✓ 新增</w:t>
            </w:r>
          </w:p>
        </w:tc>
        <w:tc>
          <w:tcPr>
            <w:tcW w:w="0" w:type="auto"/>
            <w:tcBorders/>
          </w:tcPr>
          <w:p w14:paraId="CC9EE2E3">
            <w:pPr>
              <w:pStyle w:val="style4098"/>
              <w:jc w:val="left"/>
              <w:rPr/>
            </w:pPr>
            <w:r>
              <w:t>基于实例类型自动选择运行时</w:t>
            </w:r>
          </w:p>
        </w:tc>
      </w:tr>
      <w:tr w14:paraId="165B68EA">
        <w:tblPrEx/>
        <w:trPr/>
        <w:tc>
          <w:tcPr>
            <w:tcW w:w="0" w:type="auto"/>
            <w:tcBorders/>
          </w:tcPr>
          <w:p w14:paraId="8B2C8431">
            <w:pPr>
              <w:pStyle w:val="style4098"/>
              <w:jc w:val="left"/>
              <w:rPr/>
            </w:pPr>
            <w:r>
              <w:rPr>
                <w:b/>
                <w:bCs/>
              </w:rPr>
              <w:t>未覆盖</w:t>
            </w:r>
          </w:p>
        </w:tc>
        <w:tc>
          <w:tcPr>
            <w:tcW w:w="0" w:type="auto"/>
            <w:tcBorders/>
          </w:tcPr>
          <w:p w14:paraId="D6121AD9">
            <w:pPr>
              <w:pStyle w:val="style4098"/>
              <w:jc w:val="left"/>
              <w:rPr/>
            </w:pPr>
            <w:r>
              <w:t>Kubernetes 编排</w:t>
            </w:r>
          </w:p>
        </w:tc>
        <w:tc>
          <w:tcPr>
            <w:tcW w:w="0" w:type="auto"/>
            <w:tcBorders/>
          </w:tcPr>
          <w:p w14:paraId="D65764D3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3A802B86">
            <w:pPr>
              <w:pStyle w:val="style4098"/>
              <w:jc w:val="left"/>
              <w:rPr/>
            </w:pPr>
            <w:r>
              <w:t>L2 引入</w:t>
            </w:r>
          </w:p>
        </w:tc>
      </w:tr>
      <w:tr w14:paraId="9696BE8B">
        <w:tblPrEx/>
        <w:trPr/>
        <w:tc>
          <w:tcPr>
            <w:tcW w:w="0" w:type="auto"/>
            <w:tcBorders/>
          </w:tcPr>
          <w:p w14:paraId="1144AD39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70383D49">
            <w:pPr>
              <w:pStyle w:val="style4098"/>
              <w:jc w:val="left"/>
              <w:rPr/>
            </w:pPr>
            <w:r>
              <w:t>eBPF/XDP 高性能网络</w:t>
            </w:r>
          </w:p>
        </w:tc>
        <w:tc>
          <w:tcPr>
            <w:tcW w:w="0" w:type="auto"/>
            <w:tcBorders/>
          </w:tcPr>
          <w:p w14:paraId="9197DBDD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99555CA3">
            <w:pPr>
              <w:pStyle w:val="style4098"/>
              <w:jc w:val="left"/>
              <w:rPr/>
            </w:pPr>
            <w:r>
              <w:t>L2 引入 Cilium</w:t>
            </w:r>
          </w:p>
        </w:tc>
      </w:tr>
      <w:tr w14:paraId="37ADDC20">
        <w:tblPrEx/>
        <w:trPr/>
        <w:tc>
          <w:tcPr>
            <w:tcW w:w="0" w:type="auto"/>
            <w:tcBorders/>
          </w:tcPr>
          <w:p w14:paraId="0605BDF2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DE1720AD">
            <w:pPr>
              <w:pStyle w:val="style4098"/>
              <w:jc w:val="left"/>
              <w:rPr/>
            </w:pPr>
            <w:r>
              <w:t>分布式存储 (Ceph)</w:t>
            </w:r>
          </w:p>
        </w:tc>
        <w:tc>
          <w:tcPr>
            <w:tcW w:w="0" w:type="auto"/>
            <w:tcBorders/>
          </w:tcPr>
          <w:p w14:paraId="8CFEF956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07A053AE">
            <w:pPr>
              <w:pStyle w:val="style4098"/>
              <w:jc w:val="left"/>
              <w:rPr/>
            </w:pPr>
            <w:r>
              <w:t>L2 引入</w:t>
            </w:r>
          </w:p>
        </w:tc>
      </w:tr>
      <w:tr w14:paraId="36FD9B08">
        <w:tblPrEx/>
        <w:trPr/>
        <w:tc>
          <w:tcPr>
            <w:tcW w:w="0" w:type="auto"/>
            <w:tcBorders/>
          </w:tcPr>
          <w:p w14:paraId="38A9F109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53BC7307">
            <w:pPr>
              <w:pStyle w:val="style4098"/>
              <w:jc w:val="left"/>
              <w:rPr/>
            </w:pPr>
            <w:r>
              <w:t>Web UI</w:t>
            </w:r>
          </w:p>
        </w:tc>
        <w:tc>
          <w:tcPr>
            <w:tcW w:w="0" w:type="auto"/>
            <w:tcBorders/>
          </w:tcPr>
          <w:p w14:paraId="336001DB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15B14468">
            <w:pPr>
              <w:pStyle w:val="style4098"/>
              <w:jc w:val="left"/>
              <w:rPr/>
            </w:pPr>
            <w:r>
              <w:t>L3 自研</w:t>
            </w:r>
          </w:p>
        </w:tc>
      </w:tr>
      <w:tr w14:paraId="A479D393">
        <w:tblPrEx/>
        <w:trPr/>
        <w:tc>
          <w:tcPr>
            <w:tcW w:w="0" w:type="auto"/>
            <w:tcBorders/>
          </w:tcPr>
          <w:p w14:paraId="699C583D">
            <w:pPr>
              <w:pStyle w:val="style4098"/>
              <w:rPr/>
            </w:pPr>
          </w:p>
        </w:tc>
        <w:tc>
          <w:tcPr>
            <w:tcW w:w="0" w:type="auto"/>
            <w:tcBorders/>
          </w:tcPr>
          <w:p w14:paraId="AD8600AD">
            <w:pPr>
              <w:pStyle w:val="style4098"/>
              <w:jc w:val="left"/>
              <w:rPr/>
            </w:pPr>
            <w:r>
              <w:t>极速沙箱 (&lt;60ms)</w:t>
            </w:r>
          </w:p>
        </w:tc>
        <w:tc>
          <w:tcPr>
            <w:tcW w:w="0" w:type="auto"/>
            <w:tcBorders/>
          </w:tcPr>
          <w:p w14:paraId="851665D3">
            <w:pPr>
              <w:pStyle w:val="style4098"/>
              <w:jc w:val="center"/>
              <w:rPr/>
            </w:pPr>
            <w:r>
              <w:t>—</w:t>
            </w:r>
          </w:p>
        </w:tc>
        <w:tc>
          <w:tcPr>
            <w:tcW w:w="0" w:type="auto"/>
            <w:tcBorders/>
          </w:tcPr>
          <w:p w14:paraId="D1CA66F5">
            <w:pPr>
              <w:pStyle w:val="style4098"/>
              <w:jc w:val="left"/>
              <w:rPr/>
            </w:pPr>
            <w:r>
              <w:t>L3 引入 CubeSandbox</w:t>
            </w:r>
          </w:p>
        </w:tc>
      </w:tr>
    </w:tbl>
    <w:p w14:paraId="E94563DD">
      <w:pPr>
        <w:pStyle w:val="style66"/>
        <w:rPr/>
      </w:pPr>
      <w:r>
        <w:t>L1 新增的三项核心能力形成了显著的价值增量：集群高可用将单点故障风险降至最低，安全容器解决了多租户场景的核心痛点，SDN 网络实现了云级别的租户隔离。这三项能力叠加后，L1 已具备作为中小企业生产虚拟化平台的完整资质。</w:t>
      </w:r>
    </w:p>
    <w:bookmarkStart w:id="18" w:name="runtimeclass-隔离设计"/>
    <w:bookmarkEnd w:id="17"/>
    <w:p w14:paraId="2C629D8D">
      <w:pPr>
        <w:pStyle w:val="style4103"/>
        <w:rPr/>
      </w:pPr>
      <w:r>
        <w:t>3.5 RuntimeClass 隔离设计</w:t>
      </w:r>
    </w:p>
    <w:p w14:paraId="2F41E873">
      <w:pPr>
        <w:pStyle w:val="style4097"/>
        <w:rPr/>
      </w:pPr>
      <w:r>
        <w:t>L1 通过两套隔离机制覆盖不同信任级别的工作负载。</w:t>
      </w:r>
      <w:r>
        <w:rPr>
          <w:b/>
          <w:bCs/>
        </w:rPr>
        <w:t>Incus 原生路径</w:t>
      </w:r>
      <w:r>
        <w:t>管理系统容器（LXC）和完整 VM（QEMU/KVM），适合可信内部应用和对兼容性要求高的遗留工作负载。</w:t>
      </w:r>
      <w:r>
        <w:rPr>
          <w:b/>
          <w:bCs/>
        </w:rPr>
        <w:t>Kata 路径</w:t>
      </w:r>
      <w:r>
        <w:t>管理安全容器，每个容器运行在独立 MicroVM 中，适合多租户 SaaS、不可信代码执行和等保 2.0 合规场景。</w:t>
      </w:r>
    </w:p>
    <w:p w14:paraId="B38F4A65">
      <w:pPr>
        <w:pStyle w:val="style66"/>
        <w:rPr/>
      </w:pPr>
      <w:r>
        <w:t>尽管 L1 尚未部署完整的 Kubernetes，但 RuntimeClass 的语义通过 Incus profile 和自定义调度脚本实现。以下为等效于 K8s RuntimeClass 的 YAML 配置示例，展示两种隔离级别的资源开销与调度约束：</w:t>
      </w:r>
    </w:p>
    <w:p w14:paraId="5A402284">
      <w:pPr>
        <w:pStyle w:val="style4123"/>
        <w:rPr/>
      </w:pPr>
      <w:r>
        <w:rPr>
          <w:rStyle w:val="style4136"/>
        </w:rPr>
        <w:t># --- Incus 原生路径：系统容器 / 完整 VM ---</w:t>
      </w:r>
      <w:r>
        <w:br/>
      </w:r>
      <w:r>
        <w:rPr>
          <w:rStyle w:val="style4136"/>
        </w:rPr>
        <w:t># 等效 RuntimeClass: incus</w:t>
      </w:r>
      <w:r>
        <w:br/>
      </w:r>
      <w:r>
        <w:rPr>
          <w:rStyle w:val="style4141"/>
        </w:rPr>
        <w:t>apiVersion</w:t>
      </w:r>
      <w:r>
        <w:rPr>
          <w:rStyle w:val="style4124"/>
        </w:rPr>
        <w:t>:</w:t>
      </w:r>
      <w:r>
        <w:rPr>
          <w:rStyle w:val="style4148"/>
        </w:rPr>
        <w:t xml:space="preserve"> node.k8s.io/v1</w:t>
      </w:r>
      <w:r>
        <w:br/>
      </w:r>
      <w:r>
        <w:rPr>
          <w:rStyle w:val="style4141"/>
        </w:rPr>
        <w:t>kind</w:t>
      </w:r>
      <w:r>
        <w:rPr>
          <w:rStyle w:val="style4124"/>
        </w:rPr>
        <w:t>:</w:t>
      </w:r>
      <w:r>
        <w:rPr>
          <w:rStyle w:val="style4148"/>
        </w:rPr>
        <w:t xml:space="preserve"> RuntimeClass</w:t>
      </w:r>
      <w:r>
        <w:br/>
      </w:r>
      <w:r>
        <w:rPr>
          <w:rStyle w:val="style4141"/>
        </w:rPr>
        <w:t>metadata</w:t>
      </w:r>
      <w:r>
        <w:rPr>
          <w:rStyle w:val="style4124"/>
        </w:rPr>
        <w:t>:</w:t>
      </w:r>
      <w:r>
        <w:br/>
      </w:r>
      <w:r>
        <w:rPr>
          <w:rStyle w:val="style4148"/>
        </w:rPr>
        <w:t xml:space="preserve">  </w:t>
      </w:r>
      <w:r>
        <w:rPr>
          <w:rStyle w:val="style4141"/>
        </w:rPr>
        <w:t>name</w:t>
      </w:r>
      <w:r>
        <w:rPr>
          <w:rStyle w:val="style4124"/>
        </w:rPr>
        <w:t>:</w:t>
      </w:r>
      <w:r>
        <w:rPr>
          <w:rStyle w:val="style4148"/>
        </w:rPr>
        <w:t xml:space="preserve"> incus</w:t>
      </w:r>
      <w:r>
        <w:br/>
      </w:r>
      <w:r>
        <w:rPr>
          <w:rStyle w:val="style4141"/>
        </w:rPr>
        <w:t>handler</w:t>
      </w:r>
      <w:r>
        <w:rPr>
          <w:rStyle w:val="style4124"/>
        </w:rPr>
        <w:t>:</w:t>
      </w:r>
      <w:r>
        <w:rPr>
          <w:rStyle w:val="style4148"/>
        </w:rPr>
        <w:t xml:space="preserve"> io.containerd.incus.v2</w:t>
      </w:r>
      <w:r>
        <w:br/>
      </w:r>
      <w:r>
        <w:rPr>
          <w:rStyle w:val="style4141"/>
        </w:rPr>
        <w:t>overhead</w:t>
      </w:r>
      <w:r>
        <w:rPr>
          <w:rStyle w:val="style4124"/>
        </w:rPr>
        <w:t>:</w:t>
      </w:r>
      <w:r>
        <w:br/>
      </w:r>
      <w:r>
        <w:rPr>
          <w:rStyle w:val="style4148"/>
        </w:rPr>
        <w:t xml:space="preserve">  </w:t>
      </w:r>
      <w:r>
        <w:rPr>
          <w:rStyle w:val="style4141"/>
        </w:rPr>
        <w:t>podFixed</w:t>
      </w:r>
      <w:r>
        <w:rPr>
          <w:rStyle w:val="style4124"/>
        </w:rPr>
        <w:t>:</w:t>
      </w:r>
      <w:r>
        <w:br/>
      </w:r>
      <w:r>
        <w:rPr>
          <w:rStyle w:val="style4148"/>
        </w:rPr>
        <w:t xml:space="preserve">    </w:t>
      </w:r>
      <w:r>
        <w:rPr>
          <w:rStyle w:val="style4141"/>
        </w:rPr>
        <w:t>memory</w:t>
      </w:r>
      <w:r>
        <w:rPr>
          <w:rStyle w:val="style4124"/>
        </w:rPr>
        <w:t>:</w:t>
      </w:r>
      <w:r>
        <w:rPr>
          <w:rStyle w:val="style4148"/>
        </w:rPr>
        <w:t xml:space="preserve"> </w:t>
      </w:r>
      <w:r>
        <w:rPr>
          <w:rStyle w:val="style4132"/>
        </w:rPr>
        <w:t>"64Mi"</w:t>
      </w:r>
      <w:r>
        <w:rPr>
          <w:rStyle w:val="style4136"/>
        </w:rPr>
        <w:t xml:space="preserve">       # incusd 管理开销</w:t>
      </w:r>
      <w:r>
        <w:br/>
      </w:r>
      <w:r>
        <w:rPr>
          <w:rStyle w:val="style4148"/>
        </w:rPr>
        <w:t xml:space="preserve">    </w:t>
      </w:r>
      <w:r>
        <w:rPr>
          <w:rStyle w:val="style4141"/>
        </w:rPr>
        <w:t>cpu</w:t>
      </w:r>
      <w:r>
        <w:rPr>
          <w:rStyle w:val="style4124"/>
        </w:rPr>
        <w:t>:</w:t>
      </w:r>
      <w:r>
        <w:rPr>
          <w:rStyle w:val="style4148"/>
        </w:rPr>
        <w:t xml:space="preserve"> </w:t>
      </w:r>
      <w:r>
        <w:rPr>
          <w:rStyle w:val="style4132"/>
        </w:rPr>
        <w:t>"50m"</w:t>
      </w:r>
      <w:r>
        <w:br/>
      </w:r>
      <w:r>
        <w:rPr>
          <w:rStyle w:val="style4141"/>
        </w:rPr>
        <w:t>scheduling</w:t>
      </w:r>
      <w:r>
        <w:rPr>
          <w:rStyle w:val="style4124"/>
        </w:rPr>
        <w:t>:</w:t>
      </w:r>
      <w:r>
        <w:br/>
      </w:r>
      <w:r>
        <w:rPr>
          <w:rStyle w:val="style4148"/>
        </w:rPr>
        <w:t xml:space="preserve">  </w:t>
      </w:r>
      <w:r>
        <w:rPr>
          <w:rStyle w:val="style4141"/>
        </w:rPr>
        <w:t>nodeSelector</w:t>
      </w:r>
      <w:r>
        <w:rPr>
          <w:rStyle w:val="style4124"/>
        </w:rPr>
        <w:t>:</w:t>
      </w:r>
      <w:r>
        <w:br/>
      </w:r>
      <w:r>
        <w:rPr>
          <w:rStyle w:val="style4148"/>
        </w:rPr>
        <w:t xml:space="preserve">    </w:t>
      </w:r>
      <w:r>
        <w:rPr>
          <w:rStyle w:val="style4141"/>
        </w:rPr>
        <w:t>runtime.incus</w:t>
      </w:r>
      <w:r>
        <w:rPr>
          <w:rStyle w:val="style4124"/>
        </w:rPr>
        <w:t>:</w:t>
      </w:r>
      <w:r>
        <w:rPr>
          <w:rStyle w:val="style4148"/>
        </w:rPr>
        <w:t xml:space="preserve"> </w:t>
      </w:r>
      <w:r>
        <w:rPr>
          <w:rStyle w:val="style4132"/>
        </w:rPr>
        <w:t>"true"</w:t>
      </w:r>
      <w:r>
        <w:br/>
      </w:r>
      <w:r>
        <w:rPr>
          <w:rStyle w:val="style4147"/>
        </w:rPr>
        <w:t>---</w:t>
      </w:r>
      <w:r>
        <w:br/>
      </w:r>
      <w:r>
        <w:rPr>
          <w:rStyle w:val="style4136"/>
        </w:rPr>
        <w:t># --- Kata 安全容器路径：VM 级隔离 ---</w:t>
      </w:r>
      <w:r>
        <w:br/>
      </w:r>
      <w:r>
        <w:rPr>
          <w:rStyle w:val="style4141"/>
        </w:rPr>
        <w:t>apiVersion</w:t>
      </w:r>
      <w:r>
        <w:rPr>
          <w:rStyle w:val="style4124"/>
        </w:rPr>
        <w:t>:</w:t>
      </w:r>
      <w:r>
        <w:rPr>
          <w:rStyle w:val="style4148"/>
        </w:rPr>
        <w:t xml:space="preserve"> node.k8s.io/v1</w:t>
      </w:r>
      <w:r>
        <w:br/>
      </w:r>
      <w:r>
        <w:rPr>
          <w:rStyle w:val="style4141"/>
        </w:rPr>
        <w:t>kind</w:t>
      </w:r>
      <w:r>
        <w:rPr>
          <w:rStyle w:val="style4124"/>
        </w:rPr>
        <w:t>:</w:t>
      </w:r>
      <w:r>
        <w:rPr>
          <w:rStyle w:val="style4148"/>
        </w:rPr>
        <w:t xml:space="preserve"> RuntimeClass</w:t>
      </w:r>
      <w:r>
        <w:br/>
      </w:r>
      <w:r>
        <w:rPr>
          <w:rStyle w:val="style4141"/>
        </w:rPr>
        <w:t>metadata</w:t>
      </w:r>
      <w:r>
        <w:rPr>
          <w:rStyle w:val="style4124"/>
        </w:rPr>
        <w:t>:</w:t>
      </w:r>
      <w:r>
        <w:br/>
      </w:r>
      <w:r>
        <w:rPr>
          <w:rStyle w:val="style4148"/>
        </w:rPr>
        <w:t xml:space="preserve">  </w:t>
      </w:r>
      <w:r>
        <w:rPr>
          <w:rStyle w:val="style4141"/>
        </w:rPr>
        <w:t>name</w:t>
      </w:r>
      <w:r>
        <w:rPr>
          <w:rStyle w:val="style4124"/>
        </w:rPr>
        <w:t>:</w:t>
      </w:r>
      <w:r>
        <w:rPr>
          <w:rStyle w:val="style4148"/>
        </w:rPr>
        <w:t xml:space="preserve"> kata</w:t>
      </w:r>
      <w:r>
        <w:br/>
      </w:r>
      <w:r>
        <w:rPr>
          <w:rStyle w:val="style4141"/>
        </w:rPr>
        <w:t>handler</w:t>
      </w:r>
      <w:r>
        <w:rPr>
          <w:rStyle w:val="style4124"/>
        </w:rPr>
        <w:t>:</w:t>
      </w:r>
      <w:r>
        <w:rPr>
          <w:rStyle w:val="style4148"/>
        </w:rPr>
        <w:t xml:space="preserve"> io.containerd.kata.v2</w:t>
      </w:r>
      <w:r>
        <w:br/>
      </w:r>
      <w:r>
        <w:rPr>
          <w:rStyle w:val="style4141"/>
        </w:rPr>
        <w:t>overhead</w:t>
      </w:r>
      <w:r>
        <w:rPr>
          <w:rStyle w:val="style4124"/>
        </w:rPr>
        <w:t>:</w:t>
      </w:r>
      <w:r>
        <w:br/>
      </w:r>
      <w:r>
        <w:rPr>
          <w:rStyle w:val="style4148"/>
        </w:rPr>
        <w:t xml:space="preserve">  </w:t>
      </w:r>
      <w:r>
        <w:rPr>
          <w:rStyle w:val="style4141"/>
        </w:rPr>
        <w:t>podFixed</w:t>
      </w:r>
      <w:r>
        <w:rPr>
          <w:rStyle w:val="style4124"/>
        </w:rPr>
        <w:t>:</w:t>
      </w:r>
      <w:r>
        <w:br/>
      </w:r>
      <w:r>
        <w:rPr>
          <w:rStyle w:val="style4148"/>
        </w:rPr>
        <w:t xml:space="preserve">    </w:t>
      </w:r>
      <w:r>
        <w:rPr>
          <w:rStyle w:val="style4141"/>
        </w:rPr>
        <w:t>memory</w:t>
      </w:r>
      <w:r>
        <w:rPr>
          <w:rStyle w:val="style4124"/>
        </w:rPr>
        <w:t>:</w:t>
      </w:r>
      <w:r>
        <w:rPr>
          <w:rStyle w:val="style4148"/>
        </w:rPr>
        <w:t xml:space="preserve"> </w:t>
      </w:r>
      <w:r>
        <w:rPr>
          <w:rStyle w:val="style4132"/>
        </w:rPr>
        <w:t>"256Mi"</w:t>
      </w:r>
      <w:r>
        <w:rPr>
          <w:rStyle w:val="style4136"/>
        </w:rPr>
        <w:t xml:space="preserve">      # Guest kernel (~50MB) + VMM (~20MB) + virtiofsd</w:t>
      </w:r>
      <w:r>
        <w:br/>
      </w:r>
      <w:r>
        <w:rPr>
          <w:rStyle w:val="style4148"/>
        </w:rPr>
        <w:t xml:space="preserve">    </w:t>
      </w:r>
      <w:r>
        <w:rPr>
          <w:rStyle w:val="style4141"/>
        </w:rPr>
        <w:t>cpu</w:t>
      </w:r>
      <w:r>
        <w:rPr>
          <w:rStyle w:val="style4124"/>
        </w:rPr>
        <w:t>:</w:t>
      </w:r>
      <w:r>
        <w:rPr>
          <w:rStyle w:val="style4148"/>
        </w:rPr>
        <w:t xml:space="preserve"> </w:t>
      </w:r>
      <w:r>
        <w:rPr>
          <w:rStyle w:val="style4132"/>
        </w:rPr>
        <w:t>"250m"</w:t>
      </w:r>
      <w:r>
        <w:br/>
      </w:r>
      <w:r>
        <w:rPr>
          <w:rStyle w:val="style4141"/>
        </w:rPr>
        <w:t>scheduling</w:t>
      </w:r>
      <w:r>
        <w:rPr>
          <w:rStyle w:val="style4124"/>
        </w:rPr>
        <w:t>:</w:t>
      </w:r>
      <w:r>
        <w:br/>
      </w:r>
      <w:r>
        <w:rPr>
          <w:rStyle w:val="style4148"/>
        </w:rPr>
        <w:t xml:space="preserve">  </w:t>
      </w:r>
      <w:r>
        <w:rPr>
          <w:rStyle w:val="style4141"/>
        </w:rPr>
        <w:t>nodeSelector</w:t>
      </w:r>
      <w:r>
        <w:rPr>
          <w:rStyle w:val="style4124"/>
        </w:rPr>
        <w:t>:</w:t>
      </w:r>
      <w:r>
        <w:br/>
      </w:r>
      <w:r>
        <w:rPr>
          <w:rStyle w:val="style4148"/>
        </w:rPr>
        <w:t xml:space="preserve">    </w:t>
      </w:r>
      <w:r>
        <w:rPr>
          <w:rStyle w:val="style4141"/>
        </w:rPr>
        <w:t>runtime.kata</w:t>
      </w:r>
      <w:r>
        <w:rPr>
          <w:rStyle w:val="style4124"/>
        </w:rPr>
        <w:t>:</w:t>
      </w:r>
      <w:r>
        <w:rPr>
          <w:rStyle w:val="style4148"/>
        </w:rPr>
        <w:t xml:space="preserve"> </w:t>
      </w:r>
      <w:r>
        <w:rPr>
          <w:rStyle w:val="style4132"/>
        </w:rPr>
        <w:t>"true"</w:t>
      </w:r>
    </w:p>
    <w:p w14:paraId="775798EE">
      <w:pPr>
        <w:pStyle w:val="style4097"/>
        <w:rPr/>
      </w:pPr>
      <w:r>
        <w:t>在 L1 的实际部署中，上述 RuntimeClass 语义通过以下机制等效实现：Incus profile 定义实例类型（</w:t>
      </w:r>
      <w:r>
        <w:rPr>
          <w:rStyle w:val="style4120"/>
        </w:rPr>
        <w:t>lxc</w:t>
      </w:r>
      <w:r>
        <w:t>、</w:t>
      </w:r>
      <w:r>
        <w:rPr>
          <w:rStyle w:val="style4120"/>
        </w:rPr>
        <w:t>qemu</w:t>
      </w:r>
      <w:r>
        <w:t>、</w:t>
      </w:r>
      <w:r>
        <w:rPr>
          <w:rStyle w:val="style4120"/>
        </w:rPr>
        <w:t>kata</w:t>
      </w:r>
      <w:r>
        <w:t>），自定义调度脚本根据实例的</w:t>
      </w:r>
      <w:r>
        <w:t xml:space="preserve"> </w:t>
      </w:r>
      <w:r>
        <w:rPr>
          <w:rStyle w:val="style4120"/>
        </w:rPr>
        <w:t>security.level</w:t>
      </w:r>
      <w:r>
        <w:t xml:space="preserve"> </w:t>
      </w:r>
      <w:r>
        <w:t>标签决定调用 incusd 原生 API 还是 containerd/Kata 路径。当用户创建实例时，</w:t>
      </w:r>
      <w:r>
        <w:rPr>
          <w:rStyle w:val="style4120"/>
        </w:rPr>
        <w:t>security.level=standard</w:t>
      </w:r>
      <w:r>
        <w:t xml:space="preserve"> </w:t>
      </w:r>
      <w:r>
        <w:t>走 Incus 原生路径（LXC 共享内核），</w:t>
      </w:r>
      <w:r>
        <w:rPr>
          <w:rStyle w:val="style4120"/>
        </w:rPr>
        <w:t>security.level=high</w:t>
      </w:r>
      <w:r>
        <w:t xml:space="preserve"> </w:t>
      </w:r>
      <w:r>
        <w:t>走 Kata 路径（独立 Guest 内核）。这种设计确保 L1 到 L2 升级时，RuntimeClass 配置可直接迁移到 Kubernetes 原生机制，无需重构调度逻辑。</w:t>
      </w:r>
    </w:p>
    <w:bookmarkStart w:id="19" w:name="与-pve-对标-1"/>
    <w:bookmarkEnd w:id="18"/>
    <w:p w14:paraId="DA8C2378">
      <w:pPr>
        <w:pStyle w:val="style4103"/>
        <w:rPr/>
      </w:pPr>
      <w:r>
        <w:t>3.6 与 PVE 对标</w:t>
      </w:r>
    </w:p>
    <w:p w14:paraId="3B1523B0">
      <w:pPr>
        <w:pStyle w:val="style4097"/>
        <w:rPr/>
      </w:pPr>
      <w:r>
        <w:t>L1 覆盖 PVE 约 50% 的功能。在已覆盖维度上，L1 实现了 PVE 的核心集群能力（Corosync + pmxcfs 等效于 Cowsql Raft）、完整的 VM/容器生命周期管理、以及 ZFS 存储快照。在网络层面，OVN SDN 提供的 VPC 隔离能力实际上超越了 PVE 的 Linux Bridge + VLAN 方案——PVE 的 SDN 功能（VXLAN/EVPN）需要额外配置且文档有限</w:t>
      </w:r>
      <w:r>
        <w:t xml:space="preserve"> </w:t>
      </w:r>
      <w:r>
        <w:rPr>
          <w:vertAlign w:val="superscript"/>
        </w:rPr>
        <w:footnoteReference w:id="21"/>
      </w:r>
      <w:r>
        <w:t>，而 L1 的 OVN 集成通过 Incus 原生 API 一键启用。</w:t>
      </w:r>
    </w:p>
    <w:p w14:paraId="69FC8A8A">
      <w:pPr>
        <w:pStyle w:val="style66"/>
        <w:rPr/>
      </w:pPr>
      <w:r>
        <w:t>在容器安全性维度上，L1</w:t>
      </w:r>
      <w:r>
        <w:t xml:space="preserve"> </w:t>
      </w:r>
      <w:r>
        <w:rPr>
          <w:b/>
          <w:bCs/>
        </w:rPr>
        <w:t>已超越 PVE</w:t>
      </w:r>
      <w:r>
        <w:t>。PVE 的容器支持限于 LXC，共享宿主内核，已知存在逃逸风险（Dirty Pipe CVE-2022-0847、Leaky Vessels CVE-2024-21626 等</w:t>
      </w:r>
      <w:r>
        <w:t xml:space="preserve"> </w:t>
      </w:r>
      <w:r>
        <w:rPr/>
        <w:fldChar w:fldCharType="begin"/>
      </w:r>
      <w:r>
        <w:instrText>NOTEREF _Ref_Footnote_11 \h \f</w:instrText>
      </w:r>
      <w:r>
        <w:rPr/>
        <w:fldChar w:fldCharType="separate"/>
      </w:r>
      <w:r>
        <w:rPr>
          <w:vertAlign w:val="superscript"/>
        </w:rPr>
        <w:t>11</w:t>
      </w:r>
      <w:r>
        <w:rPr/>
        <w:fldChar w:fldCharType="end"/>
      </w:r>
      <w:r>
        <w:t>）。L1 通过 Kata Containers 为每个容器提供独立 Guest OS 内核</w:t>
      </w:r>
      <w:r>
        <w:t xml:space="preserve"> </w:t>
      </w:r>
      <w:r>
        <w:rPr/>
        <w:fldChar w:fldCharType="begin"/>
      </w:r>
      <w:r>
        <w:instrText>NOTEREF _Ref_Footnote_12 \h \f</w:instrText>
      </w:r>
      <w:r>
        <w:rPr/>
        <w:fldChar w:fldCharType="separate"/>
      </w:r>
      <w:r>
        <w:rPr>
          <w:vertAlign w:val="superscript"/>
        </w:rPr>
        <w:t>12</w:t>
      </w:r>
      <w:r>
        <w:rPr/>
        <w:fldChar w:fldCharType="end"/>
      </w:r>
      <w:r>
        <w:t>，共享内核攻击无法穿透到宿主机，隔离强度从”软件级命名空间”跃升为”硬件级虚拟化”。在中国等保 2.0 合规场景下，这一差异具有决定性意义——等保条款明确要求多租户容器使用安全容器实现内核级强隔离</w:t>
      </w:r>
      <w:r>
        <w:t xml:space="preserve"> </w:t>
      </w:r>
      <w:r>
        <w:rPr/>
        <w:fldChar w:fldCharType="begin"/>
      </w:r>
      <w:r>
        <w:instrText>NOTEREF _Ref_Footnote_13 \h \f</w:instrText>
      </w:r>
      <w:r>
        <w:rPr/>
        <w:fldChar w:fldCharType="separate"/>
      </w:r>
      <w:r>
        <w:rPr>
          <w:vertAlign w:val="superscript"/>
        </w:rPr>
        <w:t>13</w:t>
      </w:r>
      <w:r>
        <w:rPr/>
        <w:fldChar w:fldCharType="end"/>
      </w:r>
      <w:r>
        <w:t>，PVE 的 LXC 方案在严格合规场景下存在合规缺口，而 L1 的 Kata 路径天然满足要求。</w:t>
      </w:r>
    </w:p>
    <w:p w14:paraId="895E0B1F">
      <w:pPr>
        <w:pStyle w:val="style66"/>
        <w:rPr/>
      </w:pPr>
      <w:r>
        <w:t>L1 仍未覆盖的 PVE 功能包括：Web UI（L3 建设）、Ceph 分布式存储集成（L2 建设）、完整 HA 故障转移（PVE 的 pve-ha-manager 提供 VM 级自动恢复</w:t>
      </w:r>
      <w:r>
        <w:t xml:space="preserve"> </w:t>
      </w:r>
      <w:r>
        <w:rPr>
          <w:vertAlign w:val="superscript"/>
        </w:rPr>
        <w:footnoteReference w:id="22"/>
      </w:r>
      <w:r>
        <w:t>，L1 仅实现数据库层面 HA）、Terraform Provider（L2 建设）以及 RBAC 权限系统（L3 建设）。</w:t>
      </w:r>
    </w:p>
    <w:bookmarkStart w:id="20" w:name="升级路径从-l0-到-l1"/>
    <w:bookmarkEnd w:id="19"/>
    <w:p w14:paraId="A347B2D1">
      <w:pPr>
        <w:pStyle w:val="style4103"/>
        <w:rPr/>
      </w:pPr>
      <w:r>
        <w:t>3.7 升级路径（从 L0 到 L1）</w:t>
      </w:r>
    </w:p>
    <w:p w14:paraId="C4E9B638">
      <w:pPr>
        <w:pStyle w:val="style4097"/>
        <w:rPr/>
      </w:pPr>
      <w:r>
        <w:t>从 L0 单节点升级到 L1 集群的升级路径设计遵循</w:t>
      </w:r>
      <w:r>
        <w:rPr>
          <w:b/>
          <w:bCs/>
        </w:rPr>
        <w:t>“</w:t>
      </w:r>
      <w:r>
        <w:rPr>
          <w:b/>
          <w:bCs/>
        </w:rPr>
        <w:t>数据优先、零停机、可回滚</w:t>
      </w:r>
      <w:r>
        <w:rPr>
          <w:b/>
          <w:bCs/>
        </w:rPr>
        <w:t>”</w:t>
      </w:r>
      <w:r>
        <w:t>原则。</w:t>
      </w:r>
    </w:p>
    <w:p w14:paraId="C7C1A91F">
      <w:pPr>
        <w:pStyle w:val="style66"/>
        <w:rPr/>
      </w:pPr>
      <w:r>
        <w:rPr>
          <w:b/>
          <w:bCs/>
        </w:rPr>
        <w:t>步骤 1：准备两个新节点</w:t>
      </w:r>
      <w:r>
        <w:t>。在新硬件上安装与 L0 节点相同的系统环境（Ubuntu 22.04/24.04 + KVM + ZFS），执行 Incus 安装（同 L0 部署步骤 1–4），但不执行</w:t>
      </w:r>
      <w:r>
        <w:t xml:space="preserve"> </w:t>
      </w:r>
      <w:r>
        <w:rPr>
          <w:rStyle w:val="style4120"/>
        </w:rPr>
        <w:t>incus admin init</w:t>
      </w:r>
      <w:r>
        <w:t>。</w:t>
      </w:r>
    </w:p>
    <w:p w14:paraId="E014245D">
      <w:pPr>
        <w:pStyle w:val="style66"/>
        <w:rPr/>
      </w:pPr>
      <w:r>
        <w:rPr>
          <w:b/>
          <w:bCs/>
        </w:rPr>
        <w:t>步骤 2：将 L0 节点提升为集群候选</w:t>
      </w:r>
      <w:r>
        <w:t>。在 L0 节点上执行：</w:t>
      </w:r>
    </w:p>
    <w:p w14:paraId="51289124">
      <w:pPr>
        <w:pStyle w:val="style4123"/>
        <w:rPr/>
      </w:pPr>
      <w:r>
        <w:rPr>
          <w:rStyle w:val="style4146"/>
        </w:rPr>
        <w:t>incus</w:t>
      </w:r>
      <w:r>
        <w:rPr>
          <w:rStyle w:val="style4154"/>
        </w:rPr>
        <w:t xml:space="preserve"> cluster enable </w:t>
      </w:r>
      <w:r>
        <w:rPr>
          <w:rStyle w:val="style4142"/>
        </w:rPr>
        <w:t>$(</w:t>
      </w:r>
      <w:r>
        <w:rPr>
          <w:rStyle w:val="style4141"/>
        </w:rPr>
        <w:t>hostname</w:t>
      </w:r>
      <w:r>
        <w:rPr>
          <w:rStyle w:val="style4142"/>
        </w:rPr>
        <w:t>)</w:t>
      </w:r>
      <w:r>
        <w:rPr>
          <w:rStyle w:val="style4154"/>
        </w:rPr>
        <w:t xml:space="preserve">  </w:t>
      </w:r>
      <w:r>
        <w:rPr>
          <w:rStyle w:val="style4136"/>
        </w:rPr>
        <w:t># 生成集群加入令牌</w:t>
      </w:r>
    </w:p>
    <w:p w14:paraId="D5E730D7">
      <w:pPr>
        <w:pStyle w:val="style4097"/>
        <w:rPr/>
      </w:pPr>
      <w:r>
        <w:rPr>
          <w:b/>
          <w:bCs/>
        </w:rPr>
        <w:t>步骤 3：新节点加入集群</w:t>
      </w:r>
      <w:r>
        <w:t>。在新节点上执行：</w:t>
      </w:r>
    </w:p>
    <w:p w14:paraId="EDE031BB">
      <w:pPr>
        <w:pStyle w:val="style4123"/>
        <w:rPr/>
      </w:pPr>
      <w:r>
        <w:rPr>
          <w:rStyle w:val="style4146"/>
        </w:rPr>
        <w:t>incus</w:t>
      </w:r>
      <w:r>
        <w:rPr>
          <w:rStyle w:val="style4154"/>
        </w:rPr>
        <w:t xml:space="preserve"> cluster join </w:t>
      </w:r>
      <w:r>
        <w:rPr>
          <w:rStyle w:val="style4144"/>
        </w:rPr>
        <w:t>&lt;</w:t>
      </w:r>
      <w:r>
        <w:rPr>
          <w:rStyle w:val="style4154"/>
        </w:rPr>
        <w:t>token</w:t>
      </w:r>
      <w:r>
        <w:rPr>
          <w:rStyle w:val="style4144"/>
        </w:rPr>
        <w:t>&gt;</w:t>
      </w:r>
      <w:r>
        <w:rPr>
          <w:rStyle w:val="style4154"/>
        </w:rPr>
        <w:t xml:space="preserve">  # 使用步骤 2 生成的令牌加入</w:t>
      </w:r>
    </w:p>
    <w:p w14:paraId="9F1DC188">
      <w:pPr>
        <w:pStyle w:val="style4097"/>
        <w:rPr/>
      </w:pPr>
      <w:r>
        <w:t>重复此步骤将第二个新节点加入。3 节点集群形成后，Cowsql 自动建立 Raft 仲裁。</w:t>
      </w:r>
    </w:p>
    <w:p w14:paraId="05E57A45">
      <w:pPr>
        <w:pStyle w:val="style66"/>
        <w:rPr/>
      </w:pPr>
      <w:r>
        <w:rPr>
          <w:b/>
          <w:bCs/>
        </w:rPr>
        <w:t>步骤 4：安装 Kata Containers 和 OVN</w:t>
      </w:r>
      <w:r>
        <w:t>。在每个节点上执行：</w:t>
      </w:r>
    </w:p>
    <w:p w14:paraId="3CC32D25">
      <w:pPr>
        <w:pStyle w:val="style4123"/>
        <w:rPr/>
      </w:pPr>
      <w:r>
        <w:rPr>
          <w:rStyle w:val="style4136"/>
        </w:rPr>
        <w:t># 安装 containerd + Kata</w:t>
      </w:r>
      <w:r>
        <w:br/>
      </w:r>
      <w:r>
        <w:rPr>
          <w:rStyle w:val="style4141"/>
        </w:rPr>
        <w:t>sudo</w:t>
      </w:r>
      <w:r>
        <w:rPr>
          <w:rStyle w:val="style4154"/>
        </w:rPr>
        <w:t xml:space="preserve"> apt install </w:t>
      </w:r>
      <w:r>
        <w:rPr>
          <w:rStyle w:val="style4148"/>
        </w:rPr>
        <w:t>-y</w:t>
      </w:r>
      <w:r>
        <w:rPr>
          <w:rStyle w:val="style4154"/>
        </w:rPr>
        <w:t xml:space="preserve"> containerd kata-containers</w:t>
      </w:r>
      <w:r>
        <w:br/>
      </w:r>
      <w:r>
        <w:rPr>
          <w:rStyle w:val="style4136"/>
        </w:rPr>
        <w:t># 配置 containerd 注册 Kata 运行时</w:t>
      </w:r>
      <w:r>
        <w:br/>
      </w:r>
      <w:r>
        <w:rPr>
          <w:rStyle w:val="style4141"/>
        </w:rPr>
        <w:t>sudo</w:t>
      </w:r>
      <w:r>
        <w:rPr>
          <w:rStyle w:val="style4154"/>
        </w:rPr>
        <w:t xml:space="preserve"> mkdir </w:t>
      </w:r>
      <w:r>
        <w:rPr>
          <w:rStyle w:val="style4148"/>
        </w:rPr>
        <w:t>-p</w:t>
      </w:r>
      <w:r>
        <w:rPr>
          <w:rStyle w:val="style4154"/>
        </w:rPr>
        <w:t xml:space="preserve"> /etc/containerd </w:t>
      </w:r>
      <w:r>
        <w:rPr>
          <w:rStyle w:val="style4124"/>
        </w:rPr>
        <w:t>&amp;&amp;</w:t>
      </w:r>
      <w:r>
        <w:rPr>
          <w:rStyle w:val="style4154"/>
        </w:rPr>
        <w:t xml:space="preserve"> </w:t>
      </w:r>
      <w:r>
        <w:rPr>
          <w:rStyle w:val="style4146"/>
        </w:rPr>
        <w:t>containerd</w:t>
      </w:r>
      <w:r>
        <w:rPr>
          <w:rStyle w:val="style4154"/>
        </w:rPr>
        <w:t xml:space="preserve"> config default </w:t>
      </w:r>
      <w:r>
        <w:rPr>
          <w:rStyle w:val="style4124"/>
        </w:rPr>
        <w:t>|</w:t>
      </w:r>
      <w:r>
        <w:rPr>
          <w:rStyle w:val="style4154"/>
        </w:rPr>
        <w:t xml:space="preserve"> </w:t>
      </w:r>
      <w:r>
        <w:rPr>
          <w:rStyle w:val="style4141"/>
        </w:rPr>
        <w:t>sudo</w:t>
      </w:r>
      <w:r>
        <w:rPr>
          <w:rStyle w:val="style4154"/>
        </w:rPr>
        <w:t xml:space="preserve"> tee /etc/containerd/config.toml</w:t>
      </w:r>
      <w:r>
        <w:br/>
      </w:r>
      <w:r>
        <w:rPr>
          <w:rStyle w:val="style4136"/>
        </w:rPr>
        <w:t># 安装 OVN</w:t>
      </w:r>
      <w:r>
        <w:br/>
      </w:r>
      <w:r>
        <w:rPr>
          <w:rStyle w:val="style4141"/>
        </w:rPr>
        <w:t>sudo</w:t>
      </w:r>
      <w:r>
        <w:rPr>
          <w:rStyle w:val="style4154"/>
        </w:rPr>
        <w:t xml:space="preserve"> apt install </w:t>
      </w:r>
      <w:r>
        <w:rPr>
          <w:rStyle w:val="style4148"/>
        </w:rPr>
        <w:t>-y</w:t>
      </w:r>
      <w:r>
        <w:rPr>
          <w:rStyle w:val="style4154"/>
        </w:rPr>
        <w:t xml:space="preserve"> ovn-central ovn-host ovn-controller-vtep openvswitch-switch</w:t>
      </w:r>
    </w:p>
    <w:p w14:paraId="91A30B60">
      <w:pPr>
        <w:pStyle w:val="style4097"/>
        <w:rPr/>
      </w:pPr>
      <w:r>
        <w:rPr>
          <w:b/>
          <w:bCs/>
        </w:rPr>
        <w:t>步骤 5：验证集群状态</w:t>
      </w:r>
      <w:r>
        <w:t>：</w:t>
      </w:r>
    </w:p>
    <w:p w14:paraId="4E3535EF">
      <w:pPr>
        <w:pStyle w:val="style4123"/>
        <w:rPr/>
      </w:pPr>
      <w:r>
        <w:rPr>
          <w:rStyle w:val="style4146"/>
        </w:rPr>
        <w:t>incus</w:t>
      </w:r>
      <w:r>
        <w:rPr>
          <w:rStyle w:val="style4154"/>
        </w:rPr>
        <w:t xml:space="preserve"> cluster list          </w:t>
      </w:r>
      <w:r>
        <w:rPr>
          <w:rStyle w:val="style4136"/>
        </w:rPr>
        <w:t># 确认 3 节点状态为 ONLINE</w:t>
      </w:r>
      <w:r>
        <w:br/>
      </w:r>
      <w:r>
        <w:rPr>
          <w:rStyle w:val="style4146"/>
        </w:rPr>
        <w:t>incus</w:t>
      </w:r>
      <w:r>
        <w:rPr>
          <w:rStyle w:val="style4154"/>
        </w:rPr>
        <w:t xml:space="preserve"> list                  </w:t>
      </w:r>
      <w:r>
        <w:rPr>
          <w:rStyle w:val="style4136"/>
        </w:rPr>
        <w:t># 确认 L0 原有实例可见</w:t>
      </w:r>
      <w:r>
        <w:br/>
      </w:r>
      <w:r>
        <w:rPr>
          <w:rStyle w:val="style4146"/>
        </w:rPr>
        <w:t>incus</w:t>
      </w:r>
      <w:r>
        <w:rPr>
          <w:rStyle w:val="style4154"/>
        </w:rPr>
        <w:t xml:space="preserve"> launch images:ubuntu/24.04/cloud test-kata </w:t>
      </w:r>
      <w:r>
        <w:rPr>
          <w:rStyle w:val="style4148"/>
        </w:rPr>
        <w:t>--profile</w:t>
      </w:r>
      <w:r>
        <w:rPr>
          <w:rStyle w:val="style4144"/>
        </w:rPr>
        <w:t>=</w:t>
      </w:r>
      <w:r>
        <w:rPr>
          <w:rStyle w:val="style4154"/>
        </w:rPr>
        <w:t xml:space="preserve">kata  </w:t>
      </w:r>
      <w:r>
        <w:rPr>
          <w:rStyle w:val="style4136"/>
        </w:rPr>
        <w:t># 验证 Kata 路径</w:t>
      </w:r>
      <w:r>
        <w:br/>
      </w:r>
      <w:r>
        <w:rPr>
          <w:rStyle w:val="style4146"/>
        </w:rPr>
        <w:t>incus</w:t>
      </w:r>
      <w:r>
        <w:rPr>
          <w:rStyle w:val="style4154"/>
        </w:rPr>
        <w:t xml:space="preserve"> network create ovn-net01 network=ovnbridge ipv4.address=10.100.1.1/24  </w:t>
      </w:r>
      <w:r>
        <w:rPr>
          <w:rStyle w:val="style4136"/>
        </w:rPr>
        <w:t># 验证 OVN</w:t>
      </w:r>
    </w:p>
    <w:p w14:paraId="FE0A092C">
      <w:pPr>
        <w:pStyle w:val="style4097"/>
        <w:rPr/>
      </w:pPr>
      <w:r>
        <w:rPr>
          <w:b/>
          <w:bCs/>
        </w:rPr>
        <w:t>数据迁移策略</w:t>
      </w:r>
      <w:r>
        <w:t>：L0 的实例数据存储在本地 ZFS 池中，升级过程中不做任何数据移动——实例元数据通过 Cowsql Raft 同步到新节点，实例磁盘数据保留在原始 L0 节点的 ZFS 池中。当实例被显式迁移到新节点时，Incus 通过 ZFS send/receive 在线传输磁盘数据。存储池的分布式扩展（Ceph RBD）在 L2 阶段实现。</w:t>
      </w:r>
    </w:p>
    <w:p w14:paraId="02EF0B2F">
      <w:pPr>
        <w:pStyle w:val="style66"/>
        <w:rPr/>
      </w:pPr>
      <w:r>
        <w:rPr>
          <w:b/>
          <w:bCs/>
        </w:rPr>
        <w:t>回滚策略</w:t>
      </w:r>
      <w:r>
        <w:t>：若升级过程中出现不可恢复故障，任意一个保留 L0 快照的节点可通过</w:t>
      </w:r>
      <w:r>
        <w:t xml:space="preserve"> </w:t>
      </w:r>
      <w:r>
        <w:rPr>
          <w:rStyle w:val="style4120"/>
        </w:rPr>
        <w:t>incus cluster disable</w:t>
      </w:r>
      <w:r>
        <w:t xml:space="preserve"> </w:t>
      </w:r>
      <w:r>
        <w:t>退出集群，恢复为独立 L0 节点运行。建议在升级前对 ZFS 存储池执行全量快照备份。</w:t>
      </w:r>
    </w:p>
    <w:p w14:paraId="7F1BC716">
      <w:pPr>
        <w:pStyle w:val="style66"/>
        <w:rPr/>
      </w:pPr>
      <w:r>
        <w:t>L1 建设完成后，平台已具备作为中小企业虚拟化基础设施的全部核心能力。下一步 L2 将引入 Kubernetes 编排层、Cilium eBPF 网络和 Ceph 分布式存储，将节点规模从 3 节点扩展至 10–50 节点，覆盖 PVE 80% 功能并向企业私有云演进。</w:t>
      </w:r>
    </w:p>
    <w:bookmarkStart w:id="21" w:name="l2-标准版"/>
    <w:bookmarkEnd w:id="20"/>
    <w:bookmarkEnd w:id="13"/>
    <w:p w14:paraId="8093E249">
      <w:pPr>
        <w:pStyle w:val="style4102"/>
        <w:rPr/>
      </w:pPr>
      <w:r>
        <w:t>4. L2 标准版</w:t>
      </w:r>
    </w:p>
    <w:bookmarkStart w:id="22" w:name="设计目标-2"/>
    <w:p w14:paraId="9B6F19D7">
      <w:pPr>
        <w:pStyle w:val="style4103"/>
        <w:rPr/>
      </w:pPr>
      <w:r>
        <w:t>4.1 设计目标</w:t>
      </w:r>
    </w:p>
    <w:p w14:paraId="FB412CCF">
      <w:pPr>
        <w:pStyle w:val="style4097"/>
        <w:rPr/>
      </w:pPr>
      <w:r>
        <w:t>L2 标准版在 L1 基础版的技术底座上，引入 CubeSandbox 极速沙箱、Kubernetes 编排、eBPF 加速网络和分布式存储四大能力模块，使平台从”单节点虚拟化管理器”进化为”AI Agent 就绪的分布式虚拟化平台”。该级别的核心设计指标为：代码量约 20{,}000 行（含 L1 基座），开发周期 3–4 个月，团队规模 8–15 人。</w:t>
      </w:r>
    </w:p>
    <w:p w14:paraId="64CC68A5">
      <w:pPr>
        <w:pStyle w:val="style66"/>
        <w:rPr/>
      </w:pPr>
      <w:r>
        <w:t>L2 的关键场景扩展指向 AI Agent 代码执行市场。L1 已具备完整的 LXC/KVM 生命周期管理能力，但缺乏面向高并发、低延迟沙箱场景的技术栈。CubeSandbox 的 &lt;60 ms 冷启动 [^Dim01-80^] 与单节点 2{,}000+ 并发密度 [^Dim01-75^] 填补了此缺口。同时，Kubernetes + KubeVirt 编排层的引入使 VM 和容器成为一等公民，平台从”手动管理”转向”声明式编排”，为上层自动化和弹性伸缩奠定基础。Ceph 分布式存储的集成则将数据持久化从单节点扩展到集群级，支撑有状态工作负载的多副本高可用部署。</w:t>
      </w:r>
    </w:p>
    <w:bookmarkStart w:id="23" w:name="技术栈在-l1-基础上增加"/>
    <w:bookmarkEnd w:id="22"/>
    <w:p w14:paraId="EF002470">
      <w:pPr>
        <w:pStyle w:val="style4103"/>
        <w:rPr/>
      </w:pPr>
      <w:r>
        <w:t>4.2 技术栈（在 L1 基础上增加）</w:t>
      </w:r>
    </w:p>
    <w:p w14:paraId="E415F23C">
      <w:pPr>
        <w:pStyle w:val="style4097"/>
        <w:rPr/>
      </w:pPr>
      <w:r>
        <w:t>L2 在 L1 的 Incus + Kata + containerd 三运行时已验证基础上，增加以下技术组件：</w:t>
      </w:r>
    </w:p>
    <w:p w14:paraId="C9C58878">
      <w:pPr>
        <w:pStyle w:val="style66"/>
        <w:rPr/>
      </w:pPr>
      <w:r>
        <w:rPr>
          <w:b/>
          <w:bCs/>
        </w:rPr>
        <w:t>CubeSandbox 极速沙箱</w:t>
      </w:r>
      <w:r>
        <w:t>。基于 Cloud Hypervisor 深度裁剪的 MicroVM 管理器，通过资源池预置（Resource Pool Pre-provisioning）与 CoW 快照克隆实现 &lt;60 ms 冷启动 [^Dim01-80^]。核心组件包括 CubeAPI（REST 网关）、CubeMaster（集群调度器）、Cubelet（节点代理）、CubeShim（containerd Shim v2 实现）和 CubeVS（eBPF/XDP 虚拟交换机）。CubeShim 以 Rust 实现，通过 ttrpc over vsock 与 VM 内 cube-agent 通信 [^Dim01-76^]。</w:t>
      </w:r>
    </w:p>
    <w:p w14:paraId="0C0304D2">
      <w:pPr>
        <w:pStyle w:val="style66"/>
        <w:rPr/>
      </w:pPr>
      <w:r>
        <w:rPr>
          <w:b/>
          <w:bCs/>
        </w:rPr>
        <w:t>Cilium CNI（eBPF 加速）</w:t>
      </w:r>
      <w:r>
        <w:t>。替代传统 kube-proxy，基于 eBPF 实现 O(1) 复杂度的服务查找与 NetworkPolicy 执行，Pod-to-Pod 吞吐量达 9.2 Gbps，转发延迟仅 2–5 μs [^Dim07-24^]。Cilium 同时承担集群东西向流量负载均衡和网络策略执行职责。</w:t>
      </w:r>
    </w:p>
    <w:p w14:paraId="3FF14C1F">
      <w:pPr>
        <w:pStyle w:val="style66"/>
        <w:rPr/>
      </w:pPr>
      <w:r>
        <w:rPr>
          <w:b/>
          <w:bCs/>
        </w:rPr>
        <w:t>Ceph 分布式存储（Rook CSI）</w:t>
      </w:r>
      <w:r>
        <w:t>。通过 Rook Operator 自动化部署 Ceph 集群，提供 RBD 块存储、CephFS 共享文件系统和 RGW 对象存储三种访问接口 [^Dim08-211^]。CSI 驱动实现 Kubernetes 原生卷管理（动态供给、快照、扩容）。</w:t>
      </w:r>
    </w:p>
    <w:p w14:paraId="35B28158">
      <w:pPr>
        <w:pStyle w:val="style66"/>
        <w:rPr/>
      </w:pPr>
      <w:r>
        <w:rPr>
          <w:b/>
          <w:bCs/>
        </w:rPr>
        <w:t>Kubernetes + KubeVirt 编排</w:t>
      </w:r>
      <w:r>
        <w:t>。Kubernetes 1.29+ 作为控制平面，KubeVirt 通过 CRD 将 VM 纳入 K8s 管理范畴，virt-controller/virt-handler/virt-api 三组件实现 VM 生命周期管理 [^Dim06-18^]。RuntimeClass 机制将 cube/kata-clh/incus 三种运行时统一接入调度系统 [^Dim06-19^]。</w:t>
      </w:r>
    </w:p>
    <w:p w14:paraId="F5118546">
      <w:pPr>
        <w:pStyle w:val="style66"/>
        <w:rPr/>
      </w:pPr>
      <w:r>
        <w:rPr>
          <w:b/>
          <w:bCs/>
        </w:rPr>
        <w:t>基础 Web UI</w:t>
      </w:r>
      <w:r>
        <w:t>。基于 Vue 3 + Vite 的现代化管理界面，优先实现仪表盘（资源概览）、实例列表（CRUD 操作）和 VNC 控制台（noVNC 集成）三大核心功能 [^Dim11-1182^]。</w:t>
      </w:r>
    </w:p>
    <w:bookmarkStart w:id="24" w:name="部署架构-2"/>
    <w:bookmarkEnd w:id="23"/>
    <w:p w14:paraId="F8214102">
      <w:pPr>
        <w:pStyle w:val="style4103"/>
        <w:rPr/>
      </w:pPr>
      <w:r>
        <w:t>4.3 部署架构</w:t>
      </w:r>
    </w:p>
    <w:p w14:paraId="C41B7AD4">
      <w:pPr>
        <w:pStyle w:val="style4097"/>
        <w:rPr/>
      </w:pPr>
      <w:r>
        <w:t>L2 标准版的最小生产集群由 5 个节点组成，采用”3 控制 + 2 计算”拓扑：</w:t>
      </w:r>
    </w:p>
    <w:p w14:paraId="B7AC6940">
      <w:pPr>
        <w:pStyle w:val="style66"/>
        <w:rPr/>
      </w:pPr>
      <w:r>
        <w:rPr>
          <w:b/>
          <w:bCs/>
        </w:rPr>
        <w:t>控制节点 × 3</w:t>
      </w:r>
      <w:r>
        <w:t>（各 16 vCPU / 64 GB 内存 / 2× SSD）。运行 Kubernetes 控制平面组件（API Server、etcd、Scheduler、Controller Manager）、KubeVirt 控制组件（virt-controller、virt-api）、Cilium 控制平面、Rook Ceph Operator 和 MON/Manager 守护进程。三个控制节点构成 etcd 高可用集群（Raft 共识，容忍 1 节点故障），同时承载 Ceph MON 仲裁。</w:t>
      </w:r>
    </w:p>
    <w:p w14:paraId="055DF6B5">
      <w:pPr>
        <w:pStyle w:val="style66"/>
        <w:rPr/>
      </w:pPr>
      <w:r>
        <w:rPr>
          <w:b/>
          <w:bCs/>
        </w:rPr>
        <w:t>计算节点 × 2</w:t>
      </w:r>
      <w:r>
        <w:t>（各 32 vCPU / 128 GB 内存 / NVMe SSD）。运行 kubelet、KubeVirt virt-handler、containerd（含 CubeShim/Kata Shim/Incus 适配器）、Cilium Agent（eBPF 数据面）、Ceph OSD 守护进程和 Cubelet 沙箱代理。计算节点是实际工作负载的承载者，支持 MicroVM、安全容器、系统容器和完整 VM 四种实例类型的混合部署。</w:t>
      </w:r>
    </w:p>
    <w:p w14:paraId="3EA7195B">
      <w:pPr>
        <w:pStyle w:val="style66"/>
        <w:rPr/>
      </w:pPr>
      <w:r>
        <w:t>与 L1 单节点架构相比，L2 的关键差异体现在三个维度。</w:t>
      </w:r>
      <w:r>
        <w:rPr>
          <w:b/>
          <w:bCs/>
        </w:rPr>
        <w:t>分布式控制平面</w:t>
      </w:r>
      <w:r>
        <w:t>：L1 的 Incus 本地数据库（SQLite）升级为 L2 的 etcd 分布式存储，集群状态从单机持久化演进为跨节点强一致。</w:t>
      </w:r>
      <w:r>
        <w:rPr>
          <w:b/>
          <w:bCs/>
        </w:rPr>
        <w:t>网络加速</w:t>
      </w:r>
      <w:r>
        <w:t>：L1 的标准 Linux Bridge + iptables 替换为 Cilium eBPF 数据面，服务查找复杂度从 O(N) 降至 O(1)，转发延迟从 50–200 μs 降至 2–5 μs [^Dim07-232^]。</w:t>
      </w:r>
      <w:r>
        <w:rPr>
          <w:b/>
          <w:bCs/>
        </w:rPr>
        <w:t>存储扩展</w:t>
      </w:r>
      <w:r>
        <w:t>：L1 的本地 ZFS/LVM 存储池之上叠加 Ceph RBD 分布式存储层，有状态工作负载可在集群范围内迁移而不丢失数据。</w:t>
      </w:r>
    </w:p>
    <w:bookmarkStart w:id="25" w:name="能力清单-2"/>
    <w:bookmarkEnd w:id="24"/>
    <w:p w14:paraId="ED9A9876">
      <w:pPr>
        <w:pStyle w:val="style4103"/>
        <w:rPr/>
      </w:pPr>
      <w:r>
        <w:t>4.4 能力清单</w:t>
      </w:r>
    </w:p>
    <w:p w14:paraId="4DCE5959">
      <w:pPr>
        <w:pStyle w:val="style4097"/>
        <w:rPr/>
      </w:pPr>
      <w:r>
        <w:t>L2 标准版在 L1 基础上新增四项核心能力：</w:t>
      </w:r>
    </w:p>
    <w:tbl>
      <w:tblPr>
        <w:tblStyle w:val="style4111"/>
        <w:tblW w:w="5000" w:type="pct"/>
        <w:tblLook w:val="0020" w:firstRow="1" w:lastRow="0" w:firstColumn="0" w:lastColumn="0" w:noHBand="0" w:noVBand="0"/>
      </w:tblPr>
      <w:tblGrid>
        <w:gridCol w:w="1118"/>
        <w:gridCol w:w="2458"/>
        <w:gridCol w:w="2282"/>
        <w:gridCol w:w="2060"/>
      </w:tblGrid>
      <w:tr w14:paraId="29A78B43">
        <w:trPr>
          <w:tblHeader/>
        </w:trPr>
        <w:tc>
          <w:tcPr>
            <w:tcW w:w="0" w:type="auto"/>
            <w:tcBorders/>
          </w:tcPr>
          <w:p w14:paraId="106024E6">
            <w:pPr>
              <w:pStyle w:val="style4098"/>
              <w:jc w:val="left"/>
              <w:rPr/>
            </w:pPr>
            <w:r>
              <w:t>新增能力</w:t>
            </w:r>
          </w:p>
        </w:tc>
        <w:tc>
          <w:tcPr>
            <w:tcW w:w="0" w:type="auto"/>
            <w:tcBorders/>
          </w:tcPr>
          <w:p w14:paraId="CE3DD7B4">
            <w:pPr>
              <w:pStyle w:val="style4098"/>
              <w:jc w:val="left"/>
              <w:rPr/>
            </w:pPr>
            <w:r>
              <w:t>技术实现</w:t>
            </w:r>
          </w:p>
        </w:tc>
        <w:tc>
          <w:tcPr>
            <w:tcW w:w="0" w:type="auto"/>
            <w:tcBorders/>
          </w:tcPr>
          <w:p w14:paraId="C46C9DFA">
            <w:pPr>
              <w:pStyle w:val="style4098"/>
              <w:jc w:val="left"/>
              <w:rPr/>
            </w:pPr>
            <w:r>
              <w:t>关键指标</w:t>
            </w:r>
          </w:p>
        </w:tc>
        <w:tc>
          <w:tcPr>
            <w:tcW w:w="0" w:type="auto"/>
            <w:tcBorders/>
          </w:tcPr>
          <w:p w14:paraId="1F4DAE17">
            <w:pPr>
              <w:pStyle w:val="style4098"/>
              <w:jc w:val="left"/>
              <w:rPr/>
            </w:pPr>
            <w:r>
              <w:t>场景价值</w:t>
            </w:r>
          </w:p>
        </w:tc>
      </w:tr>
      <w:tr w14:paraId="135187DA">
        <w:tblPrEx/>
        <w:trPr/>
        <w:tc>
          <w:tcPr>
            <w:tcW w:w="0" w:type="auto"/>
            <w:tcBorders/>
          </w:tcPr>
          <w:p w14:paraId="8E970866">
            <w:pPr>
              <w:pStyle w:val="style4098"/>
              <w:jc w:val="left"/>
              <w:rPr/>
            </w:pPr>
            <w:r>
              <w:t>极速沙箱</w:t>
            </w:r>
          </w:p>
        </w:tc>
        <w:tc>
          <w:tcPr>
            <w:tcW w:w="0" w:type="auto"/>
            <w:tcBorders/>
          </w:tcPr>
          <w:p w14:paraId="E57E6276">
            <w:pPr>
              <w:pStyle w:val="style4098"/>
              <w:jc w:val="left"/>
              <w:rPr/>
            </w:pPr>
            <w:r>
              <w:t>CubeSandbox + CoW 快照克隆</w:t>
            </w:r>
          </w:p>
        </w:tc>
        <w:tc>
          <w:tcPr>
            <w:tcW w:w="0" w:type="auto"/>
            <w:tcBorders/>
          </w:tcPr>
          <w:p w14:paraId="4B9C5675">
            <w:pPr>
              <w:pStyle w:val="style4098"/>
              <w:jc w:val="left"/>
              <w:rPr/>
            </w:pPr>
            <w:r>
              <w:t>冷启动 &lt;60 ms，并发 P95=90 ms [^Dim01-80^]</w:t>
            </w:r>
          </w:p>
        </w:tc>
        <w:tc>
          <w:tcPr>
            <w:tcW w:w="0" w:type="auto"/>
            <w:tcBorders/>
          </w:tcPr>
          <w:p w14:paraId="C3A30CEC">
            <w:pPr>
              <w:pStyle w:val="style4098"/>
              <w:jc w:val="left"/>
              <w:rPr/>
            </w:pPr>
            <w:r>
              <w:t>AI Agent 代码执行、Serverless 函数</w:t>
            </w:r>
          </w:p>
        </w:tc>
      </w:tr>
      <w:tr w14:paraId="2D0E2CDF">
        <w:tblPrEx/>
        <w:trPr/>
        <w:tc>
          <w:tcPr>
            <w:tcW w:w="0" w:type="auto"/>
            <w:tcBorders/>
          </w:tcPr>
          <w:p w14:paraId="CDC2D831">
            <w:pPr>
              <w:pStyle w:val="style4098"/>
              <w:jc w:val="left"/>
              <w:rPr/>
            </w:pPr>
            <w:r>
              <w:t>K8s 原生编排</w:t>
            </w:r>
          </w:p>
        </w:tc>
        <w:tc>
          <w:tcPr>
            <w:tcW w:w="0" w:type="auto"/>
            <w:tcBorders/>
          </w:tcPr>
          <w:p w14:paraId="77E150AB">
            <w:pPr>
              <w:pStyle w:val="style4098"/>
              <w:jc w:val="left"/>
              <w:rPr/>
            </w:pPr>
            <w:r>
              <w:t>Kubernetes + KubeVirt + RuntimeClass</w:t>
            </w:r>
          </w:p>
        </w:tc>
        <w:tc>
          <w:tcPr>
            <w:tcW w:w="0" w:type="auto"/>
            <w:tcBorders/>
          </w:tcPr>
          <w:p w14:paraId="6E81AD48">
            <w:pPr>
              <w:pStyle w:val="style4098"/>
              <w:jc w:val="left"/>
              <w:rPr/>
            </w:pPr>
            <w:r>
              <w:t>声明式 YAML 管理，HPA 弹性伸缩 [^Dim06-19^]</w:t>
            </w:r>
          </w:p>
        </w:tc>
        <w:tc>
          <w:tcPr>
            <w:tcW w:w="0" w:type="auto"/>
            <w:tcBorders/>
          </w:tcPr>
          <w:p w14:paraId="611967E3">
            <w:pPr>
              <w:pStyle w:val="style4098"/>
              <w:jc w:val="left"/>
              <w:rPr/>
            </w:pPr>
            <w:r>
              <w:t>云原生应用部署、CI/CD 流水线</w:t>
            </w:r>
          </w:p>
        </w:tc>
      </w:tr>
      <w:tr w14:paraId="D511F556">
        <w:tblPrEx/>
        <w:trPr/>
        <w:tc>
          <w:tcPr>
            <w:tcW w:w="0" w:type="auto"/>
            <w:tcBorders/>
          </w:tcPr>
          <w:p w14:paraId="A9568F80">
            <w:pPr>
              <w:pStyle w:val="style4098"/>
              <w:jc w:val="left"/>
              <w:rPr/>
            </w:pPr>
            <w:r>
              <w:t>eBPF 高性能网络</w:t>
            </w:r>
          </w:p>
        </w:tc>
        <w:tc>
          <w:tcPr>
            <w:tcW w:w="0" w:type="auto"/>
            <w:tcBorders/>
          </w:tcPr>
          <w:p w14:paraId="1FB78B4A">
            <w:pPr>
              <w:pStyle w:val="style4098"/>
              <w:jc w:val="left"/>
              <w:rPr/>
            </w:pPr>
            <w:r>
              <w:t>Cilium CNI + CubeVS XDP</w:t>
            </w:r>
          </w:p>
        </w:tc>
        <w:tc>
          <w:tcPr>
            <w:tcW w:w="0" w:type="auto"/>
            <w:tcBorders/>
          </w:tcPr>
          <w:p w14:paraId="93133A23">
            <w:pPr>
              <w:pStyle w:val="style4098"/>
              <w:jc w:val="left"/>
              <w:rPr/>
            </w:pPr>
            <w:r>
              <w:t>24 Mpps 单核转发，2–5 μs 延迟 [^Dim01-170^]</w:t>
            </w:r>
          </w:p>
        </w:tc>
        <w:tc>
          <w:tcPr>
            <w:tcW w:w="0" w:type="auto"/>
            <w:tcBorders/>
          </w:tcPr>
          <w:p w14:paraId="672B7802">
            <w:pPr>
              <w:pStyle w:val="style4098"/>
              <w:jc w:val="left"/>
              <w:rPr/>
            </w:pPr>
            <w:r>
              <w:t>高密度多租户、微服务通信</w:t>
            </w:r>
          </w:p>
        </w:tc>
      </w:tr>
      <w:tr w14:paraId="1B03577A">
        <w:tblPrEx/>
        <w:trPr/>
        <w:tc>
          <w:tcPr>
            <w:tcW w:w="0" w:type="auto"/>
            <w:tcBorders/>
          </w:tcPr>
          <w:p w14:paraId="5BB14726">
            <w:pPr>
              <w:pStyle w:val="style4098"/>
              <w:jc w:val="left"/>
              <w:rPr/>
            </w:pPr>
            <w:r>
              <w:t>分布式存储</w:t>
            </w:r>
          </w:p>
        </w:tc>
        <w:tc>
          <w:tcPr>
            <w:tcW w:w="0" w:type="auto"/>
            <w:tcBorders/>
          </w:tcPr>
          <w:p w14:paraId="35257B35">
            <w:pPr>
              <w:pStyle w:val="style4098"/>
              <w:jc w:val="left"/>
              <w:rPr/>
            </w:pPr>
            <w:r>
              <w:t>Ceph RBD + Rook CSI</w:t>
            </w:r>
          </w:p>
        </w:tc>
        <w:tc>
          <w:tcPr>
            <w:tcW w:w="0" w:type="auto"/>
            <w:tcBorders/>
          </w:tcPr>
          <w:p w14:paraId="F6669786">
            <w:pPr>
              <w:pStyle w:val="style4098"/>
              <w:jc w:val="left"/>
              <w:rPr/>
            </w:pPr>
            <w:r>
              <w:t>三副本冗余，线性扩展 [^Dim08-211^]</w:t>
            </w:r>
          </w:p>
        </w:tc>
        <w:tc>
          <w:tcPr>
            <w:tcW w:w="0" w:type="auto"/>
            <w:tcBorders/>
          </w:tcPr>
          <w:p w14:paraId="4E28CD8E">
            <w:pPr>
              <w:pStyle w:val="style4098"/>
              <w:jc w:val="left"/>
              <w:rPr/>
            </w:pPr>
            <w:r>
              <w:t>有状态应用、数据库持久化</w:t>
            </w:r>
          </w:p>
        </w:tc>
      </w:tr>
    </w:tbl>
    <w:p w14:paraId="4184D919">
      <w:pPr>
        <w:pStyle w:val="style66"/>
        <w:rPr/>
      </w:pPr>
      <w:r>
        <w:t>下表汇总 L2 支持与不支持的完整功能集：</w:t>
      </w:r>
    </w:p>
    <w:tbl>
      <w:tblPr>
        <w:tblStyle w:val="style4111"/>
        <w:tblW w:w="5000" w:type="pct"/>
        <w:tblLook w:val="0020" w:firstRow="1" w:lastRow="0" w:firstColumn="0" w:lastColumn="0" w:noHBand="0" w:noVBand="0"/>
      </w:tblPr>
      <w:tblGrid>
        <w:gridCol w:w="902"/>
        <w:gridCol w:w="4256"/>
        <w:gridCol w:w="2761"/>
      </w:tblGrid>
      <w:tr w14:paraId="C5D3EBEE">
        <w:trPr>
          <w:tblHeader/>
        </w:trPr>
        <w:tc>
          <w:tcPr>
            <w:tcW w:w="0" w:type="auto"/>
            <w:tcBorders/>
          </w:tcPr>
          <w:p w14:paraId="CBBD4912">
            <w:pPr>
              <w:pStyle w:val="style4098"/>
              <w:jc w:val="left"/>
              <w:rPr/>
            </w:pPr>
            <w:r>
              <w:t>功能域</w:t>
            </w:r>
          </w:p>
        </w:tc>
        <w:tc>
          <w:tcPr>
            <w:tcW w:w="0" w:type="auto"/>
            <w:tcBorders/>
          </w:tcPr>
          <w:p w14:paraId="2FBEC51A">
            <w:pPr>
              <w:pStyle w:val="style4098"/>
              <w:jc w:val="left"/>
              <w:rPr/>
            </w:pPr>
            <w:r>
              <w:t>L2 支持</w:t>
            </w:r>
          </w:p>
        </w:tc>
        <w:tc>
          <w:tcPr>
            <w:tcW w:w="0" w:type="auto"/>
            <w:tcBorders/>
          </w:tcPr>
          <w:p w14:paraId="240C977B">
            <w:pPr>
              <w:pStyle w:val="style4098"/>
              <w:jc w:val="left"/>
              <w:rPr/>
            </w:pPr>
            <w:r>
              <w:t>L2 不支持（留待 L3）</w:t>
            </w:r>
          </w:p>
        </w:tc>
      </w:tr>
      <w:tr w14:paraId="397D70D8">
        <w:tblPrEx/>
        <w:trPr/>
        <w:tc>
          <w:tcPr>
            <w:tcW w:w="0" w:type="auto"/>
            <w:tcBorders/>
          </w:tcPr>
          <w:p w14:paraId="DA86BE15">
            <w:pPr>
              <w:pStyle w:val="style4098"/>
              <w:jc w:val="left"/>
              <w:rPr/>
            </w:pPr>
            <w:r>
              <w:t>实例生命周期</w:t>
            </w:r>
          </w:p>
        </w:tc>
        <w:tc>
          <w:tcPr>
            <w:tcW w:w="0" w:type="auto"/>
            <w:tcBorders/>
          </w:tcPr>
          <w:p w14:paraId="ABCA2CCB">
            <w:pPr>
              <w:pStyle w:val="style4098"/>
              <w:jc w:val="left"/>
              <w:rPr/>
            </w:pPr>
            <w:r>
              <w:t>创建/启停/暂停/恢复/删除（全运行时）</w:t>
            </w:r>
          </w:p>
        </w:tc>
        <w:tc>
          <w:tcPr>
            <w:tcW w:w="0" w:type="auto"/>
            <w:tcBorders/>
          </w:tcPr>
          <w:p w14:paraId="598FC7C7">
            <w:pPr>
              <w:pStyle w:val="style4098"/>
              <w:jc w:val="left"/>
              <w:rPr/>
            </w:pPr>
            <w:r>
              <w:t>热迁移、在线快照回滚</w:t>
            </w:r>
          </w:p>
        </w:tc>
      </w:tr>
      <w:tr w14:paraId="F4AB7140">
        <w:tblPrEx/>
        <w:trPr/>
        <w:tc>
          <w:tcPr>
            <w:tcW w:w="0" w:type="auto"/>
            <w:tcBorders/>
          </w:tcPr>
          <w:p w14:paraId="EC0DBE0A">
            <w:pPr>
              <w:pStyle w:val="style4098"/>
              <w:jc w:val="left"/>
              <w:rPr/>
            </w:pPr>
            <w:r>
              <w:t>运行时类型</w:t>
            </w:r>
          </w:p>
        </w:tc>
        <w:tc>
          <w:tcPr>
            <w:tcW w:w="0" w:type="auto"/>
            <w:tcBorders/>
          </w:tcPr>
          <w:p w14:paraId="3B340AD6">
            <w:pPr>
              <w:pStyle w:val="style4098"/>
              <w:jc w:val="left"/>
              <w:rPr/>
            </w:pPr>
            <w:r>
              <w:t>MicroVM（cube）+ 安全容器（kata-clh）+ 系统容器/VM（incus）</w:t>
            </w:r>
          </w:p>
        </w:tc>
        <w:tc>
          <w:tcPr>
            <w:tcW w:w="0" w:type="auto"/>
            <w:tcBorders/>
          </w:tcPr>
          <w:p w14:paraId="2CD1355A">
            <w:pPr>
              <w:pStyle w:val="style4098"/>
              <w:jc w:val="left"/>
              <w:rPr/>
            </w:pPr>
            <w:r>
              <w:t>GPU 直通、TEE 机密计算</w:t>
            </w:r>
          </w:p>
        </w:tc>
      </w:tr>
      <w:tr w14:paraId="4EA6870F">
        <w:tblPrEx/>
        <w:trPr/>
        <w:tc>
          <w:tcPr>
            <w:tcW w:w="0" w:type="auto"/>
            <w:tcBorders/>
          </w:tcPr>
          <w:p w14:paraId="BE37425C">
            <w:pPr>
              <w:pStyle w:val="style4098"/>
              <w:jc w:val="left"/>
              <w:rPr/>
            </w:pPr>
            <w:r>
              <w:t>网络</w:t>
            </w:r>
          </w:p>
        </w:tc>
        <w:tc>
          <w:tcPr>
            <w:tcW w:w="0" w:type="auto"/>
            <w:tcBorders/>
          </w:tcPr>
          <w:p w14:paraId="B7A8C967">
            <w:pPr>
              <w:pStyle w:val="style4098"/>
              <w:jc w:val="left"/>
              <w:rPr/>
            </w:pPr>
            <w:r>
              <w:t>Cilium eBPF Pod 网络、Service LB、NetworkPolicy、CubeVS 沙箱网络</w:t>
            </w:r>
          </w:p>
        </w:tc>
        <w:tc>
          <w:tcPr>
            <w:tcW w:w="0" w:type="auto"/>
            <w:tcBorders/>
          </w:tcPr>
          <w:p w14:paraId="964D4BD8">
            <w:pPr>
              <w:pStyle w:val="style4098"/>
              <w:jc w:val="left"/>
              <w:rPr/>
            </w:pPr>
            <w:r>
              <w:t>OVN SDN、L7 策略、IPv6 完整支持</w:t>
            </w:r>
          </w:p>
        </w:tc>
      </w:tr>
      <w:tr w14:paraId="ED38CB17">
        <w:tblPrEx/>
        <w:trPr/>
        <w:tc>
          <w:tcPr>
            <w:tcW w:w="0" w:type="auto"/>
            <w:tcBorders/>
          </w:tcPr>
          <w:p w14:paraId="C9F8A2F2">
            <w:pPr>
              <w:pStyle w:val="style4098"/>
              <w:jc w:val="left"/>
              <w:rPr/>
            </w:pPr>
            <w:r>
              <w:t>存储</w:t>
            </w:r>
          </w:p>
        </w:tc>
        <w:tc>
          <w:tcPr>
            <w:tcW w:w="0" w:type="auto"/>
            <w:tcBorders/>
          </w:tcPr>
          <w:p w14:paraId="AF8E1B3E">
            <w:pPr>
              <w:pStyle w:val="style4098"/>
              <w:jc w:val="left"/>
              <w:rPr/>
            </w:pPr>
            <w:r>
              <w:t>本地 ZFS/LVM + Ceph RBD 分布式存储、CSI 快照</w:t>
            </w:r>
          </w:p>
        </w:tc>
        <w:tc>
          <w:tcPr>
            <w:tcW w:w="0" w:type="auto"/>
            <w:tcBorders/>
          </w:tcPr>
          <w:p w14:paraId="4EA4CE40">
            <w:pPr>
              <w:pStyle w:val="style4098"/>
              <w:jc w:val="left"/>
              <w:rPr/>
            </w:pPr>
            <w:r>
              <w:t>CephFS/RGW、增量备份、去重</w:t>
            </w:r>
          </w:p>
        </w:tc>
      </w:tr>
      <w:tr w14:paraId="2FC96341">
        <w:tblPrEx/>
        <w:trPr/>
        <w:tc>
          <w:tcPr>
            <w:tcW w:w="0" w:type="auto"/>
            <w:tcBorders/>
          </w:tcPr>
          <w:p w14:paraId="6884F0FC">
            <w:pPr>
              <w:pStyle w:val="style4098"/>
              <w:jc w:val="left"/>
              <w:rPr/>
            </w:pPr>
            <w:r>
              <w:t>编排</w:t>
            </w:r>
          </w:p>
        </w:tc>
        <w:tc>
          <w:tcPr>
            <w:tcW w:w="0" w:type="auto"/>
            <w:tcBorders/>
          </w:tcPr>
          <w:p w14:paraId="A0186450">
            <w:pPr>
              <w:pStyle w:val="style4098"/>
              <w:jc w:val="left"/>
              <w:rPr/>
            </w:pPr>
            <w:r>
              <w:t>K8s 声明式编排、RuntimeClass 调度、资源配额</w:t>
            </w:r>
          </w:p>
        </w:tc>
        <w:tc>
          <w:tcPr>
            <w:tcW w:w="0" w:type="auto"/>
            <w:tcBorders/>
          </w:tcPr>
          <w:p w14:paraId="E0F630B7">
            <w:pPr>
              <w:pStyle w:val="style4098"/>
              <w:jc w:val="left"/>
              <w:rPr/>
            </w:pPr>
            <w:r>
              <w:t>多集群联邦、高级调度算法</w:t>
            </w:r>
          </w:p>
        </w:tc>
      </w:tr>
      <w:tr w14:paraId="8E8707EB">
        <w:tblPrEx/>
        <w:trPr/>
        <w:tc>
          <w:tcPr>
            <w:tcW w:w="0" w:type="auto"/>
            <w:tcBorders/>
          </w:tcPr>
          <w:p w14:paraId="F3B70B4B">
            <w:pPr>
              <w:pStyle w:val="style4098"/>
              <w:jc w:val="left"/>
              <w:rPr/>
            </w:pPr>
            <w:r>
              <w:t>管理界面</w:t>
            </w:r>
          </w:p>
        </w:tc>
        <w:tc>
          <w:tcPr>
            <w:tcW w:w="0" w:type="auto"/>
            <w:tcBorders/>
          </w:tcPr>
          <w:p w14:paraId="CD210977">
            <w:pPr>
              <w:pStyle w:val="style4098"/>
              <w:jc w:val="left"/>
              <w:rPr/>
            </w:pPr>
            <w:r>
              <w:t>基础仪表盘、实例 CRUD、VNC 控制台</w:t>
            </w:r>
          </w:p>
        </w:tc>
        <w:tc>
          <w:tcPr>
            <w:tcW w:w="0" w:type="auto"/>
            <w:tcBorders/>
          </w:tcPr>
          <w:p w14:paraId="05B0C643">
            <w:pPr>
              <w:pStyle w:val="style4098"/>
              <w:jc w:val="left"/>
              <w:rPr/>
            </w:pPr>
            <w:r>
              <w:t>RBAC、LDAP/AD 集成、审计日志</w:t>
            </w:r>
          </w:p>
        </w:tc>
      </w:tr>
      <w:tr w14:paraId="3A631C7E">
        <w:tblPrEx/>
        <w:trPr/>
        <w:tc>
          <w:tcPr>
            <w:tcW w:w="0" w:type="auto"/>
            <w:tcBorders/>
          </w:tcPr>
          <w:p w14:paraId="C8D31C31">
            <w:pPr>
              <w:pStyle w:val="style4098"/>
              <w:jc w:val="left"/>
              <w:rPr/>
            </w:pPr>
            <w:r>
              <w:t>监控</w:t>
            </w:r>
          </w:p>
        </w:tc>
        <w:tc>
          <w:tcPr>
            <w:tcW w:w="0" w:type="auto"/>
            <w:tcBorders/>
          </w:tcPr>
          <w:p w14:paraId="5FB10E07">
            <w:pPr>
              <w:pStyle w:val="style4098"/>
              <w:jc w:val="left"/>
              <w:rPr/>
            </w:pPr>
            <w:r>
              <w:t>Prometheus + Grafana 指标采集</w:t>
            </w:r>
          </w:p>
        </w:tc>
        <w:tc>
          <w:tcPr>
            <w:tcW w:w="0" w:type="auto"/>
            <w:tcBorders/>
          </w:tcPr>
          <w:p w14:paraId="AFCBE1CE">
            <w:pPr>
              <w:pStyle w:val="style4098"/>
              <w:jc w:val="left"/>
              <w:rPr/>
            </w:pPr>
            <w:r>
              <w:t>Alertmanager 告警、日志聚合</w:t>
            </w:r>
          </w:p>
        </w:tc>
      </w:tr>
      <w:tr w14:paraId="82B2DA0D">
        <w:tblPrEx/>
        <w:trPr/>
        <w:tc>
          <w:tcPr>
            <w:tcW w:w="0" w:type="auto"/>
            <w:tcBorders/>
          </w:tcPr>
          <w:p w14:paraId="53D8166E">
            <w:pPr>
              <w:pStyle w:val="style4098"/>
              <w:jc w:val="left"/>
              <w:rPr/>
            </w:pPr>
            <w:r>
              <w:t>高可用</w:t>
            </w:r>
          </w:p>
        </w:tc>
        <w:tc>
          <w:tcPr>
            <w:tcW w:w="0" w:type="auto"/>
            <w:tcBorders/>
          </w:tcPr>
          <w:p w14:paraId="99BAEDCB">
            <w:pPr>
              <w:pStyle w:val="style4098"/>
              <w:jc w:val="left"/>
              <w:rPr/>
            </w:pPr>
            <w:r>
              <w:t>K8s Pod 自修复、Ceph 存储多副本</w:t>
            </w:r>
          </w:p>
        </w:tc>
        <w:tc>
          <w:tcPr>
            <w:tcW w:w="0" w:type="auto"/>
            <w:tcBorders/>
          </w:tcPr>
          <w:p w14:paraId="25903143">
            <w:pPr>
              <w:pStyle w:val="style4098"/>
              <w:jc w:val="left"/>
              <w:rPr/>
            </w:pPr>
            <w:r>
              <w:t>VM 级 HA 故障转移、Watchdog</w:t>
            </w:r>
          </w:p>
        </w:tc>
      </w:tr>
    </w:tbl>
    <w:p w14:paraId="08C27294">
      <w:pPr>
        <w:pStyle w:val="style66"/>
        <w:rPr/>
      </w:pPr>
      <w:r>
        <w:t>L2 功能覆盖约达 PVE 的 75%。未覆盖的 25% 集中在企业治理（RBAC、审计）、高级 HA（自动故障转移）和完整备份恢复系统三个领域，这些功能在 L3 企业版中实现。</w:t>
      </w:r>
    </w:p>
    <w:bookmarkStart w:id="26" w:name="runtimeclass-三运行时调度"/>
    <w:bookmarkEnd w:id="25"/>
    <w:p w14:paraId="FF2C590C">
      <w:pPr>
        <w:pStyle w:val="style4103"/>
        <w:rPr/>
      </w:pPr>
      <w:r>
        <w:t>4.5 RuntimeClass 三运行时调度</w:t>
      </w:r>
    </w:p>
    <w:p w14:paraId="D0A97D83">
      <w:pPr>
        <w:pStyle w:val="style4097"/>
        <w:rPr/>
      </w:pPr>
      <w:r>
        <w:t>L2 标准版通过 RuntimeClass 机制实现三种运行时的统一调度，工作负载按特征自动分配至最优执行路径：</w:t>
      </w:r>
    </w:p>
    <w:tbl>
      <w:tblPr>
        <w:tblStyle w:val="style4111"/>
        <w:tblW w:w="5000" w:type="pct"/>
        <w:tblLook w:val="0020" w:firstRow="1" w:lastRow="0" w:firstColumn="0" w:lastColumn="0" w:noHBand="0" w:noVBand="0"/>
      </w:tblPr>
      <w:tblGrid>
        <w:gridCol w:w="1711"/>
        <w:gridCol w:w="2397"/>
        <w:gridCol w:w="1735"/>
        <w:gridCol w:w="872"/>
        <w:gridCol w:w="1028"/>
        <w:gridCol w:w="777"/>
      </w:tblGrid>
      <w:tr w14:paraId="6D08FBF0">
        <w:trPr>
          <w:tblHeader/>
        </w:trPr>
        <w:tc>
          <w:tcPr>
            <w:tcW w:w="0" w:type="auto"/>
            <w:tcBorders/>
          </w:tcPr>
          <w:p w14:paraId="8A808B7E">
            <w:pPr>
              <w:pStyle w:val="style4098"/>
              <w:jc w:val="left"/>
              <w:rPr/>
            </w:pPr>
            <w:r>
              <w:t>RuntimeClass</w:t>
            </w:r>
          </w:p>
        </w:tc>
        <w:tc>
          <w:tcPr>
            <w:tcW w:w="0" w:type="auto"/>
            <w:tcBorders/>
          </w:tcPr>
          <w:p w14:paraId="B133E641">
            <w:pPr>
              <w:pStyle w:val="style4098"/>
              <w:jc w:val="left"/>
              <w:rPr/>
            </w:pPr>
            <w:r>
              <w:t>Handler</w:t>
            </w:r>
          </w:p>
        </w:tc>
        <w:tc>
          <w:tcPr>
            <w:tcW w:w="0" w:type="auto"/>
            <w:tcBorders/>
          </w:tcPr>
          <w:p w14:paraId="AF26C9D4">
            <w:pPr>
              <w:pStyle w:val="style4098"/>
              <w:jc w:val="left"/>
              <w:rPr/>
            </w:pPr>
            <w:r>
              <w:t>运行时</w:t>
            </w:r>
          </w:p>
        </w:tc>
        <w:tc>
          <w:tcPr>
            <w:tcW w:w="0" w:type="auto"/>
            <w:tcBorders/>
          </w:tcPr>
          <w:p w14:paraId="C504FEA3">
            <w:pPr>
              <w:pStyle w:val="style4098"/>
              <w:jc w:val="left"/>
              <w:rPr/>
            </w:pPr>
            <w:r>
              <w:t>适用工作负载</w:t>
            </w:r>
          </w:p>
        </w:tc>
        <w:tc>
          <w:tcPr>
            <w:tcW w:w="0" w:type="auto"/>
            <w:tcBorders/>
          </w:tcPr>
          <w:p w14:paraId="87FAC6C6">
            <w:pPr>
              <w:pStyle w:val="style4098"/>
              <w:jc w:val="left"/>
              <w:rPr/>
            </w:pPr>
            <w:r>
              <w:t>隔离级别</w:t>
            </w:r>
          </w:p>
        </w:tc>
        <w:tc>
          <w:tcPr>
            <w:tcW w:w="0" w:type="auto"/>
            <w:tcBorders/>
          </w:tcPr>
          <w:p w14:paraId="0A4381BF">
            <w:pPr>
              <w:pStyle w:val="style4098"/>
              <w:jc w:val="center"/>
              <w:rPr/>
            </w:pPr>
            <w:r>
              <w:t>冷启动</w:t>
            </w:r>
          </w:p>
        </w:tc>
      </w:tr>
      <w:tr w14:paraId="385AFF90">
        <w:tblPrEx/>
        <w:trPr/>
        <w:tc>
          <w:tcPr>
            <w:tcW w:w="0" w:type="auto"/>
            <w:tcBorders/>
          </w:tcPr>
          <w:p w14:paraId="CDC47590">
            <w:pPr>
              <w:pStyle w:val="style4098"/>
              <w:jc w:val="left"/>
              <w:rPr/>
            </w:pPr>
            <w:r>
              <w:rPr>
                <w:rStyle w:val="style4120"/>
              </w:rPr>
              <w:t>cube</w:t>
            </w:r>
          </w:p>
        </w:tc>
        <w:tc>
          <w:tcPr>
            <w:tcW w:w="0" w:type="auto"/>
            <w:tcBorders/>
          </w:tcPr>
          <w:p w14:paraId="20210591">
            <w:pPr>
              <w:pStyle w:val="style4098"/>
              <w:jc w:val="left"/>
              <w:rPr/>
            </w:pPr>
            <w:r>
              <w:rPr>
                <w:rStyle w:val="style4120"/>
              </w:rPr>
              <w:t>io.containerd.cube.v2</w:t>
            </w:r>
          </w:p>
        </w:tc>
        <w:tc>
          <w:tcPr>
            <w:tcW w:w="0" w:type="auto"/>
            <w:tcBorders/>
          </w:tcPr>
          <w:p w14:paraId="6F11B884">
            <w:pPr>
              <w:pStyle w:val="style4098"/>
              <w:jc w:val="left"/>
              <w:rPr/>
            </w:pPr>
            <w:r>
              <w:t>CubeSandbox MicroVM</w:t>
            </w:r>
          </w:p>
        </w:tc>
        <w:tc>
          <w:tcPr>
            <w:tcW w:w="0" w:type="auto"/>
            <w:tcBorders/>
          </w:tcPr>
          <w:p w14:paraId="2809622C">
            <w:pPr>
              <w:pStyle w:val="style4098"/>
              <w:jc w:val="left"/>
              <w:rPr/>
            </w:pPr>
            <w:r>
              <w:t>AI Agent 代码执行、毫秒级沙箱</w:t>
            </w:r>
          </w:p>
        </w:tc>
        <w:tc>
          <w:tcPr>
            <w:tcW w:w="0" w:type="auto"/>
            <w:tcBorders/>
          </w:tcPr>
          <w:p w14:paraId="B78CA552">
            <w:pPr>
              <w:pStyle w:val="style4098"/>
              <w:jc w:val="left"/>
              <w:rPr/>
            </w:pPr>
            <w:r>
              <w:t>独立 Guest 内核 + eBPF 网络隔离</w:t>
            </w:r>
          </w:p>
        </w:tc>
        <w:tc>
          <w:tcPr>
            <w:tcW w:w="0" w:type="auto"/>
            <w:tcBorders/>
          </w:tcPr>
          <w:p w14:paraId="39DCD971">
            <w:pPr>
              <w:pStyle w:val="style4098"/>
              <w:jc w:val="center"/>
              <w:rPr/>
            </w:pPr>
            <w:r>
              <w:t>&lt;60 ms</w:t>
            </w:r>
          </w:p>
        </w:tc>
      </w:tr>
      <w:tr w14:paraId="BCCDED43">
        <w:tblPrEx/>
        <w:trPr/>
        <w:tc>
          <w:tcPr>
            <w:tcW w:w="0" w:type="auto"/>
            <w:tcBorders/>
          </w:tcPr>
          <w:p w14:paraId="FB8D6B9E">
            <w:pPr>
              <w:pStyle w:val="style4098"/>
              <w:jc w:val="left"/>
              <w:rPr/>
            </w:pPr>
            <w:r>
              <w:rPr>
                <w:rStyle w:val="style4120"/>
              </w:rPr>
              <w:t>kata-clh</w:t>
            </w:r>
          </w:p>
        </w:tc>
        <w:tc>
          <w:tcPr>
            <w:tcW w:w="0" w:type="auto"/>
            <w:tcBorders/>
          </w:tcPr>
          <w:p w14:paraId="BFD9A1E6">
            <w:pPr>
              <w:pStyle w:val="style4098"/>
              <w:jc w:val="left"/>
              <w:rPr/>
            </w:pPr>
            <w:r>
              <w:rPr>
                <w:rStyle w:val="style4120"/>
              </w:rPr>
              <w:t>io.containerd.kata.v2</w:t>
            </w:r>
          </w:p>
        </w:tc>
        <w:tc>
          <w:tcPr>
            <w:tcW w:w="0" w:type="auto"/>
            <w:tcBorders/>
          </w:tcPr>
          <w:p w14:paraId="5C239BA0">
            <w:pPr>
              <w:pStyle w:val="style4098"/>
              <w:jc w:val="left"/>
              <w:rPr/>
            </w:pPr>
            <w:r>
              <w:t>Kata + Cloud Hypervisor</w:t>
            </w:r>
          </w:p>
        </w:tc>
        <w:tc>
          <w:tcPr>
            <w:tcW w:w="0" w:type="auto"/>
            <w:tcBorders/>
          </w:tcPr>
          <w:p w14:paraId="B1751D61">
            <w:pPr>
              <w:pStyle w:val="style4098"/>
              <w:jc w:val="left"/>
              <w:rPr/>
            </w:pPr>
            <w:r>
              <w:t>多租户安全容器、OCI 应用</w:t>
            </w:r>
          </w:p>
        </w:tc>
        <w:tc>
          <w:tcPr>
            <w:tcW w:w="0" w:type="auto"/>
            <w:tcBorders/>
          </w:tcPr>
          <w:p w14:paraId="BA100838">
            <w:pPr>
              <w:pStyle w:val="style4098"/>
              <w:jc w:val="left"/>
              <w:rPr/>
            </w:pPr>
            <w:r>
              <w:t>独立 Guest 内核（VM 级）</w:t>
            </w:r>
          </w:p>
        </w:tc>
        <w:tc>
          <w:tcPr>
            <w:tcW w:w="0" w:type="auto"/>
            <w:tcBorders/>
          </w:tcPr>
          <w:p w14:paraId="385C4214">
            <w:pPr>
              <w:pStyle w:val="style4098"/>
              <w:jc w:val="center"/>
              <w:rPr/>
            </w:pPr>
            <w:r>
              <w:t>~200 ms</w:t>
            </w:r>
          </w:p>
        </w:tc>
      </w:tr>
      <w:tr w14:paraId="2A667B86">
        <w:tblPrEx/>
        <w:trPr/>
        <w:tc>
          <w:tcPr>
            <w:tcW w:w="0" w:type="auto"/>
            <w:tcBorders/>
          </w:tcPr>
          <w:p w14:paraId="1990ABC2">
            <w:pPr>
              <w:pStyle w:val="style4098"/>
              <w:jc w:val="left"/>
              <w:rPr/>
            </w:pPr>
            <w:r>
              <w:rPr>
                <w:rStyle w:val="style4120"/>
              </w:rPr>
              <w:t>incus</w:t>
            </w:r>
          </w:p>
        </w:tc>
        <w:tc>
          <w:tcPr>
            <w:tcW w:w="0" w:type="auto"/>
            <w:tcBorders/>
          </w:tcPr>
          <w:p w14:paraId="FE97142C">
            <w:pPr>
              <w:pStyle w:val="style4098"/>
              <w:jc w:val="left"/>
              <w:rPr/>
            </w:pPr>
            <w:r>
              <w:rPr>
                <w:rStyle w:val="style4120"/>
              </w:rPr>
              <w:t>io.containerd.incus.v2</w:t>
            </w:r>
          </w:p>
        </w:tc>
        <w:tc>
          <w:tcPr>
            <w:tcW w:w="0" w:type="auto"/>
            <w:tcBorders/>
          </w:tcPr>
          <w:p w14:paraId="E1F07B24">
            <w:pPr>
              <w:pStyle w:val="style4098"/>
              <w:jc w:val="left"/>
              <w:rPr/>
            </w:pPr>
            <w:r>
              <w:t>Incus LXC/QEMU</w:t>
            </w:r>
          </w:p>
        </w:tc>
        <w:tc>
          <w:tcPr>
            <w:tcW w:w="0" w:type="auto"/>
            <w:tcBorders/>
          </w:tcPr>
          <w:p w14:paraId="F6C694CC">
            <w:pPr>
              <w:pStyle w:val="style4098"/>
              <w:jc w:val="left"/>
              <w:rPr/>
            </w:pPr>
            <w:r>
              <w:t>系统容器、完整 VM、有状态服务</w:t>
            </w:r>
          </w:p>
        </w:tc>
        <w:tc>
          <w:tcPr>
            <w:tcW w:w="0" w:type="auto"/>
            <w:tcBorders/>
          </w:tcPr>
          <w:p w14:paraId="7269D554">
            <w:pPr>
              <w:pStyle w:val="style4098"/>
              <w:jc w:val="left"/>
              <w:rPr/>
            </w:pPr>
            <w:r>
              <w:t>命名空间（LXC）/ 硬件虚拟化（VM）</w:t>
            </w:r>
          </w:p>
        </w:tc>
        <w:tc>
          <w:tcPr>
            <w:tcW w:w="0" w:type="auto"/>
            <w:tcBorders/>
          </w:tcPr>
          <w:p w14:paraId="179F146C">
            <w:pPr>
              <w:pStyle w:val="style4098"/>
              <w:jc w:val="center"/>
              <w:rPr/>
            </w:pPr>
            <w:r>
              <w:t>秒级</w:t>
            </w:r>
          </w:p>
        </w:tc>
      </w:tr>
    </w:tbl>
    <w:p w14:paraId="E2B1011F">
      <w:pPr>
        <w:pStyle w:val="style66"/>
        <w:rPr/>
      </w:pPr>
      <w:r>
        <w:t>工作负载的自动分配策略基于声明式标签选择。平台提供默认规则：Pod 注解</w:t>
      </w:r>
      <w:r>
        <w:t xml:space="preserve"> </w:t>
      </w:r>
      <w:r>
        <w:rPr>
          <w:rStyle w:val="style4120"/>
        </w:rPr>
        <w:t>agent-type: code-execution</w:t>
      </w:r>
      <w:r>
        <w:t xml:space="preserve"> </w:t>
      </w:r>
      <w:r>
        <w:t>自动路由至</w:t>
      </w:r>
      <w:r>
        <w:t xml:space="preserve"> </w:t>
      </w:r>
      <w:r>
        <w:rPr>
          <w:rStyle w:val="style4120"/>
        </w:rPr>
        <w:t>cube</w:t>
      </w:r>
      <w:r>
        <w:t>；注解</w:t>
      </w:r>
      <w:r>
        <w:t xml:space="preserve"> </w:t>
      </w:r>
      <w:r>
        <w:rPr>
          <w:rStyle w:val="style4120"/>
        </w:rPr>
        <w:t>security-level: high</w:t>
      </w:r>
      <w:r>
        <w:t xml:space="preserve"> </w:t>
      </w:r>
      <w:r>
        <w:t>路由至</w:t>
      </w:r>
      <w:r>
        <w:t xml:space="preserve"> </w:t>
      </w:r>
      <w:r>
        <w:rPr>
          <w:rStyle w:val="style4120"/>
        </w:rPr>
        <w:t>kata-clh</w:t>
      </w:r>
      <w:r>
        <w:t>；注解</w:t>
      </w:r>
      <w:r>
        <w:t xml:space="preserve"> </w:t>
      </w:r>
      <w:r>
        <w:rPr>
          <w:rStyle w:val="style4120"/>
        </w:rPr>
        <w:t>instance-type: vm</w:t>
      </w:r>
      <w:r>
        <w:t xml:space="preserve"> </w:t>
      </w:r>
      <w:r>
        <w:t>路由至</w:t>
      </w:r>
      <w:r>
        <w:t xml:space="preserve"> </w:t>
      </w:r>
      <w:r>
        <w:rPr>
          <w:rStyle w:val="style4120"/>
        </w:rPr>
        <w:t>incus-vm</w:t>
      </w:r>
      <w:r>
        <w:t>。用户可在 Pod Spec 中显式指定</w:t>
      </w:r>
      <w:r>
        <w:t xml:space="preserve"> </w:t>
      </w:r>
      <w:r>
        <w:rPr>
          <w:rStyle w:val="style4120"/>
        </w:rPr>
        <w:t>runtimeClassName</w:t>
      </w:r>
      <w:r>
        <w:t xml:space="preserve"> </w:t>
      </w:r>
      <w:r>
        <w:t>覆盖默认规则 [^Dim06-19^]。调度器通过 RuntimeClass 的</w:t>
      </w:r>
      <w:r>
        <w:t xml:space="preserve"> </w:t>
      </w:r>
      <w:r>
        <w:rPr>
          <w:rStyle w:val="style4120"/>
        </w:rPr>
        <w:t>scheduling.nodeSelector</w:t>
      </w:r>
      <w:r>
        <w:t xml:space="preserve"> </w:t>
      </w:r>
      <w:r>
        <w:t>确保 cube 工作负载仅调度到预装 CubeSandbox 运行时的节点，避免异构运行时在不兼容节点上的调度失败。</w:t>
      </w:r>
    </w:p>
    <w:bookmarkStart w:id="27" w:name="与-pve-对标-2"/>
    <w:bookmarkEnd w:id="26"/>
    <w:p w14:paraId="95AC8DD0">
      <w:pPr>
        <w:pStyle w:val="style4103"/>
        <w:rPr/>
      </w:pPr>
      <w:r>
        <w:t>4.6 与 PVE 对标</w:t>
      </w:r>
    </w:p>
    <w:p w14:paraId="A74E7374">
      <w:pPr>
        <w:pStyle w:val="style4097"/>
        <w:rPr/>
      </w:pPr>
      <w:r>
        <w:t>L2 标准版覆盖 PVE 约 75% 的核心功能。在功能对等的基础上，L2 在五个维度上形成对 PVE 的明确超越：</w:t>
      </w:r>
    </w:p>
    <w:p w14:paraId="A4C9BE6B">
      <w:pPr>
        <w:pStyle w:val="style66"/>
        <w:rPr/>
      </w:pPr>
      <w:r>
        <w:rPr>
          <w:b/>
          <w:bCs/>
        </w:rPr>
        <w:t>MicroVM 启动速度</w:t>
      </w:r>
      <w:r>
        <w:t>。CubeSandbox &lt;60 ms 冷启动 [^Dim01-80^] 对比 PVE QEMU/KVM 秒级至分钟级启动 [^Dim01-246^]，快两个数量级。此能力直接支撑 AI Agent 实时代码执行和 Serverless 弹性扩缩容场景，是 PVE 技术栈无法触及的市场空间。</w:t>
      </w:r>
    </w:p>
    <w:p w14:paraId="84E18925">
      <w:pPr>
        <w:pStyle w:val="style66"/>
        <w:rPr/>
      </w:pPr>
      <w:r>
        <w:rPr>
          <w:b/>
          <w:bCs/>
        </w:rPr>
        <w:t>Kubernetes 原生编排</w:t>
      </w:r>
      <w:r>
        <w:t>。L2 的 VM 和容器均为 Kubernetes 一等公民，通过 KubeVirt CRD 统一管理，HPA 水平扩缩容、滚动更新、自动重启等能力原生可用 [^Dim06-19^]。PVE 的容器支持限于 LXC，K8s 集成需额外部署完整集群，且 PVE HA 与 K8s 调度器互不感知。</w:t>
      </w:r>
    </w:p>
    <w:p w14:paraId="F21E1948">
      <w:pPr>
        <w:pStyle w:val="style66"/>
        <w:rPr/>
      </w:pPr>
      <w:r>
        <w:rPr>
          <w:b/>
          <w:bCs/>
        </w:rPr>
        <w:t>eBPF 高性能网络</w:t>
      </w:r>
      <w:r>
        <w:t>。CubeVS 单核 24 Mpps [^Dim01-170^] 与 Cilium 2–5 μs 转发延迟 [^Dim07-24^] 对比 PVE 传统 Linux Bridge + iptables 的 50–200 μs 延迟 [^Dim07-232^]，在高密度多租户场景下性能优势达 10–40 倍。</w:t>
      </w:r>
    </w:p>
    <w:p w14:paraId="E3F9E4EB">
      <w:pPr>
        <w:pStyle w:val="style66"/>
        <w:rPr/>
      </w:pPr>
      <w:r>
        <w:rPr>
          <w:b/>
          <w:bCs/>
        </w:rPr>
        <w:t>安全容器隔离</w:t>
      </w:r>
      <w:r>
        <w:t>。Kata MicroVM 提供 VM 级隔离，共享内核攻击（Dirty Pipe、Leaky Vessels）无法逃逸 [^Dim03-311^]。PVE 的 LXC 共享宿主机内核，在严格多租户场景下存在逃逸风险。</w:t>
      </w:r>
    </w:p>
    <w:p w14:paraId="0700D905">
      <w:pPr>
        <w:pStyle w:val="style66"/>
        <w:rPr/>
      </w:pPr>
      <w:r>
        <w:rPr>
          <w:b/>
          <w:bCs/>
        </w:rPr>
        <w:t>等保 2.0 合规</w:t>
      </w:r>
      <w:r>
        <w:t>。中国等保 2.0 标准要求安全容器实现内核级强隔离 [^Dim09-535^]。L2 的 Kata + CubeSandbox 双 MicroVM 运行时天然满足等保要求，PVE 的 LXC 方案不满足等保三级以上的隔离标准。</w:t>
      </w:r>
    </w:p>
    <w:bookmarkStart w:id="28" w:name="升级路径从-l1-到-l2"/>
    <w:bookmarkEnd w:id="27"/>
    <w:p w14:paraId="0D0DA07F">
      <w:pPr>
        <w:pStyle w:val="style4103"/>
        <w:rPr/>
      </w:pPr>
      <w:r>
        <w:t>4.7 升级路径（从 L1 到 L2）</w:t>
      </w:r>
    </w:p>
    <w:p w14:paraId="04CD89A7">
      <w:pPr>
        <w:pStyle w:val="style4097"/>
        <w:rPr/>
      </w:pPr>
      <w:r>
        <w:t>从 L1 基础版升级至 L2 标准版需执行以下步骤：</w:t>
      </w:r>
    </w:p>
    <w:p w14:paraId="A898707E">
      <w:pPr>
        <w:pStyle w:val="style66"/>
        <w:rPr/>
      </w:pPr>
      <w:r>
        <w:rPr>
          <w:b/>
          <w:bCs/>
        </w:rPr>
        <w:t>第一步：控制平面扩展</w:t>
      </w:r>
      <w:r>
        <w:t>。将 L1 的单节点 Incus 实例升级为 3 节点 etcd 集群。建议采用滚动方式：先在现有节点部署 etcd 单节点，再逐步加入两个新控制节点。此阶段需暂停实例创建操作，已有运行实例不受影响。</w:t>
      </w:r>
    </w:p>
    <w:p w14:paraId="997BBB6F">
      <w:pPr>
        <w:pStyle w:val="style66"/>
        <w:rPr/>
      </w:pPr>
      <w:r>
        <w:rPr>
          <w:b/>
          <w:bCs/>
        </w:rPr>
        <w:t>第二步：运行时集成</w:t>
      </w:r>
      <w:r>
        <w:t>。在计算节点上部署 CubeSandbox 组件（Cubelet、CubeShim、CubeHypervisor），通过 containerd 配置注册</w:t>
      </w:r>
      <w:r>
        <w:t xml:space="preserve"> </w:t>
      </w:r>
      <w:r>
        <w:rPr>
          <w:rStyle w:val="style4120"/>
        </w:rPr>
        <w:t>io.containerd.cube.v2</w:t>
      </w:r>
      <w:r>
        <w:t xml:space="preserve"> </w:t>
      </w:r>
      <w:r>
        <w:t>handler。同时部署 Kata 3.x + Cloud Hypervisor 后端，注册</w:t>
      </w:r>
      <w:r>
        <w:t xml:space="preserve"> </w:t>
      </w:r>
      <w:r>
        <w:rPr>
          <w:rStyle w:val="style4120"/>
        </w:rPr>
        <w:t>io.containerd.kata.v2</w:t>
      </w:r>
      <w:r>
        <w:t xml:space="preserve"> </w:t>
      </w:r>
      <w:r>
        <w:t>handler。验证 RuntimeClass 调度正常后，创建测试 Pod 确认三种运行时均工作。</w:t>
      </w:r>
    </w:p>
    <w:p w14:paraId="2A1FB9E5">
      <w:pPr>
        <w:pStyle w:val="style66"/>
        <w:rPr/>
      </w:pPr>
      <w:r>
        <w:rPr>
          <w:b/>
          <w:bCs/>
        </w:rPr>
        <w:t>第三步：网络切换</w:t>
      </w:r>
      <w:r>
        <w:t>。安装 Cilium CNI（推荐 1.15+），启用 eBPF kube-proxy 替代。切换期间建议采用并行运行策略：新旧 CNI 共存 1–2 个运维周期，确认 Service 连通性和 NetworkPolicy 生效后再移除旧网络栈。</w:t>
      </w:r>
    </w:p>
    <w:p w14:paraId="C819C627">
      <w:pPr>
        <w:pStyle w:val="style66"/>
        <w:rPr/>
      </w:pPr>
      <w:r>
        <w:rPr>
          <w:b/>
          <w:bCs/>
        </w:rPr>
        <w:t>第四步：存储扩展</w:t>
      </w:r>
      <w:r>
        <w:t>。通过 Rook Operator 部署 Ceph 集群，先以 3 个 MON + 2 个 OSD 的最小规模启动。创建 StorageClass（</w:t>
      </w:r>
      <w:r>
        <w:rPr>
          <w:rStyle w:val="style4120"/>
        </w:rPr>
        <w:t>replicated-block</w:t>
      </w:r>
      <w:r>
        <w:t xml:space="preserve"> </w:t>
      </w:r>
      <w:r>
        <w:t>用于 RBD，</w:t>
      </w:r>
      <w:r>
        <w:rPr>
          <w:rStyle w:val="style4120"/>
        </w:rPr>
        <w:t>shared-fs</w:t>
      </w:r>
      <w:r>
        <w:t xml:space="preserve"> </w:t>
      </w:r>
      <w:r>
        <w:t>用于 CephFS），逐步将有状态 PVC 从本地存储迁移至 Ceph 分布式存储。</w:t>
      </w:r>
    </w:p>
    <w:p w14:paraId="8B0926DD">
      <w:pPr>
        <w:pStyle w:val="style66"/>
        <w:rPr/>
      </w:pPr>
      <w:r>
        <w:rPr>
          <w:b/>
          <w:bCs/>
        </w:rPr>
        <w:t>第五步：Web UI 部署</w:t>
      </w:r>
      <w:r>
        <w:t>。部署基础仪表盘和 noVNC 控制台，与 Incus OpenAPI 和 Kubernetes API 对接。此阶段 UI 功能有限，但已覆盖最常用的实例管理和远程操作场景。</w:t>
      </w:r>
    </w:p>
    <w:p w14:paraId="F39552A8">
      <w:pPr>
        <w:pStyle w:val="style66"/>
        <w:rPr/>
      </w:pPr>
      <w:r>
        <w:t>升级风险主要来自 CNI 切换期间的瞬时网络中断。建议在维护窗口执行，并准备回滚脚本（保留旧 CNI 配置 7 天）。</w:t>
      </w:r>
    </w:p>
    <w:p w14:paraId="E7534F6E">
      <w:pPr>
        <w:pStyle w:val="style0"/>
        <w:rPr/>
      </w:pPr>
      <w:r>
        <w:rPr/>
        <w:pict>
          <v:rect id="1027" stroked="t" style="margin-left:0.0pt;margin-top:0.0pt;width:0.0pt;height:1.5pt;mso-wrap-distance-left:0.0pt;mso-wrap-distance-right:0.0pt;visibility:visible;" o:hr="t" o:hralign="center" o:hrstd="t">
            <v:fill/>
          </v:rect>
        </w:pict>
      </w:r>
    </w:p>
    <w:bookmarkStart w:id="29" w:name="l3-企业版"/>
    <w:bookmarkEnd w:id="28"/>
    <w:bookmarkEnd w:id="21"/>
    <w:p w14:paraId="6663DBBE">
      <w:pPr>
        <w:pStyle w:val="style4102"/>
        <w:rPr/>
      </w:pPr>
      <w:r>
        <w:t>5. L3 企业版</w:t>
      </w:r>
    </w:p>
    <w:bookmarkStart w:id="30" w:name="设计目标-3"/>
    <w:p w14:paraId="C7270ECD">
      <w:pPr>
        <w:pStyle w:val="style4103"/>
        <w:rPr/>
      </w:pPr>
      <w:r>
        <w:t>5.1 设计目标</w:t>
      </w:r>
    </w:p>
    <w:p w14:paraId="01E711F8">
      <w:pPr>
        <w:pStyle w:val="style4097"/>
        <w:rPr/>
      </w:pPr>
      <w:r>
        <w:t>L3 企业版是全功能方案的最终形态，代码量 50{,}000+ 行（含 L2 基座），开发周期 6–12 个月，团队规模 15–30 人。该级别直接对标 PVE 企业版，并在 MicroVM 速度、云原生编排和 AI Agent 支持三个维度形成超越。L3 的目标用户为需要生产级治理、多租户安全和混合云部署能力的中大型企业。</w:t>
      </w:r>
    </w:p>
    <w:p w14:paraId="95435888">
      <w:pPr>
        <w:pStyle w:val="style66"/>
        <w:rPr/>
      </w:pPr>
      <w:r>
        <w:t>L3 的核心设计哲学是”治理优先”——在 L2 已具备强大执行能力的基础上，补充企业级治理功能：RBAC 多租户权限、LDAP/AD 统一认证、HA 自动故障转移、完整备份恢复、审计合规。这些功能是平台从”技术验证”走向”生产部署”的必要条件。</w:t>
      </w:r>
    </w:p>
    <w:bookmarkStart w:id="31" w:name="技术栈在-l2-基础上增加"/>
    <w:bookmarkEnd w:id="30"/>
    <w:p w14:paraId="3BC70239">
      <w:pPr>
        <w:pStyle w:val="style4103"/>
        <w:rPr/>
      </w:pPr>
      <w:r>
        <w:t>5.2 技术栈（在 L2 基础上增加）</w:t>
      </w:r>
    </w:p>
    <w:p w14:paraId="5B677A2A">
      <w:pPr>
        <w:pStyle w:val="style4097"/>
        <w:rPr/>
      </w:pPr>
      <w:r>
        <w:rPr>
          <w:b/>
          <w:bCs/>
        </w:rPr>
        <w:t>Hyper-V 后端（MSHV 加速器）</w:t>
      </w:r>
      <w:r>
        <w:t>。通过 QEMU 10.2+ 的</w:t>
      </w:r>
      <w:r>
        <w:t xml:space="preserve"> </w:t>
      </w:r>
      <w:r>
        <w:rPr>
          <w:rStyle w:val="style4120"/>
        </w:rPr>
        <w:t>-accel mshv</w:t>
      </w:r>
      <w:r>
        <w:t xml:space="preserve"> </w:t>
      </w:r>
      <w:r>
        <w:t>选项，使 Linux VMM 直接利用 Hyper-V 虚拟化能力，相比传统嵌套虚拟化提升 20–40% 性能 [^Dim04-212^]。此能力使平台覆盖”Windows Server + Linux VM”的混合云场景。</w:t>
      </w:r>
    </w:p>
    <w:p w14:paraId="0486F571">
      <w:pPr>
        <w:pStyle w:val="style66"/>
        <w:rPr/>
      </w:pPr>
      <w:r>
        <w:rPr>
          <w:b/>
          <w:bCs/>
        </w:rPr>
        <w:t>完整 Web UI + RBAC + LDAP/AD</w:t>
      </w:r>
      <w:r>
        <w:t>。基于 Vue 3 的完整管理界面覆盖 VM/容器全生命周期、远程控制台（noVNC + xterm.js）、资源监控仪表盘和集群管理。RBAC 系统基于 Kubernetes RBAC 扩展，叠加 Incus Project 隔离，实现”集群–项目–实例”三级权限模型 [^Dim11-1182^]。认证集成支持 LDAP/AD、OAuth2/OIDC 和本地用户三种模式。</w:t>
      </w:r>
    </w:p>
    <w:p w14:paraId="917D337C">
      <w:pPr>
        <w:pStyle w:val="style66"/>
        <w:rPr/>
      </w:pPr>
      <w:r>
        <w:rPr>
          <w:b/>
          <w:bCs/>
        </w:rPr>
        <w:t>HA 自动故障转移</w:t>
      </w:r>
      <w:r>
        <w:t>。基于 Pacemaker + Corosync 实现 VM 级自动故障检测与转移，配置 STONITH 机制防止脑裂 [^Dim12-490^] [^Dim12-517^]。Watchdog 软看门狗监控 VM 健康状态，故障检测时间 &lt;30 秒，自动恢复时间 &lt;2 分钟。</w:t>
      </w:r>
    </w:p>
    <w:p w14:paraId="58D1ACF1">
      <w:pPr>
        <w:pStyle w:val="style66"/>
        <w:rPr/>
      </w:pPr>
      <w:r>
        <w:rPr>
          <w:b/>
          <w:bCs/>
        </w:rPr>
        <w:t>GPU/PCI 设备直通</w:t>
      </w:r>
      <w:r>
        <w:t>。基于 VFIO 实现 PCIe 设备透传，支持 NVIDIA GPU、FPGA 和智能网卡。AI 工作负载（TensorFlow、PyTorch）可直接访问 GPU 硬件，无需虚拟化层转译开销 [^Dim01-192^]。</w:t>
      </w:r>
    </w:p>
    <w:p w14:paraId="FED2BE81">
      <w:pPr>
        <w:pStyle w:val="style66"/>
        <w:rPr/>
      </w:pPr>
      <w:r>
        <w:rPr>
          <w:b/>
          <w:bCs/>
        </w:rPr>
        <w:t>备份恢复系统</w:t>
      </w:r>
      <w:r>
        <w:t>。集成 restic 实现增量备份，支持文件级和卷级恢复。长期演进方向为自研内容定义分块（CDC）去重引擎，目标达到 PVE Proxmox Backup Server 级别的 6–12x 存储效率</w:t>
      </w:r>
      <w:r>
        <w:t xml:space="preserve"> </w:t>
      </w:r>
      <w:r>
        <w:rPr>
          <w:vertAlign w:val="superscript"/>
        </w:rPr>
        <w:footnoteReference w:id="23"/>
      </w:r>
      <w:r>
        <w:t>。</w:t>
      </w:r>
    </w:p>
    <w:p w14:paraId="8AD6C9D3">
      <w:pPr>
        <w:pStyle w:val="style66"/>
        <w:rPr/>
      </w:pPr>
      <w:r>
        <w:rPr>
          <w:b/>
          <w:bCs/>
        </w:rPr>
        <w:t>TEE 机密计算</w:t>
      </w:r>
      <w:r>
        <w:t>。通过 Confidential Containers（CoCo）项目集成 Intel TDX/AMD SEV 可信执行环境，将可信计算基缩减至最小 [^Dim03-102^]。适合金融交易、医疗数据处理和 AI 模型保护等高机密性场景。</w:t>
      </w:r>
    </w:p>
    <w:p w14:paraId="4ECC6B71">
      <w:pPr>
        <w:pStyle w:val="style66"/>
        <w:rPr/>
      </w:pPr>
      <w:r>
        <w:rPr>
          <w:b/>
          <w:bCs/>
        </w:rPr>
        <w:t>多区域联邦集群</w:t>
      </w:r>
      <w:r>
        <w:t>。基于 KubeFed 或 Cluster API 实现跨地域集群统一管理，支持工作负载跨可用区部署和灾备切换 [^Dim12-449^]。</w:t>
      </w:r>
    </w:p>
    <w:bookmarkStart w:id="32" w:name="升级路径从-l2-到-l3"/>
    <w:bookmarkEnd w:id="31"/>
    <w:p w14:paraId="CFEB4A68">
      <w:pPr>
        <w:pStyle w:val="style4103"/>
        <w:rPr/>
      </w:pPr>
      <w:r>
        <w:t>5.3 升级路径（从 L2 到 L3）</w:t>
      </w:r>
    </w:p>
    <w:p w14:paraId="035EF39A">
      <w:pPr>
        <w:pStyle w:val="style4097"/>
        <w:rPr/>
      </w:pPr>
      <w:r>
        <w:t>从 L2 到 L3 的升级遵循四阶段实施路线，与原报告第九章路线图一致：</w:t>
      </w:r>
    </w:p>
    <w:p w14:paraId="4D81249F">
      <w:pPr>
        <w:pStyle w:val="style66"/>
        <w:rPr/>
      </w:pPr>
      <w:r>
        <w:rPr>
          <w:b/>
          <w:bCs/>
        </w:rPr>
        <w:t>Phase 1（M1–M3）：核心运行时加固</w:t>
      </w:r>
      <w:r>
        <w:t>。重点解决 L2 的技术债务：CubeSandbox 开源生态跟踪（预计 2026 年 4 月开源）、eBPF 三层冲突问题调优（CubeVS + Cilium + eBPF LSM 资源配额规范化）、Ceph 集群生产级调优（OSD 亲和性、PG 数量优化）。</w:t>
      </w:r>
    </w:p>
    <w:p w14:paraId="7A17327E">
      <w:pPr>
        <w:pStyle w:val="style66"/>
        <w:rPr/>
      </w:pPr>
      <w:r>
        <w:rPr>
          <w:b/>
          <w:bCs/>
        </w:rPr>
        <w:t>Phase 2（M4–M6）：集群与 Incus 增强</w:t>
      </w:r>
      <w:r>
        <w:t>。引入 Incus 集群模式（Cowsql Raft 分布式数据库 [^Dim12-516^]），实现 3–50 节点的集群状态强一致。部署 OVN SDN 替代基础 VLAN，提供 VPC 级别的多租户网络隔离 [^Dim02-357^]。基础 Web UI 升级为完整管理界面，新增集群拓扑视图和实时监控仪表盘。</w:t>
      </w:r>
    </w:p>
    <w:p w14:paraId="0E49E8E5">
      <w:pPr>
        <w:pStyle w:val="style66"/>
        <w:rPr/>
      </w:pPr>
      <w:r>
        <w:rPr>
          <w:b/>
          <w:bCs/>
        </w:rPr>
        <w:t>Phase 3（M7–M9）：企业特性</w:t>
      </w:r>
      <w:r>
        <w:t>。交付 RBAC 权限系统、LDAP/AD 认证集成、HA 自动故障转移（Pacemaker + STONITH [^Dim12-517^]）、备份恢复系统（restic 增量备份）和 Terraform Provider。此阶段结束时平台满足等保 2.0 合规要求，达到”企业就绪”状态。</w:t>
      </w:r>
    </w:p>
    <w:p w14:paraId="E140933F">
      <w:pPr>
        <w:pStyle w:val="style66"/>
        <w:rPr/>
      </w:pPr>
      <w:r>
        <w:rPr>
          <w:b/>
          <w:bCs/>
        </w:rPr>
        <w:t>Phase 4（M10–M12）：高级特性</w:t>
      </w:r>
      <w:r>
        <w:t>。部署 MSHV 加速器（评估 libvirt 补丁成熟度后切换 [^Dim04-212^]）、TEE 机密计算（CoCo + Intel TDX/AMD SEV）、GPU 直通（VFIO）和多区域联邦集群。此阶段交付 GA 版本，覆盖”Windows + Linux + AI Agent”三大工作负载场景。</w:t>
      </w:r>
    </w:p>
    <w:p w14:paraId="129188FF">
      <w:pPr>
        <w:pStyle w:val="style0"/>
        <w:rPr/>
      </w:pPr>
      <w:r>
        <w:rPr/>
        <w:pict>
          <v:rect id="1028" stroked="t" style="margin-left:0.0pt;margin-top:0.0pt;width:0.0pt;height:1.5pt;mso-wrap-distance-left:0.0pt;mso-wrap-distance-right:0.0pt;visibility:visible;" o:hr="t" o:hralign="center" o:hrstd="t">
            <v:fill/>
          </v:rect>
        </w:pict>
      </w:r>
    </w:p>
    <w:bookmarkStart w:id="33" w:name="决策矩阵与升级策略"/>
    <w:bookmarkEnd w:id="32"/>
    <w:bookmarkEnd w:id="29"/>
    <w:p w14:paraId="74802730">
      <w:pPr>
        <w:pStyle w:val="style4102"/>
        <w:rPr/>
      </w:pPr>
      <w:r>
        <w:t>6. 决策矩阵与升级策略</w:t>
      </w:r>
    </w:p>
    <w:bookmarkStart w:id="34" w:name="选择指南"/>
    <w:p w14:paraId="EB253697">
      <w:pPr>
        <w:pStyle w:val="style4103"/>
        <w:rPr/>
      </w:pPr>
      <w:r>
        <w:t>6.1 选择指南</w:t>
      </w:r>
    </w:p>
    <w:p w14:paraId="6980F649">
      <w:pPr>
        <w:pStyle w:val="style4097"/>
        <w:rPr/>
      </w:pPr>
      <w:r>
        <w:t>下表按团队规模、预算、时间约束和场景需求四个维度，提供级别选择的决策参考：</w:t>
      </w:r>
    </w:p>
    <w:tbl>
      <w:tblPr>
        <w:tblStyle w:val="style4111"/>
        <w:tblW w:w="5000" w:type="pct"/>
        <w:tblLook w:val="0020" w:firstRow="1" w:lastRow="0" w:firstColumn="0" w:lastColumn="0" w:noHBand="0" w:noVBand="0"/>
      </w:tblPr>
      <w:tblGrid>
        <w:gridCol w:w="981"/>
        <w:gridCol w:w="1220"/>
        <w:gridCol w:w="914"/>
        <w:gridCol w:w="1774"/>
        <w:gridCol w:w="852"/>
        <w:gridCol w:w="2173"/>
      </w:tblGrid>
      <w:tr w14:paraId="DDAD1869">
        <w:trPr>
          <w:tblHeader/>
        </w:trPr>
        <w:tc>
          <w:tcPr>
            <w:tcW w:w="0" w:type="auto"/>
            <w:tcBorders/>
          </w:tcPr>
          <w:p w14:paraId="0CB37E21">
            <w:pPr>
              <w:pStyle w:val="style4098"/>
              <w:jc w:val="left"/>
              <w:rPr/>
            </w:pPr>
            <w:r>
              <w:t>团队规模</w:t>
            </w:r>
          </w:p>
        </w:tc>
        <w:tc>
          <w:tcPr>
            <w:tcW w:w="0" w:type="auto"/>
            <w:tcBorders/>
          </w:tcPr>
          <w:p w14:paraId="C220F95C">
            <w:pPr>
              <w:pStyle w:val="style4098"/>
              <w:jc w:val="center"/>
              <w:rPr/>
            </w:pPr>
            <w:r>
              <w:t>预算（人月）</w:t>
            </w:r>
          </w:p>
        </w:tc>
        <w:tc>
          <w:tcPr>
            <w:tcW w:w="0" w:type="auto"/>
            <w:tcBorders/>
          </w:tcPr>
          <w:p w14:paraId="018D0BF8">
            <w:pPr>
              <w:pStyle w:val="style4098"/>
              <w:jc w:val="center"/>
              <w:rPr/>
            </w:pPr>
            <w:r>
              <w:t>时间约束</w:t>
            </w:r>
          </w:p>
        </w:tc>
        <w:tc>
          <w:tcPr>
            <w:tcW w:w="0" w:type="auto"/>
            <w:tcBorders/>
          </w:tcPr>
          <w:p w14:paraId="7484B378">
            <w:pPr>
              <w:pStyle w:val="style4098"/>
              <w:jc w:val="left"/>
              <w:rPr/>
            </w:pPr>
            <w:r>
              <w:t>核心场景</w:t>
            </w:r>
          </w:p>
        </w:tc>
        <w:tc>
          <w:tcPr>
            <w:tcW w:w="0" w:type="auto"/>
            <w:tcBorders/>
          </w:tcPr>
          <w:p w14:paraId="17C7F743">
            <w:pPr>
              <w:pStyle w:val="style4098"/>
              <w:jc w:val="center"/>
              <w:rPr/>
            </w:pPr>
            <w:r>
              <w:t>推荐级别</w:t>
            </w:r>
          </w:p>
        </w:tc>
        <w:tc>
          <w:tcPr>
            <w:tcW w:w="0" w:type="auto"/>
            <w:tcBorders/>
          </w:tcPr>
          <w:p w14:paraId="5A1FDDE1">
            <w:pPr>
              <w:pStyle w:val="style4098"/>
              <w:jc w:val="left"/>
              <w:rPr/>
            </w:pPr>
            <w:r>
              <w:t>关键理由</w:t>
            </w:r>
          </w:p>
        </w:tc>
      </w:tr>
      <w:tr w14:paraId="854144A9">
        <w:tblPrEx/>
        <w:trPr/>
        <w:tc>
          <w:tcPr>
            <w:tcW w:w="0" w:type="auto"/>
            <w:tcBorders/>
          </w:tcPr>
          <w:p w14:paraId="54067246">
            <w:pPr>
              <w:pStyle w:val="style4098"/>
              <w:jc w:val="left"/>
              <w:rPr/>
            </w:pPr>
            <w:r>
              <w:t>1 人</w:t>
            </w:r>
          </w:p>
        </w:tc>
        <w:tc>
          <w:tcPr>
            <w:tcW w:w="0" w:type="auto"/>
            <w:tcBorders/>
          </w:tcPr>
          <w:p w14:paraId="2BFA8EF2">
            <w:pPr>
              <w:pStyle w:val="style4098"/>
              <w:jc w:val="center"/>
              <w:rPr/>
            </w:pPr>
            <w:r>
              <w:t>0.5</w:t>
            </w:r>
          </w:p>
        </w:tc>
        <w:tc>
          <w:tcPr>
            <w:tcW w:w="0" w:type="auto"/>
            <w:tcBorders/>
          </w:tcPr>
          <w:p w14:paraId="5A2AAA96">
            <w:pPr>
              <w:pStyle w:val="style4098"/>
              <w:jc w:val="center"/>
              <w:rPr/>
            </w:pPr>
            <w:r>
              <w:t>2 周</w:t>
            </w:r>
          </w:p>
        </w:tc>
        <w:tc>
          <w:tcPr>
            <w:tcW w:w="0" w:type="auto"/>
            <w:tcBorders/>
          </w:tcPr>
          <w:p w14:paraId="61F11D65">
            <w:pPr>
              <w:pStyle w:val="style4098"/>
              <w:jc w:val="left"/>
              <w:rPr/>
            </w:pPr>
            <w:r>
              <w:t>个人开发测试</w:t>
            </w:r>
          </w:p>
        </w:tc>
        <w:tc>
          <w:tcPr>
            <w:tcW w:w="0" w:type="auto"/>
            <w:tcBorders/>
          </w:tcPr>
          <w:p w14:paraId="7F94B336">
            <w:pPr>
              <w:pStyle w:val="style4098"/>
              <w:jc w:val="center"/>
              <w:rPr/>
            </w:pPr>
            <w:r>
              <w:rPr>
                <w:b/>
                <w:bCs/>
              </w:rPr>
              <w:t>L0</w:t>
            </w:r>
          </w:p>
        </w:tc>
        <w:tc>
          <w:tcPr>
            <w:tcW w:w="0" w:type="auto"/>
            <w:tcBorders/>
          </w:tcPr>
          <w:p w14:paraId="B1009A50">
            <w:pPr>
              <w:pStyle w:val="style4098"/>
              <w:jc w:val="left"/>
              <w:rPr/>
            </w:pPr>
            <w:r>
              <w:t>最小可用，零基础设施成本</w:t>
            </w:r>
          </w:p>
        </w:tc>
      </w:tr>
      <w:tr w14:paraId="D28AE254">
        <w:tblPrEx/>
        <w:trPr/>
        <w:tc>
          <w:tcPr>
            <w:tcW w:w="0" w:type="auto"/>
            <w:tcBorders/>
          </w:tcPr>
          <w:p w14:paraId="5D8B36F9">
            <w:pPr>
              <w:pStyle w:val="style4098"/>
              <w:jc w:val="left"/>
              <w:rPr/>
            </w:pPr>
            <w:r>
              <w:t>2–5 人</w:t>
            </w:r>
          </w:p>
        </w:tc>
        <w:tc>
          <w:tcPr>
            <w:tcW w:w="0" w:type="auto"/>
            <w:tcBorders/>
          </w:tcPr>
          <w:p w14:paraId="9A17BB6B">
            <w:pPr>
              <w:pStyle w:val="style4098"/>
              <w:jc w:val="center"/>
              <w:rPr/>
            </w:pPr>
            <w:r>
              <w:t>4–6</w:t>
            </w:r>
          </w:p>
        </w:tc>
        <w:tc>
          <w:tcPr>
            <w:tcW w:w="0" w:type="auto"/>
            <w:tcBorders/>
          </w:tcPr>
          <w:p w14:paraId="1F6E9CBC">
            <w:pPr>
              <w:pStyle w:val="style4098"/>
              <w:jc w:val="center"/>
              <w:rPr/>
            </w:pPr>
            <w:r>
              <w:t>2 个月</w:t>
            </w:r>
          </w:p>
        </w:tc>
        <w:tc>
          <w:tcPr>
            <w:tcW w:w="0" w:type="auto"/>
            <w:tcBorders/>
          </w:tcPr>
          <w:p w14:paraId="378BDE41">
            <w:pPr>
              <w:pStyle w:val="style4098"/>
              <w:jc w:val="left"/>
              <w:rPr/>
            </w:pPr>
            <w:r>
              <w:t>中小团队容器化部署</w:t>
            </w:r>
          </w:p>
        </w:tc>
        <w:tc>
          <w:tcPr>
            <w:tcW w:w="0" w:type="auto"/>
            <w:tcBorders/>
          </w:tcPr>
          <w:p w14:paraId="66B2CBC7">
            <w:pPr>
              <w:pStyle w:val="style4098"/>
              <w:jc w:val="center"/>
              <w:rPr/>
            </w:pPr>
            <w:r>
              <w:rPr>
                <w:b/>
                <w:bCs/>
              </w:rPr>
              <w:t>L1</w:t>
            </w:r>
          </w:p>
        </w:tc>
        <w:tc>
          <w:tcPr>
            <w:tcW w:w="0" w:type="auto"/>
            <w:tcBorders/>
          </w:tcPr>
          <w:p w14:paraId="AC59C06E">
            <w:pPr>
              <w:pStyle w:val="style4098"/>
              <w:jc w:val="left"/>
              <w:rPr/>
            </w:pPr>
            <w:r>
              <w:t>基础虚拟化能力，快速验证技术栈</w:t>
            </w:r>
          </w:p>
        </w:tc>
      </w:tr>
      <w:tr w14:paraId="D9313FD6">
        <w:tblPrEx/>
        <w:trPr/>
        <w:tc>
          <w:tcPr>
            <w:tcW w:w="0" w:type="auto"/>
            <w:tcBorders/>
          </w:tcPr>
          <w:p w14:paraId="F46E4E75">
            <w:pPr>
              <w:pStyle w:val="style4098"/>
              <w:jc w:val="left"/>
              <w:rPr/>
            </w:pPr>
            <w:r>
              <w:t>8–15 人</w:t>
            </w:r>
          </w:p>
        </w:tc>
        <w:tc>
          <w:tcPr>
            <w:tcW w:w="0" w:type="auto"/>
            <w:tcBorders/>
          </w:tcPr>
          <w:p w14:paraId="2E3B4AE1">
            <w:pPr>
              <w:pStyle w:val="style4098"/>
              <w:jc w:val="center"/>
              <w:rPr/>
            </w:pPr>
            <w:r>
              <w:t>24–36</w:t>
            </w:r>
          </w:p>
        </w:tc>
        <w:tc>
          <w:tcPr>
            <w:tcW w:w="0" w:type="auto"/>
            <w:tcBorders/>
          </w:tcPr>
          <w:p w14:paraId="5E6F1B3F">
            <w:pPr>
              <w:pStyle w:val="style4098"/>
              <w:jc w:val="center"/>
              <w:rPr/>
            </w:pPr>
            <w:r>
              <w:t>3–4 个月</w:t>
            </w:r>
          </w:p>
        </w:tc>
        <w:tc>
          <w:tcPr>
            <w:tcW w:w="0" w:type="auto"/>
            <w:tcBorders/>
          </w:tcPr>
          <w:p w14:paraId="B47811CE">
            <w:pPr>
              <w:pStyle w:val="style4098"/>
              <w:jc w:val="left"/>
              <w:rPr/>
            </w:pPr>
            <w:r>
              <w:t>AI Agent 平台、多租户 SaaS</w:t>
            </w:r>
          </w:p>
        </w:tc>
        <w:tc>
          <w:tcPr>
            <w:tcW w:w="0" w:type="auto"/>
            <w:tcBorders/>
          </w:tcPr>
          <w:p w14:paraId="C1AC7A5A">
            <w:pPr>
              <w:pStyle w:val="style4098"/>
              <w:jc w:val="center"/>
              <w:rPr/>
            </w:pPr>
            <w:r>
              <w:rPr>
                <w:b/>
                <w:bCs/>
              </w:rPr>
              <w:t>L2</w:t>
            </w:r>
          </w:p>
        </w:tc>
        <w:tc>
          <w:tcPr>
            <w:tcW w:w="0" w:type="auto"/>
            <w:tcBorders/>
          </w:tcPr>
          <w:p w14:paraId="838EF9D2">
            <w:pPr>
              <w:pStyle w:val="style4098"/>
              <w:jc w:val="left"/>
              <w:rPr/>
            </w:pPr>
            <w:r>
              <w:t>极速沙箱 + K8s 编排，Agent 场景就绪</w:t>
            </w:r>
          </w:p>
        </w:tc>
      </w:tr>
      <w:tr w14:paraId="83D68141">
        <w:tblPrEx/>
        <w:trPr/>
        <w:tc>
          <w:tcPr>
            <w:tcW w:w="0" w:type="auto"/>
            <w:tcBorders/>
          </w:tcPr>
          <w:p w14:paraId="65ED709C">
            <w:pPr>
              <w:pStyle w:val="style4098"/>
              <w:jc w:val="left"/>
              <w:rPr/>
            </w:pPr>
            <w:r>
              <w:t>15–30 人</w:t>
            </w:r>
          </w:p>
        </w:tc>
        <w:tc>
          <w:tcPr>
            <w:tcW w:w="0" w:type="auto"/>
            <w:tcBorders/>
          </w:tcPr>
          <w:p w14:paraId="F9A0F108">
            <w:pPr>
              <w:pStyle w:val="style4098"/>
              <w:jc w:val="center"/>
              <w:rPr/>
            </w:pPr>
            <w:r>
              <w:t>90–180</w:t>
            </w:r>
          </w:p>
        </w:tc>
        <w:tc>
          <w:tcPr>
            <w:tcW w:w="0" w:type="auto"/>
            <w:tcBorders/>
          </w:tcPr>
          <w:p w14:paraId="36F5FCAA">
            <w:pPr>
              <w:pStyle w:val="style4098"/>
              <w:jc w:val="center"/>
              <w:rPr/>
            </w:pPr>
            <w:r>
              <w:t>6–12 个月</w:t>
            </w:r>
          </w:p>
        </w:tc>
        <w:tc>
          <w:tcPr>
            <w:tcW w:w="0" w:type="auto"/>
            <w:tcBorders/>
          </w:tcPr>
          <w:p w14:paraId="A545050C">
            <w:pPr>
              <w:pStyle w:val="style4098"/>
              <w:jc w:val="left"/>
              <w:rPr/>
            </w:pPr>
            <w:r>
              <w:t>企业私有云、混合云</w:t>
            </w:r>
          </w:p>
        </w:tc>
        <w:tc>
          <w:tcPr>
            <w:tcW w:w="0" w:type="auto"/>
            <w:tcBorders/>
          </w:tcPr>
          <w:p w14:paraId="8DBE867F">
            <w:pPr>
              <w:pStyle w:val="style4098"/>
              <w:jc w:val="center"/>
              <w:rPr/>
            </w:pPr>
            <w:r>
              <w:rPr>
                <w:b/>
                <w:bCs/>
              </w:rPr>
              <w:t>L3</w:t>
            </w:r>
          </w:p>
        </w:tc>
        <w:tc>
          <w:tcPr>
            <w:tcW w:w="0" w:type="auto"/>
            <w:tcBorders/>
          </w:tcPr>
          <w:p w14:paraId="7A8C9000">
            <w:pPr>
              <w:pStyle w:val="style4098"/>
              <w:jc w:val="left"/>
              <w:rPr/>
            </w:pPr>
            <w:r>
              <w:t>完整治理能力，对标 PVE 企业版</w:t>
            </w:r>
          </w:p>
        </w:tc>
      </w:tr>
      <w:tr w14:paraId="36BD70E6">
        <w:tblPrEx/>
        <w:trPr/>
        <w:tc>
          <w:tcPr>
            <w:tcW w:w="0" w:type="auto"/>
            <w:tcBorders/>
          </w:tcPr>
          <w:p w14:paraId="FAACE9F5">
            <w:pPr>
              <w:pStyle w:val="style4098"/>
              <w:jc w:val="left"/>
              <w:rPr/>
            </w:pPr>
            <w:r>
              <w:t>30+ 人</w:t>
            </w:r>
          </w:p>
        </w:tc>
        <w:tc>
          <w:tcPr>
            <w:tcW w:w="0" w:type="auto"/>
            <w:tcBorders/>
          </w:tcPr>
          <w:p w14:paraId="4ACDFCBB">
            <w:pPr>
              <w:pStyle w:val="style4098"/>
              <w:jc w:val="center"/>
              <w:rPr/>
            </w:pPr>
            <w:r>
              <w:t>180+</w:t>
            </w:r>
          </w:p>
        </w:tc>
        <w:tc>
          <w:tcPr>
            <w:tcW w:w="0" w:type="auto"/>
            <w:tcBorders/>
          </w:tcPr>
          <w:p w14:paraId="3B06A027">
            <w:pPr>
              <w:pStyle w:val="style4098"/>
              <w:jc w:val="center"/>
              <w:rPr/>
            </w:pPr>
            <w:r>
              <w:t>12 个月+</w:t>
            </w:r>
          </w:p>
        </w:tc>
        <w:tc>
          <w:tcPr>
            <w:tcW w:w="0" w:type="auto"/>
            <w:tcBorders/>
          </w:tcPr>
          <w:p w14:paraId="22F50F6E">
            <w:pPr>
              <w:pStyle w:val="style4098"/>
              <w:jc w:val="left"/>
              <w:rPr/>
            </w:pPr>
            <w:r>
              <w:t>超大规模多云联邦</w:t>
            </w:r>
          </w:p>
        </w:tc>
        <w:tc>
          <w:tcPr>
            <w:tcW w:w="0" w:type="auto"/>
            <w:tcBorders/>
          </w:tcPr>
          <w:p w14:paraId="93BD7388">
            <w:pPr>
              <w:pStyle w:val="style4098"/>
              <w:jc w:val="center"/>
              <w:rPr/>
            </w:pPr>
            <w:r>
              <w:rPr>
                <w:b/>
                <w:bCs/>
              </w:rPr>
              <w:t>L3+ 定制</w:t>
            </w:r>
          </w:p>
        </w:tc>
        <w:tc>
          <w:tcPr>
            <w:tcW w:w="0" w:type="auto"/>
            <w:tcBorders/>
          </w:tcPr>
          <w:p w14:paraId="EBB8A3DF">
            <w:pPr>
              <w:pStyle w:val="style4098"/>
              <w:jc w:val="left"/>
              <w:rPr/>
            </w:pPr>
            <w:r>
              <w:t>联邦集群 + 自研调度，全量功能</w:t>
            </w:r>
          </w:p>
        </w:tc>
      </w:tr>
    </w:tbl>
    <w:p w14:paraId="F5196FEC">
      <w:pPr>
        <w:pStyle w:val="style66"/>
        <w:rPr/>
      </w:pPr>
      <w:r>
        <w:t>选择时需重点考虑场景与级别的匹配度：若核心需求是 AI Agent 代码执行（毫秒级响应、高并发密度），L2 是最低可行起点——L1 缺乏 CubeSandbox 的极速沙箱能力，无法满足 Agent 场景的延迟要求。若核心需求是企业虚拟化替代（对标 PVE），L2 已覆盖 75% 功能，可作为过渡方案先行上线，再通过 L3 补齐 RBAC、HA 和备份等企业特性。</w:t>
      </w:r>
    </w:p>
    <w:bookmarkStart w:id="35" w:name="升级路径总览"/>
    <w:bookmarkEnd w:id="34"/>
    <w:p w14:paraId="B4B6D926">
      <w:pPr>
        <w:pStyle w:val="style4103"/>
        <w:rPr/>
      </w:pPr>
      <w:r>
        <w:t>6.2 升级路径总览</w:t>
      </w:r>
    </w:p>
    <w:tbl>
      <w:tblPr>
        <w:tblStyle w:val="style4111"/>
        <w:tblW w:w="5000" w:type="pct"/>
        <w:tblLook w:val="0020" w:firstRow="1" w:lastRow="0" w:firstColumn="0" w:lastColumn="0" w:noHBand="0" w:noVBand="0"/>
      </w:tblPr>
      <w:tblGrid>
        <w:gridCol w:w="594"/>
        <w:gridCol w:w="2970"/>
        <w:gridCol w:w="1806"/>
        <w:gridCol w:w="1852"/>
        <w:gridCol w:w="695"/>
      </w:tblGrid>
      <w:tr w14:paraId="3D29F4CF">
        <w:trPr>
          <w:tblHeader/>
        </w:trPr>
        <w:tc>
          <w:tcPr>
            <w:tcW w:w="0" w:type="auto"/>
            <w:tcBorders/>
          </w:tcPr>
          <w:p w14:paraId="B9999EF5">
            <w:pPr>
              <w:pStyle w:val="style4098"/>
              <w:jc w:val="left"/>
              <w:rPr/>
            </w:pPr>
            <w:r>
              <w:t>升级路径</w:t>
            </w:r>
          </w:p>
        </w:tc>
        <w:tc>
          <w:tcPr>
            <w:tcW w:w="0" w:type="auto"/>
            <w:tcBorders/>
          </w:tcPr>
          <w:p w14:paraId="CDF356C6">
            <w:pPr>
              <w:pStyle w:val="style4098"/>
              <w:jc w:val="left"/>
              <w:rPr/>
            </w:pPr>
            <w:r>
              <w:t>关键动作</w:t>
            </w:r>
          </w:p>
        </w:tc>
        <w:tc>
          <w:tcPr>
            <w:tcW w:w="0" w:type="auto"/>
            <w:tcBorders/>
          </w:tcPr>
          <w:p w14:paraId="D2EBBBC0">
            <w:pPr>
              <w:pStyle w:val="style4098"/>
              <w:jc w:val="left"/>
              <w:rPr/>
            </w:pPr>
            <w:r>
              <w:t>新增核心能力</w:t>
            </w:r>
          </w:p>
        </w:tc>
        <w:tc>
          <w:tcPr>
            <w:tcW w:w="0" w:type="auto"/>
            <w:tcBorders/>
          </w:tcPr>
          <w:p w14:paraId="3B80B737">
            <w:pPr>
              <w:pStyle w:val="style4098"/>
              <w:jc w:val="left"/>
              <w:rPr/>
            </w:pPr>
            <w:r>
              <w:t>主要风险</w:t>
            </w:r>
          </w:p>
        </w:tc>
        <w:tc>
          <w:tcPr>
            <w:tcW w:w="0" w:type="auto"/>
            <w:tcBorders/>
          </w:tcPr>
          <w:p w14:paraId="712B2FCC">
            <w:pPr>
              <w:pStyle w:val="style4098"/>
              <w:jc w:val="center"/>
              <w:rPr/>
            </w:pPr>
            <w:r>
              <w:t>预估工期</w:t>
            </w:r>
          </w:p>
        </w:tc>
      </w:tr>
      <w:tr w14:paraId="87308C4B">
        <w:tblPrEx/>
        <w:trPr/>
        <w:tc>
          <w:tcPr>
            <w:tcW w:w="0" w:type="auto"/>
            <w:tcBorders/>
          </w:tcPr>
          <w:p w14:paraId="020628F0">
            <w:pPr>
              <w:pStyle w:val="style4098"/>
              <w:jc w:val="left"/>
              <w:rPr/>
            </w:pPr>
            <w:r>
              <w:rPr>
                <w:b/>
                <w:bCs/>
              </w:rPr>
              <w:t>L0 → L1</w:t>
            </w:r>
          </w:p>
        </w:tc>
        <w:tc>
          <w:tcPr>
            <w:tcW w:w="0" w:type="auto"/>
            <w:tcBorders/>
          </w:tcPr>
          <w:p w14:paraId="E7994394">
            <w:pPr>
              <w:pStyle w:val="style4098"/>
              <w:jc w:val="left"/>
              <w:rPr/>
            </w:pPr>
            <w:r>
              <w:t>安装 Incus + Kata + containerd；配置本地存储池</w:t>
            </w:r>
          </w:p>
        </w:tc>
        <w:tc>
          <w:tcPr>
            <w:tcW w:w="0" w:type="auto"/>
            <w:tcBorders/>
          </w:tcPr>
          <w:p w14:paraId="A2BBC7D1">
            <w:pPr>
              <w:pStyle w:val="style4098"/>
              <w:jc w:val="left"/>
              <w:rPr/>
            </w:pPr>
            <w:r>
              <w:t>LXC/KVM 生命周期管理、基础网络存储</w:t>
            </w:r>
          </w:p>
        </w:tc>
        <w:tc>
          <w:tcPr>
            <w:tcW w:w="0" w:type="auto"/>
            <w:tcBorders/>
          </w:tcPr>
          <w:p w14:paraId="430A492C">
            <w:pPr>
              <w:pStyle w:val="style4098"/>
              <w:jc w:val="left"/>
              <w:rPr/>
            </w:pPr>
            <w:r>
              <w:t>单点故障、无高可用</w:t>
            </w:r>
          </w:p>
        </w:tc>
        <w:tc>
          <w:tcPr>
            <w:tcW w:w="0" w:type="auto"/>
            <w:tcBorders/>
          </w:tcPr>
          <w:p w14:paraId="FACE26F8">
            <w:pPr>
              <w:pStyle w:val="style4098"/>
              <w:jc w:val="center"/>
              <w:rPr/>
            </w:pPr>
            <w:r>
              <w:t>2 周</w:t>
            </w:r>
          </w:p>
        </w:tc>
      </w:tr>
      <w:tr w14:paraId="F4ED1DD5">
        <w:tblPrEx/>
        <w:trPr/>
        <w:tc>
          <w:tcPr>
            <w:tcW w:w="0" w:type="auto"/>
            <w:tcBorders/>
          </w:tcPr>
          <w:p w14:paraId="A5355F71">
            <w:pPr>
              <w:pStyle w:val="style4098"/>
              <w:jc w:val="left"/>
              <w:rPr/>
            </w:pPr>
            <w:r>
              <w:rPr>
                <w:b/>
                <w:bCs/>
              </w:rPr>
              <w:t>L1 → L2</w:t>
            </w:r>
          </w:p>
        </w:tc>
        <w:tc>
          <w:tcPr>
            <w:tcW w:w="0" w:type="auto"/>
            <w:tcBorders/>
          </w:tcPr>
          <w:p w14:paraId="63D161DE">
            <w:pPr>
              <w:pStyle w:val="style4098"/>
              <w:jc w:val="left"/>
              <w:rPr/>
            </w:pPr>
            <w:r>
              <w:t>部署 K8s 控制平面；集成 CubeSandbox；切换 Cilium CNI；扩展 Ceph 存储</w:t>
            </w:r>
          </w:p>
        </w:tc>
        <w:tc>
          <w:tcPr>
            <w:tcW w:w="0" w:type="auto"/>
            <w:tcBorders/>
          </w:tcPr>
          <w:p w14:paraId="D120DC88">
            <w:pPr>
              <w:pStyle w:val="style4098"/>
              <w:jc w:val="left"/>
              <w:rPr/>
            </w:pPr>
            <w:r>
              <w:t>极速沙箱、K8s 编排、eBPF 网络、分布式存储</w:t>
            </w:r>
          </w:p>
        </w:tc>
        <w:tc>
          <w:tcPr>
            <w:tcW w:w="0" w:type="auto"/>
            <w:tcBorders/>
          </w:tcPr>
          <w:p w14:paraId="FEABABBF">
            <w:pPr>
              <w:pStyle w:val="style4098"/>
              <w:jc w:val="left"/>
              <w:rPr/>
            </w:pPr>
            <w:r>
              <w:t>CNI 切换网络中断、Ceph 运维复杂度</w:t>
            </w:r>
          </w:p>
        </w:tc>
        <w:tc>
          <w:tcPr>
            <w:tcW w:w="0" w:type="auto"/>
            <w:tcBorders/>
          </w:tcPr>
          <w:p w14:paraId="E4F70C8B">
            <w:pPr>
              <w:pStyle w:val="style4098"/>
              <w:jc w:val="center"/>
              <w:rPr/>
            </w:pPr>
            <w:r>
              <w:t>3–4 个月</w:t>
            </w:r>
          </w:p>
        </w:tc>
      </w:tr>
      <w:tr w14:paraId="C505F4AE">
        <w:tblPrEx/>
        <w:trPr/>
        <w:tc>
          <w:tcPr>
            <w:tcW w:w="0" w:type="auto"/>
            <w:tcBorders/>
          </w:tcPr>
          <w:p w14:paraId="9DFB1E72">
            <w:pPr>
              <w:pStyle w:val="style4098"/>
              <w:jc w:val="left"/>
              <w:rPr/>
            </w:pPr>
            <w:r>
              <w:rPr>
                <w:b/>
                <w:bCs/>
              </w:rPr>
              <w:t>L2 → L3</w:t>
            </w:r>
          </w:p>
        </w:tc>
        <w:tc>
          <w:tcPr>
            <w:tcW w:w="0" w:type="auto"/>
            <w:tcBorders/>
          </w:tcPr>
          <w:p w14:paraId="DD7D7749">
            <w:pPr>
              <w:pStyle w:val="style4098"/>
              <w:jc w:val="left"/>
              <w:rPr/>
            </w:pPr>
            <w:r>
              <w:t>实施 RBAC/LDAP；部署 Pacemaker HA；开发完整 Web UI；集成 MSHV/GPU/TEE</w:t>
            </w:r>
          </w:p>
        </w:tc>
        <w:tc>
          <w:tcPr>
            <w:tcW w:w="0" w:type="auto"/>
            <w:tcBorders/>
          </w:tcPr>
          <w:p w14:paraId="5B3AC17D">
            <w:pPr>
              <w:pStyle w:val="style4098"/>
              <w:jc w:val="left"/>
              <w:rPr/>
            </w:pPr>
            <w:r>
              <w:t>企业治理、自动故障转移、混合云、机密计算</w:t>
            </w:r>
          </w:p>
        </w:tc>
        <w:tc>
          <w:tcPr>
            <w:tcW w:w="0" w:type="auto"/>
            <w:tcBorders/>
          </w:tcPr>
          <w:p w14:paraId="8A1961E2">
            <w:pPr>
              <w:pStyle w:val="style4098"/>
              <w:jc w:val="left"/>
              <w:rPr/>
            </w:pPr>
            <w:r>
              <w:t>Web UI 消耗 40% 资源 [^Dim11-1182^]、HA 消耗 25% 资源</w:t>
            </w:r>
          </w:p>
        </w:tc>
        <w:tc>
          <w:tcPr>
            <w:tcW w:w="0" w:type="auto"/>
            <w:tcBorders/>
          </w:tcPr>
          <w:p w14:paraId="DC2A3292">
            <w:pPr>
              <w:pStyle w:val="style4098"/>
              <w:jc w:val="center"/>
              <w:rPr/>
            </w:pPr>
            <w:r>
              <w:t>6–9 个月</w:t>
            </w:r>
          </w:p>
        </w:tc>
      </w:tr>
    </w:tbl>
    <w:p w14:paraId="31B094D9">
      <w:pPr>
        <w:pStyle w:val="style66"/>
        <w:rPr/>
      </w:pPr>
      <w:r>
        <w:t>升级的核心原则是”滚动演进、能力累积”——每一级的技术投资在后续级别中完全复用，不存在推翻重来的情况。L1 的 Incus 集群数据库在 L2 中继续作为实例管理层，L2 的 Kubernetes 控制平面在 L3 中扩展为联邦集群的枢纽。唯一需要关注的风险点是 CNI 切换（L1→L2）期间的网络连续性，建议通过维护窗口和回滚脚本双重保障。</w:t>
      </w:r>
    </w:p>
    <w:bookmarkStart w:id="36" w:name="关键风险与缓解"/>
    <w:bookmarkEnd w:id="35"/>
    <w:p w14:paraId="098FB688">
      <w:pPr>
        <w:pStyle w:val="style4103"/>
        <w:rPr/>
      </w:pPr>
      <w:r>
        <w:t>6.3 关键风险与缓解</w:t>
      </w:r>
    </w:p>
    <w:tbl>
      <w:tblPr>
        <w:tblStyle w:val="style4111"/>
        <w:tblW w:w="5000" w:type="pct"/>
        <w:tblLook w:val="0020" w:firstRow="1" w:lastRow="0" w:firstColumn="0" w:lastColumn="0" w:noHBand="0" w:noVBand="0"/>
      </w:tblPr>
      <w:tblGrid>
        <w:gridCol w:w="523"/>
        <w:gridCol w:w="1949"/>
        <w:gridCol w:w="1001"/>
        <w:gridCol w:w="1943"/>
        <w:gridCol w:w="2504"/>
      </w:tblGrid>
      <w:tr w14:paraId="FD57852F">
        <w:trPr>
          <w:tblHeader/>
        </w:trPr>
        <w:tc>
          <w:tcPr>
            <w:tcW w:w="0" w:type="auto"/>
            <w:tcBorders/>
          </w:tcPr>
          <w:p w14:paraId="614CDA0D">
            <w:pPr>
              <w:pStyle w:val="style4098"/>
              <w:jc w:val="left"/>
              <w:rPr/>
            </w:pPr>
            <w:r>
              <w:t>级别</w:t>
            </w:r>
          </w:p>
        </w:tc>
        <w:tc>
          <w:tcPr>
            <w:tcW w:w="0" w:type="auto"/>
            <w:tcBorders/>
          </w:tcPr>
          <w:p w14:paraId="F5D1AEEF">
            <w:pPr>
              <w:pStyle w:val="style4098"/>
              <w:jc w:val="left"/>
              <w:rPr/>
            </w:pPr>
            <w:r>
              <w:t>主要风险</w:t>
            </w:r>
          </w:p>
        </w:tc>
        <w:tc>
          <w:tcPr>
            <w:tcW w:w="0" w:type="auto"/>
            <w:tcBorders/>
          </w:tcPr>
          <w:p w14:paraId="3782CAA8">
            <w:pPr>
              <w:pStyle w:val="style4098"/>
              <w:jc w:val="left"/>
              <w:rPr/>
            </w:pPr>
            <w:r>
              <w:t>影响范围</w:t>
            </w:r>
          </w:p>
        </w:tc>
        <w:tc>
          <w:tcPr>
            <w:tcW w:w="0" w:type="auto"/>
            <w:tcBorders/>
          </w:tcPr>
          <w:p w14:paraId="C77019AA">
            <w:pPr>
              <w:pStyle w:val="style4098"/>
              <w:jc w:val="left"/>
              <w:rPr/>
            </w:pPr>
            <w:r>
              <w:t>缓解措施</w:t>
            </w:r>
          </w:p>
        </w:tc>
        <w:tc>
          <w:tcPr>
            <w:tcW w:w="0" w:type="auto"/>
            <w:tcBorders/>
          </w:tcPr>
          <w:p w14:paraId="728B618D">
            <w:pPr>
              <w:pStyle w:val="style4098"/>
              <w:jc w:val="left"/>
              <w:rPr/>
            </w:pPr>
            <w:r>
              <w:t>备用方案</w:t>
            </w:r>
          </w:p>
        </w:tc>
      </w:tr>
      <w:tr w14:paraId="8D07F38B">
        <w:tblPrEx/>
        <w:trPr/>
        <w:tc>
          <w:tcPr>
            <w:tcW w:w="0" w:type="auto"/>
            <w:tcBorders/>
          </w:tcPr>
          <w:p w14:paraId="59E10CF7">
            <w:pPr>
              <w:pStyle w:val="style4098"/>
              <w:jc w:val="left"/>
              <w:rPr/>
            </w:pPr>
            <w:r>
              <w:t>L1</w:t>
            </w:r>
          </w:p>
        </w:tc>
        <w:tc>
          <w:tcPr>
            <w:tcW w:w="0" w:type="auto"/>
            <w:tcBorders/>
          </w:tcPr>
          <w:p w14:paraId="99366004">
            <w:pPr>
              <w:pStyle w:val="style4098"/>
              <w:jc w:val="left"/>
              <w:rPr/>
            </w:pPr>
            <w:r>
              <w:t>单节点故障导致全站不可用</w:t>
            </w:r>
          </w:p>
        </w:tc>
        <w:tc>
          <w:tcPr>
            <w:tcW w:w="0" w:type="auto"/>
            <w:tcBorders/>
          </w:tcPr>
          <w:p w14:paraId="667FEC11">
            <w:pPr>
              <w:pStyle w:val="style4098"/>
              <w:jc w:val="left"/>
              <w:rPr/>
            </w:pPr>
            <w:r>
              <w:t>可用性</w:t>
            </w:r>
          </w:p>
        </w:tc>
        <w:tc>
          <w:tcPr>
            <w:tcW w:w="0" w:type="auto"/>
            <w:tcBorders/>
          </w:tcPr>
          <w:p w14:paraId="56F95F49">
            <w:pPr>
              <w:pStyle w:val="style4098"/>
              <w:jc w:val="left"/>
              <w:rPr/>
            </w:pPr>
            <w:r>
              <w:t>定期快照备份至外部存储</w:t>
            </w:r>
          </w:p>
        </w:tc>
        <w:tc>
          <w:tcPr>
            <w:tcW w:w="0" w:type="auto"/>
            <w:tcBorders/>
          </w:tcPr>
          <w:p w14:paraId="C915A510">
            <w:pPr>
              <w:pStyle w:val="style4098"/>
              <w:jc w:val="left"/>
              <w:rPr/>
            </w:pPr>
            <w:r>
              <w:t>快速重建脚本（&lt;30 分钟恢复）</w:t>
            </w:r>
          </w:p>
        </w:tc>
      </w:tr>
      <w:tr w14:paraId="F158C35F">
        <w:tblPrEx/>
        <w:trPr/>
        <w:tc>
          <w:tcPr>
            <w:tcW w:w="0" w:type="auto"/>
            <w:tcBorders/>
          </w:tcPr>
          <w:p w14:paraId="CFFC618D">
            <w:pPr>
              <w:pStyle w:val="style4098"/>
              <w:jc w:val="left"/>
              <w:rPr/>
            </w:pPr>
            <w:r>
              <w:t>L1</w:t>
            </w:r>
          </w:p>
        </w:tc>
        <w:tc>
          <w:tcPr>
            <w:tcW w:w="0" w:type="auto"/>
            <w:tcBorders/>
          </w:tcPr>
          <w:p w14:paraId="A07F59D6">
            <w:pPr>
              <w:pStyle w:val="style4098"/>
              <w:jc w:val="left"/>
              <w:rPr/>
            </w:pPr>
            <w:r>
              <w:t>Incus 社区支持有限</w:t>
            </w:r>
          </w:p>
        </w:tc>
        <w:tc>
          <w:tcPr>
            <w:tcW w:w="0" w:type="auto"/>
            <w:tcBorders/>
          </w:tcPr>
          <w:p w14:paraId="F0928C03">
            <w:pPr>
              <w:pStyle w:val="style4098"/>
              <w:jc w:val="left"/>
              <w:rPr/>
            </w:pPr>
            <w:r>
              <w:t>长期维护</w:t>
            </w:r>
          </w:p>
        </w:tc>
        <w:tc>
          <w:tcPr>
            <w:tcW w:w="0" w:type="auto"/>
            <w:tcBorders/>
          </w:tcPr>
          <w:p w14:paraId="7E3B529D">
            <w:pPr>
              <w:pStyle w:val="style4098"/>
              <w:jc w:val="left"/>
              <w:rPr/>
            </w:pPr>
            <w:r>
              <w:t>积极参与社区贡献，建立内部维护能力</w:t>
            </w:r>
          </w:p>
        </w:tc>
        <w:tc>
          <w:tcPr>
            <w:tcW w:w="0" w:type="auto"/>
            <w:tcBorders/>
          </w:tcPr>
          <w:p w14:paraId="66A7DFDE">
            <w:pPr>
              <w:pStyle w:val="style4098"/>
              <w:jc w:val="left"/>
              <w:rPr/>
            </w:pPr>
            <w:r>
              <w:t>保留 LXD 兼容层作为退路</w:t>
            </w:r>
          </w:p>
        </w:tc>
      </w:tr>
      <w:tr w14:paraId="C190C190">
        <w:tblPrEx/>
        <w:trPr/>
        <w:tc>
          <w:tcPr>
            <w:tcW w:w="0" w:type="auto"/>
            <w:tcBorders/>
          </w:tcPr>
          <w:p w14:paraId="607B3E7A">
            <w:pPr>
              <w:pStyle w:val="style4098"/>
              <w:jc w:val="left"/>
              <w:rPr/>
            </w:pPr>
            <w:r>
              <w:t>L2</w:t>
            </w:r>
          </w:p>
        </w:tc>
        <w:tc>
          <w:tcPr>
            <w:tcW w:w="0" w:type="auto"/>
            <w:tcBorders/>
          </w:tcPr>
          <w:p w14:paraId="21897293">
            <w:pPr>
              <w:pStyle w:val="style4098"/>
              <w:jc w:val="left"/>
              <w:rPr/>
            </w:pPr>
            <w:r>
              <w:t>CNI 切换网络中断</w:t>
            </w:r>
          </w:p>
        </w:tc>
        <w:tc>
          <w:tcPr>
            <w:tcW w:w="0" w:type="auto"/>
            <w:tcBorders/>
          </w:tcPr>
          <w:p w14:paraId="3456D580">
            <w:pPr>
              <w:pStyle w:val="style4098"/>
              <w:jc w:val="left"/>
              <w:rPr/>
            </w:pPr>
            <w:r>
              <w:t>服务连续性</w:t>
            </w:r>
          </w:p>
        </w:tc>
        <w:tc>
          <w:tcPr>
            <w:tcW w:w="0" w:type="auto"/>
            <w:tcBorders/>
          </w:tcPr>
          <w:p w14:paraId="BB7D00FA">
            <w:pPr>
              <w:pStyle w:val="style4098"/>
              <w:jc w:val="left"/>
              <w:rPr/>
            </w:pPr>
            <w:r>
              <w:t>维护窗口执行，新旧 CNI 并行运行 1–2 周期</w:t>
            </w:r>
          </w:p>
        </w:tc>
        <w:tc>
          <w:tcPr>
            <w:tcW w:w="0" w:type="auto"/>
            <w:tcBorders/>
          </w:tcPr>
          <w:p w14:paraId="295DBF5C">
            <w:pPr>
              <w:pStyle w:val="style4098"/>
              <w:jc w:val="left"/>
              <w:rPr/>
            </w:pPr>
            <w:r>
              <w:t>保留旧 CNI 配置 7 天，一键回滚</w:t>
            </w:r>
          </w:p>
        </w:tc>
      </w:tr>
      <w:tr w14:paraId="4D884E3A">
        <w:tblPrEx/>
        <w:trPr/>
        <w:tc>
          <w:tcPr>
            <w:tcW w:w="0" w:type="auto"/>
            <w:tcBorders/>
          </w:tcPr>
          <w:p w14:paraId="33D9F571">
            <w:pPr>
              <w:pStyle w:val="style4098"/>
              <w:jc w:val="left"/>
              <w:rPr/>
            </w:pPr>
            <w:r>
              <w:t>L2</w:t>
            </w:r>
          </w:p>
        </w:tc>
        <w:tc>
          <w:tcPr>
            <w:tcW w:w="0" w:type="auto"/>
            <w:tcBorders/>
          </w:tcPr>
          <w:p w14:paraId="A9A6BF8E">
            <w:pPr>
              <w:pStyle w:val="style4098"/>
              <w:jc w:val="left"/>
              <w:rPr/>
            </w:pPr>
            <w:r>
              <w:t>Ceph 运维复杂度高</w:t>
            </w:r>
          </w:p>
        </w:tc>
        <w:tc>
          <w:tcPr>
            <w:tcW w:w="0" w:type="auto"/>
            <w:tcBorders/>
          </w:tcPr>
          <w:p w14:paraId="5843A261">
            <w:pPr>
              <w:pStyle w:val="style4098"/>
              <w:jc w:val="left"/>
              <w:rPr/>
            </w:pPr>
            <w:r>
              <w:t>存储可靠性</w:t>
            </w:r>
          </w:p>
        </w:tc>
        <w:tc>
          <w:tcPr>
            <w:tcW w:w="0" w:type="auto"/>
            <w:tcBorders/>
          </w:tcPr>
          <w:p w14:paraId="96B8C731">
            <w:pPr>
              <w:pStyle w:val="style4098"/>
              <w:jc w:val="left"/>
              <w:rPr/>
            </w:pPr>
            <w:r>
              <w:t>Rook Operator 自动化运维 + 监控告警</w:t>
            </w:r>
          </w:p>
        </w:tc>
        <w:tc>
          <w:tcPr>
            <w:tcW w:w="0" w:type="auto"/>
            <w:tcBorders/>
          </w:tcPr>
          <w:p w14:paraId="0FDA0AC5">
            <w:pPr>
              <w:pStyle w:val="style4098"/>
              <w:jc w:val="left"/>
              <w:rPr/>
            </w:pPr>
            <w:r>
              <w:t>Longhorn 替代（简化运维，牺牲部分性能）[^Dim08-211^]</w:t>
            </w:r>
          </w:p>
        </w:tc>
      </w:tr>
      <w:tr w14:paraId="7E83B0EC">
        <w:tblPrEx/>
        <w:trPr/>
        <w:tc>
          <w:tcPr>
            <w:tcW w:w="0" w:type="auto"/>
            <w:tcBorders/>
          </w:tcPr>
          <w:p w14:paraId="1599729D">
            <w:pPr>
              <w:pStyle w:val="style4098"/>
              <w:jc w:val="left"/>
              <w:rPr/>
            </w:pPr>
            <w:r>
              <w:t>L2</w:t>
            </w:r>
          </w:p>
        </w:tc>
        <w:tc>
          <w:tcPr>
            <w:tcW w:w="0" w:type="auto"/>
            <w:tcBorders/>
          </w:tcPr>
          <w:p w14:paraId="A5EA34D5">
            <w:pPr>
              <w:pStyle w:val="style4098"/>
              <w:jc w:val="left"/>
              <w:rPr/>
            </w:pPr>
            <w:r>
              <w:t>CubeSandbox 生态早期</w:t>
            </w:r>
          </w:p>
        </w:tc>
        <w:tc>
          <w:tcPr>
            <w:tcW w:w="0" w:type="auto"/>
            <w:tcBorders/>
          </w:tcPr>
          <w:p w14:paraId="4D68A86F">
            <w:pPr>
              <w:pStyle w:val="style4098"/>
              <w:jc w:val="left"/>
              <w:rPr/>
            </w:pPr>
            <w:r>
              <w:t>运行时功能</w:t>
            </w:r>
          </w:p>
        </w:tc>
        <w:tc>
          <w:tcPr>
            <w:tcW w:w="0" w:type="auto"/>
            <w:tcBorders/>
          </w:tcPr>
          <w:p w14:paraId="05E548BC">
            <w:pPr>
              <w:pStyle w:val="style4098"/>
              <w:jc w:val="left"/>
              <w:rPr/>
            </w:pPr>
            <w:r>
              <w:t>Kata Cloud HV 作为后备运行时</w:t>
            </w:r>
          </w:p>
        </w:tc>
        <w:tc>
          <w:tcPr>
            <w:tcW w:w="0" w:type="auto"/>
            <w:tcBorders/>
          </w:tcPr>
          <w:p w14:paraId="91B67245">
            <w:pPr>
              <w:pStyle w:val="style4098"/>
              <w:jc w:val="left"/>
              <w:rPr/>
            </w:pPr>
            <w:r>
              <w:t>全面切换到 Kata，牺牲 &lt;60ms 启动速度</w:t>
            </w:r>
          </w:p>
        </w:tc>
      </w:tr>
      <w:tr w14:paraId="8D5646AE">
        <w:tblPrEx/>
        <w:trPr/>
        <w:tc>
          <w:tcPr>
            <w:tcW w:w="0" w:type="auto"/>
            <w:tcBorders/>
          </w:tcPr>
          <w:p w14:paraId="6261E632">
            <w:pPr>
              <w:pStyle w:val="style4098"/>
              <w:jc w:val="left"/>
              <w:rPr/>
            </w:pPr>
            <w:r>
              <w:t>L3</w:t>
            </w:r>
          </w:p>
        </w:tc>
        <w:tc>
          <w:tcPr>
            <w:tcW w:w="0" w:type="auto"/>
            <w:tcBorders/>
          </w:tcPr>
          <w:p w14:paraId="24096670">
            <w:pPr>
              <w:pStyle w:val="style4098"/>
              <w:jc w:val="left"/>
              <w:rPr/>
            </w:pPr>
            <w:r>
              <w:t>Web UI 开发消耗资源过大</w:t>
            </w:r>
          </w:p>
        </w:tc>
        <w:tc>
          <w:tcPr>
            <w:tcW w:w="0" w:type="auto"/>
            <w:tcBorders/>
          </w:tcPr>
          <w:p w14:paraId="A43E0236">
            <w:pPr>
              <w:pStyle w:val="style4098"/>
              <w:jc w:val="left"/>
              <w:rPr/>
            </w:pPr>
            <w:r>
              <w:t>工期延迟</w:t>
            </w:r>
          </w:p>
        </w:tc>
        <w:tc>
          <w:tcPr>
            <w:tcW w:w="0" w:type="auto"/>
            <w:tcBorders/>
          </w:tcPr>
          <w:p w14:paraId="ECBF3CB9">
            <w:pPr>
              <w:pStyle w:val="style4098"/>
              <w:jc w:val="left"/>
              <w:rPr/>
            </w:pPr>
            <w:r>
              <w:t>优先核心功能（仪表盘/实例/控制台），采用敏捷迭代</w:t>
            </w:r>
          </w:p>
        </w:tc>
        <w:tc>
          <w:tcPr>
            <w:tcW w:w="0" w:type="auto"/>
            <w:tcBorders/>
          </w:tcPr>
          <w:p w14:paraId="58AD50DB">
            <w:pPr>
              <w:pStyle w:val="style4098"/>
              <w:jc w:val="left"/>
              <w:rPr/>
            </w:pPr>
            <w:r>
              <w:t>引入开源 Dashboard 框架（如 KubeSphere）二次开发</w:t>
            </w:r>
          </w:p>
        </w:tc>
      </w:tr>
      <w:tr w14:paraId="B456D6A7">
        <w:tblPrEx/>
        <w:trPr/>
        <w:tc>
          <w:tcPr>
            <w:tcW w:w="0" w:type="auto"/>
            <w:tcBorders/>
          </w:tcPr>
          <w:p w14:paraId="C281A67D">
            <w:pPr>
              <w:pStyle w:val="style4098"/>
              <w:jc w:val="left"/>
              <w:rPr/>
            </w:pPr>
            <w:r>
              <w:t>L3</w:t>
            </w:r>
          </w:p>
        </w:tc>
        <w:tc>
          <w:tcPr>
            <w:tcW w:w="0" w:type="auto"/>
            <w:tcBorders/>
          </w:tcPr>
          <w:p w14:paraId="8DD45990">
            <w:pPr>
              <w:pStyle w:val="style4098"/>
              <w:jc w:val="left"/>
              <w:rPr/>
            </w:pPr>
            <w:r>
              <w:t>HA 脑裂风险</w:t>
            </w:r>
          </w:p>
        </w:tc>
        <w:tc>
          <w:tcPr>
            <w:tcW w:w="0" w:type="auto"/>
            <w:tcBorders/>
          </w:tcPr>
          <w:p w14:paraId="B76C365B">
            <w:pPr>
              <w:pStyle w:val="style4098"/>
              <w:jc w:val="left"/>
              <w:rPr/>
            </w:pPr>
            <w:r>
              <w:t>数据一致性</w:t>
            </w:r>
          </w:p>
        </w:tc>
        <w:tc>
          <w:tcPr>
            <w:tcW w:w="0" w:type="auto"/>
            <w:tcBorders/>
          </w:tcPr>
          <w:p w14:paraId="B2C10035">
            <w:pPr>
              <w:pStyle w:val="style4098"/>
              <w:jc w:val="left"/>
              <w:rPr/>
            </w:pPr>
            <w:r>
              <w:t>Raft 仲裁 + STONITH 四层防护 [^Dim12-517^]</w:t>
            </w:r>
          </w:p>
        </w:tc>
        <w:tc>
          <w:tcPr>
            <w:tcW w:w="0" w:type="auto"/>
            <w:tcBorders/>
          </w:tcPr>
          <w:p w14:paraId="462EEBC3">
            <w:pPr>
              <w:pStyle w:val="style4098"/>
              <w:jc w:val="left"/>
              <w:rPr/>
            </w:pPr>
            <w:r>
              <w:t>降级为手动故障转移</w:t>
            </w:r>
          </w:p>
        </w:tc>
      </w:tr>
      <w:tr w14:paraId="9BCEF751">
        <w:tblPrEx/>
        <w:trPr/>
        <w:tc>
          <w:tcPr>
            <w:tcW w:w="0" w:type="auto"/>
            <w:tcBorders/>
          </w:tcPr>
          <w:p w14:paraId="239DDDDE">
            <w:pPr>
              <w:pStyle w:val="style4098"/>
              <w:jc w:val="left"/>
              <w:rPr/>
            </w:pPr>
            <w:r>
              <w:t>L3</w:t>
            </w:r>
          </w:p>
        </w:tc>
        <w:tc>
          <w:tcPr>
            <w:tcW w:w="0" w:type="auto"/>
            <w:tcBorders/>
          </w:tcPr>
          <w:p w14:paraId="18691C71">
            <w:pPr>
              <w:pStyle w:val="style4098"/>
              <w:jc w:val="left"/>
              <w:rPr/>
            </w:pPr>
            <w:r>
              <w:t>MSHV 生产就绪不确定</w:t>
            </w:r>
          </w:p>
        </w:tc>
        <w:tc>
          <w:tcPr>
            <w:tcW w:w="0" w:type="auto"/>
            <w:tcBorders/>
          </w:tcPr>
          <w:p w14:paraId="846EE408">
            <w:pPr>
              <w:pStyle w:val="style4098"/>
              <w:jc w:val="left"/>
              <w:rPr/>
            </w:pPr>
            <w:r>
              <w:t>Hyper-V 场景</w:t>
            </w:r>
          </w:p>
        </w:tc>
        <w:tc>
          <w:tcPr>
            <w:tcW w:w="0" w:type="auto"/>
            <w:tcBorders/>
          </w:tcPr>
          <w:p w14:paraId="E9572380">
            <w:pPr>
              <w:pStyle w:val="style4098"/>
              <w:jc w:val="left"/>
              <w:rPr/>
            </w:pPr>
            <w:r>
              <w:t>Phase 1–2 使用嵌套虚拟化（15% 开销可接受）</w:t>
            </w:r>
          </w:p>
        </w:tc>
        <w:tc>
          <w:tcPr>
            <w:tcW w:w="0" w:type="auto"/>
            <w:tcBorders/>
          </w:tcPr>
          <w:p w14:paraId="620BB8E5">
            <w:pPr>
              <w:pStyle w:val="style4098"/>
              <w:jc w:val="left"/>
              <w:rPr/>
            </w:pPr>
            <w:r>
              <w:t>持续使用嵌套虚拟化</w:t>
            </w:r>
          </w:p>
        </w:tc>
      </w:tr>
    </w:tbl>
    <w:p w14:paraId="1B3647C8">
      <w:pPr>
        <w:pStyle w:val="style66"/>
        <w:rPr/>
      </w:pPr>
      <w:r>
        <w:t>风险矩阵的整体评估显示，L1→L2 的风险等级为”中”，主要集中在 CNI 切换和 Ceph 运维两个操作环节；L2→L3 的风险等级亦为”中”，主要源于 Web UI 和 HA 两大功能模块的开发复杂度。所有中等风险均有明确的技术缓解策略和备用方案，不会导致架构方向的根本性调整。</w:t>
      </w:r>
    </w:p>
    <w:bookmarkStart w:id="37" w:name="推荐起始点"/>
    <w:bookmarkEnd w:id="36"/>
    <w:p w14:paraId="4D475680">
      <w:pPr>
        <w:pStyle w:val="style4103"/>
        <w:rPr/>
      </w:pPr>
      <w:r>
        <w:t>6.4 推荐起始点</w:t>
      </w:r>
    </w:p>
    <w:p w14:paraId="5A572C1A">
      <w:pPr>
        <w:pStyle w:val="style4097"/>
        <w:rPr/>
      </w:pPr>
      <w:r>
        <w:t>综合投入产出比、技术风险和市场时机三个维度，</w:t>
      </w:r>
      <w:r>
        <w:rPr>
          <w:b/>
          <w:bCs/>
        </w:rPr>
        <w:t>建议绝大多数团队从 L1 基础版开始</w:t>
      </w:r>
      <w:r>
        <w:t>，而非 L0 或 L3。理由如下：</w:t>
      </w:r>
    </w:p>
    <w:p w14:paraId="666FDE9B">
      <w:pPr>
        <w:pStyle w:val="style66"/>
        <w:rPr/>
      </w:pPr>
      <w:r>
        <w:rPr>
          <w:b/>
          <w:bCs/>
        </w:rPr>
        <w:t>投入产出比最优</w:t>
      </w:r>
      <w:r>
        <w:t>。L1 仅需 2 个月和 2–5 人团队即可交付，产出为一套功能完整的容器/VM 虚拟化管理平台（对标 PVE 50% 功能）。L0 虽投入更低，但缺乏生产价值，仅适合个人实验。L3 的投入是 L1 的 6–10 倍（12 个月 / 15–30 人），但功能增量（RBAC、HA、备份）对早期团队并非刚需——L2 已覆盖 AI Agent 和云原生编排两大高价值场景。</w:t>
      </w:r>
    </w:p>
    <w:p w14:paraId="179EB759">
      <w:pPr>
        <w:pStyle w:val="style66"/>
        <w:rPr/>
      </w:pPr>
      <w:r>
        <w:rPr>
          <w:b/>
          <w:bCs/>
        </w:rPr>
        <w:t>技术验证价值</w:t>
      </w:r>
      <w:r>
        <w:t>。L1 阶段的核心目标不是”搭建环境”，而是验证团队对技术栈的掌控力。Incus 集群管理、Kata 运行时调优、containerd Shim 集成等环节均需在真实工作负载下验证。若团队在 L1 阶段发现技术栈不匹配（如 Incus 社区支持不足、Kata 在特定硬件上性能不达标），调整成本远低于 L2/L3 阶段。</w:t>
      </w:r>
    </w:p>
    <w:p w14:paraId="6DD5E184">
      <w:pPr>
        <w:pStyle w:val="style66"/>
        <w:rPr/>
      </w:pPr>
      <w:r>
        <w:rPr>
          <w:b/>
          <w:bCs/>
        </w:rPr>
        <w:t>渐进式扩展的灵活性</w:t>
      </w:r>
      <w:r>
        <w:t>。从 L1 升级到 L2 的工期仅 3–4 个月，且升级过程无需停机（CNI 切换除外）。团队可在 L1 上线后并行收集用户反馈，据此调整 L2 的功能优先级。若市场需求验证不及预期，团队可选择停留在 L1，避免 L2/L3 的沉没成本。</w:t>
      </w:r>
    </w:p>
    <w:p w14:paraId="C80F4DF4">
      <w:pPr>
        <w:pStyle w:val="style66"/>
        <w:rPr/>
      </w:pPr>
      <w:r>
        <w:rPr>
          <w:b/>
          <w:bCs/>
        </w:rPr>
        <w:t>向前展望</w:t>
      </w:r>
      <w:r>
        <w:t>：完成 L1 部署的团队应在 2–4 周内完成核心工作负载的迁移验证，随即启动 L2 升级规划。L2 的 CubeSandbox 极速沙箱和 Kubernetes 编排能力将使平台从”传统虚拟化工具”跃升为”AI Agent 原生平台”，打开 AI 基础设施这一高速增长的市场空间。</w:t>
      </w:r>
    </w:p>
    <w:bookmarkEnd w:id="37"/>
    <w:bookmarkEnd w:id="33"/>
    <w:bookmarkEnd w:id="1"/>
    <w:sectPr>
      <w:pgSz w:w="11906" w:h="16838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00000003" w:usb1="00000000" w:usb2="00000000" w:usb3="00000000" w:csb0="00000001" w:csb1="00000000"/>
  </w:font>
  <w:font w:name="Courier New">
    <w:altName w:val="Courier New"/>
    <w:panose1 w:val="02070309020002020404"/>
    <w:charset w:val="00"/>
    <w:family w:val="auto"/>
    <w:pitch w:val="variable"/>
    <w:sig w:usb0="00000003" w:usb1="00000000" w:usb2="00000000" w:usb3="00000000" w:csb0="00000001" w:csb1="00000000"/>
  </w:font>
  <w:font w:name="Wingdings">
    <w:altName w:val="Wingdings"/>
    <w:panose1 w:val="05020102010008080708"/>
    <w:charset w:val="02"/>
    <w:family w:val="auto"/>
    <w:pitch w:val="variable"/>
    <w:sig w:usb0="00000000" w:usb1="00000000" w:usb2="00010000" w:usb3="00000000" w:csb0="80000000" w:csb1="00000000"/>
  </w:font>
  <w:font w:name="Cambria">
    <w:altName w:val="Cambria"/>
    <w:panose1 w:val="02040503050004030204"/>
    <w:charset w:val="00"/>
    <w:family w:val="auto"/>
    <w:pitch w:val="variable"/>
    <w:sig w:usb0="00000003" w:usb1="00000000" w:usb2="00000000" w:usb3="00000000" w:csb0="00000001" w:csb1="00000000"/>
  </w:font>
  <w:font w:name="Calibri">
    <w:altName w:val="Calibri"/>
    <w:panose1 w:val="020f0502020002030204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footnote w:id="1">
    <w:p w14:paraId="6487E3EA">
      <w:pPr>
        <w:pStyle w:val="style4110"/>
        <w:spacing w:before="0" w:after="0" w:lineRule="exact" w:line="200"/>
        <w:rPr/>
      </w:pPr>
      <w:bookmarkStart w:id="38" w:name="_Ref_Footnote_1"/>
      <w:r>
        <w:rPr>
          <w:rStyle w:val="style4122"/>
          <w:vertAlign w:val="superscript"/>
        </w:rPr>
        <w:footnoteRef/>
      </w:r>
      <w:r>
        <w:rPr>
          <w:sz w:val="18"/>
          <w:szCs w:val="18"/>
        </w:rPr>
        <w:t xml:space="preserve"> Github. https://github.com/MottainaiCI/simplestreams-builder</w:t>
      </w:r>
      <w:bookmarkEnd w:id="38"/>
    </w:p>
    <w:bookmarkStart w:id="39" w:name="_Ref_Footnote_2"/>
  </w:footnote>
  <w:footnote w:id="2">
    <w:p w14:paraId="6626752B">
      <w:pPr>
        <w:pStyle w:val="style4110"/>
        <w:spacing w:before="0" w:after="0" w:lineRule="exact" w:line="200"/>
        <w:rPr/>
      </w:pPr>
      <w:r>
        <w:rPr>
          <w:rStyle w:val="style4122"/>
          <w:vertAlign w:val="superscript"/>
        </w:rPr>
        <w:footnoteRef/>
      </w:r>
      <w:r>
        <w:rPr>
          <w:sz w:val="18"/>
          <w:szCs w:val="18"/>
        </w:rPr>
        <w:t xml:space="preserve"> CSDN博客. https://blog.csdn.net/gitblog_00161/article/details/150916282</w:t>
      </w:r>
      <w:bookmarkEnd w:id="39"/>
    </w:p>
    <w:bookmarkStart w:id="40" w:name="_Ref_Footnote_3"/>
  </w:footnote>
  <w:footnote w:id="3">
    <w:p w14:paraId="D7BF13EE">
      <w:pPr>
        <w:pStyle w:val="style4110"/>
        <w:spacing w:before="0" w:after="0" w:lineRule="exact" w:line="200"/>
        <w:rPr/>
      </w:pPr>
      <w:r>
        <w:rPr>
          <w:rStyle w:val="style4122"/>
          <w:vertAlign w:val="superscript"/>
        </w:rPr>
        <w:footnoteRef/>
      </w:r>
      <w:r>
        <w:rPr>
          <w:sz w:val="18"/>
          <w:szCs w:val="18"/>
        </w:rPr>
        <w:t xml:space="preserve"> 博客园. https://www.cnblogs.com/rincloud/p/17336615.html</w:t>
      </w:r>
      <w:bookmarkEnd w:id="40"/>
    </w:p>
    <w:bookmarkStart w:id="41" w:name="_Ref_Footnote_4"/>
  </w:footnote>
  <w:footnote w:id="4">
    <w:p w14:paraId="7CF6DE7C">
      <w:pPr>
        <w:pStyle w:val="style4110"/>
        <w:spacing w:before="0" w:after="0" w:lineRule="exact" w:line="200"/>
        <w:rPr/>
      </w:pPr>
      <w:r>
        <w:rPr>
          <w:rStyle w:val="style4122"/>
          <w:vertAlign w:val="superscript"/>
        </w:rPr>
        <w:footnoteRef/>
      </w:r>
      <w:r>
        <w:rPr>
          <w:sz w:val="18"/>
          <w:szCs w:val="18"/>
        </w:rPr>
        <w:t xml:space="preserve"> Support Tools. https://support.tools/kubevirt-vm-in-my-pod/</w:t>
      </w:r>
      <w:bookmarkEnd w:id="41"/>
    </w:p>
    <w:bookmarkStart w:id="42" w:name="_Ref_Footnote_5"/>
  </w:footnote>
  <w:footnote w:id="5">
    <w:p w14:paraId="33898147">
      <w:pPr>
        <w:pStyle w:val="style4110"/>
        <w:spacing w:before="0" w:after="0" w:lineRule="exact" w:line="200"/>
        <w:rPr/>
      </w:pPr>
      <w:r>
        <w:rPr>
          <w:rStyle w:val="style4122"/>
          <w:vertAlign w:val="superscript"/>
        </w:rPr>
        <w:footnoteRef/>
      </w:r>
      <w:r>
        <w:rPr>
          <w:sz w:val="18"/>
          <w:szCs w:val="18"/>
        </w:rPr>
        <w:t xml:space="preserve"> End Machine Learning Workflows with Kubeflow. https://kubezilla.io/cilium-service-mesh-unleash-sidecar-less-power/</w:t>
      </w:r>
      <w:bookmarkEnd w:id="42"/>
    </w:p>
    <w:bookmarkStart w:id="43" w:name="_Ref_Footnote_6"/>
  </w:footnote>
  <w:footnote w:id="6">
    <w:p w14:paraId="67BD5592">
      <w:pPr>
        <w:pStyle w:val="style4110"/>
        <w:spacing w:before="0" w:after="0" w:lineRule="exact" w:line="200"/>
        <w:rPr/>
      </w:pPr>
      <w:r>
        <w:rPr>
          <w:rStyle w:val="style4122"/>
          <w:vertAlign w:val="superscript"/>
        </w:rPr>
        <w:footnoteRef/>
      </w:r>
      <w:r>
        <w:rPr>
          <w:sz w:val="18"/>
          <w:szCs w:val="18"/>
        </w:rPr>
        <w:t xml:space="preserve"> 博客园. http://cnblogs.com/Thenext/p/18835358</w:t>
      </w:r>
      <w:bookmarkEnd w:id="43"/>
    </w:p>
    <w:bookmarkStart w:id="44" w:name="_Ref_Footnote_7"/>
  </w:footnote>
  <w:footnote w:id="7">
    <w:p w14:paraId="DECF75F1">
      <w:pPr>
        <w:pStyle w:val="style4110"/>
        <w:spacing w:before="0" w:after="0" w:lineRule="exact" w:line="200"/>
        <w:rPr/>
      </w:pPr>
      <w:r>
        <w:rPr>
          <w:rStyle w:val="style4122"/>
          <w:vertAlign w:val="superscript"/>
        </w:rPr>
        <w:footnoteRef/>
      </w:r>
      <w:r>
        <w:rPr>
          <w:sz w:val="18"/>
          <w:szCs w:val="18"/>
        </w:rPr>
        <w:t xml:space="preserve"> oneuptime.com. https://oneuptime.com/blog/post/2026-03-02-configure-incus-storage-pools-ubuntu/view</w:t>
      </w:r>
      <w:bookmarkEnd w:id="44"/>
    </w:p>
    <w:bookmarkStart w:id="45" w:name="_Ref_Footnote_8"/>
  </w:footnote>
  <w:footnote w:id="8">
    <w:p w14:paraId="8FCC3A16">
      <w:pPr>
        <w:pStyle w:val="style4110"/>
        <w:spacing w:before="0" w:after="0" w:lineRule="exact" w:line="200"/>
        <w:rPr/>
      </w:pPr>
      <w:r>
        <w:rPr>
          <w:rStyle w:val="style4122"/>
          <w:vertAlign w:val="superscript"/>
        </w:rPr>
        <w:footnoteRef/>
      </w:r>
      <w:r>
        <w:rPr>
          <w:sz w:val="18"/>
          <w:szCs w:val="18"/>
        </w:rPr>
        <w:t xml:space="preserve"> Dev Genius. https://blog.devgenius.io/understanding-the-proxmox-architecture-from-esxi-to-proxmox-ve-8-4-0d41d300365a</w:t>
      </w:r>
      <w:bookmarkEnd w:id="45"/>
    </w:p>
    <w:bookmarkStart w:id="46" w:name="_Ref_Footnote_9"/>
  </w:footnote>
  <w:footnote w:id="9">
    <w:p w14:paraId="F947D78E">
      <w:pPr>
        <w:pStyle w:val="style4110"/>
        <w:spacing w:before="0" w:after="0" w:lineRule="exact" w:line="200"/>
        <w:rPr/>
      </w:pPr>
      <w:r>
        <w:rPr>
          <w:rStyle w:val="style4122"/>
          <w:vertAlign w:val="superscript"/>
        </w:rPr>
        <w:footnoteRef/>
      </w:r>
      <w:r>
        <w:rPr>
          <w:sz w:val="18"/>
          <w:szCs w:val="18"/>
        </w:rPr>
        <w:t xml:space="preserve"> Viprasol Tech. https://viprasol.com/blog/saas-api-versioning/</w:t>
      </w:r>
      <w:bookmarkEnd w:id="46"/>
    </w:p>
    <w:bookmarkStart w:id="47" w:name="_Ref_Footnote_10"/>
  </w:footnote>
  <w:footnote w:id="10">
    <w:p w14:paraId="12274157">
      <w:pPr>
        <w:pStyle w:val="style4110"/>
        <w:spacing w:before="0" w:after="0" w:lineRule="exact" w:line="200"/>
        <w:rPr/>
      </w:pPr>
      <w:r>
        <w:rPr>
          <w:rStyle w:val="style4122"/>
          <w:vertAlign w:val="superscript"/>
        </w:rPr>
        <w:footnoteRef/>
      </w:r>
      <w:r>
        <w:rPr>
          <w:sz w:val="18"/>
          <w:szCs w:val="18"/>
        </w:rPr>
        <w:t xml:space="preserve"> ricardof.dev. https://blog.ricardof.dev/sharing-mount-unprivileged-lxc-proxmox</w:t>
      </w:r>
      <w:bookmarkEnd w:id="47"/>
    </w:p>
    <w:bookmarkStart w:id="48" w:name="_Ref_Footnote_11"/>
  </w:footnote>
  <w:footnote w:id="11">
    <w:p w14:paraId="A0A71CF8">
      <w:pPr>
        <w:pStyle w:val="style4110"/>
        <w:spacing w:before="0" w:after="0" w:lineRule="exact" w:line="200"/>
        <w:rPr/>
      </w:pPr>
      <w:r>
        <w:rPr>
          <w:rStyle w:val="style4122"/>
          <w:vertAlign w:val="superscript"/>
        </w:rPr>
        <w:footnoteRef/>
      </w:r>
      <w:r>
        <w:rPr>
          <w:sz w:val="18"/>
          <w:szCs w:val="18"/>
        </w:rPr>
        <w:t xml:space="preserve"> sched.com. https://static.sched.com/hosted_files/kccncchina2018english/3a/KubeCon Shanghai China 2018 - Final.pdf</w:t>
      </w:r>
      <w:bookmarkEnd w:id="48"/>
    </w:p>
    <w:bookmarkStart w:id="49" w:name="_Ref_Footnote_12"/>
  </w:footnote>
  <w:footnote w:id="12">
    <w:p w14:paraId="F99B6366">
      <w:pPr>
        <w:pStyle w:val="style4110"/>
        <w:spacing w:before="0" w:after="0" w:lineRule="exact" w:line="200"/>
        <w:rPr/>
      </w:pPr>
      <w:r>
        <w:rPr>
          <w:rStyle w:val="style4122"/>
          <w:vertAlign w:val="superscript"/>
        </w:rPr>
        <w:footnoteRef/>
      </w:r>
      <w:r>
        <w:rPr>
          <w:sz w:val="18"/>
          <w:szCs w:val="18"/>
        </w:rPr>
        <w:t xml:space="preserve"> Bing. https://www.bing.com/ck/a?!=&amp;fclid=2cf57ea8-6ab4-6318-0a54-6b526b5e62ba&amp;hsh=4&amp;ntb=1&amp;p=2828c35afe28618ae1a9b8f3831d3846b6f862cb00a252da19c00c3b7a9d034fJmltdHM9MTc0ODMwNDAwMA&amp;ptn=3&amp;u=a1aHR0cHM6Ly9kZXYudG8vbWFnZXNod2FyYW5zZWthci9leHBsb3JpbmctdGhlLWNuY2YtbGFuZHNjYXBlLWEtY29tcHJlaGVuc2l2ZS1vdmVydmlldy1vZi1jbG91ZC1uYXRpdmUtdGVjaG5vbG9naWVzLTJlNmc&amp;ver=2</w:t>
      </w:r>
      <w:bookmarkEnd w:id="49"/>
    </w:p>
    <w:bookmarkStart w:id="50" w:name="_Ref_Footnote_13"/>
  </w:footnote>
  <w:footnote w:id="13">
    <w:p w14:paraId="ACEDA1E2">
      <w:pPr>
        <w:pStyle w:val="style4110"/>
        <w:spacing w:before="0" w:after="0" w:lineRule="exact" w:line="200"/>
        <w:rPr/>
      </w:pPr>
      <w:r>
        <w:rPr>
          <w:rStyle w:val="style4122"/>
          <w:vertAlign w:val="superscript"/>
        </w:rPr>
        <w:footnoteRef/>
      </w:r>
      <w:r>
        <w:rPr>
          <w:sz w:val="18"/>
          <w:szCs w:val="18"/>
        </w:rPr>
        <w:t xml:space="preserve"> CSDN博客. https://blog.csdn.net/weixin_26850469/article/details/157494684</w:t>
      </w:r>
      <w:bookmarkEnd w:id="50"/>
    </w:p>
    <w:bookmarkStart w:id="51" w:name="_Ref_Footnote_14"/>
  </w:footnote>
  <w:footnote w:id="14">
    <w:p w14:paraId="4C254994">
      <w:pPr>
        <w:pStyle w:val="style4110"/>
        <w:spacing w:before="0" w:after="0" w:lineRule="exact" w:line="200"/>
        <w:rPr/>
      </w:pPr>
      <w:r>
        <w:rPr>
          <w:rStyle w:val="style4122"/>
          <w:vertAlign w:val="superscript"/>
        </w:rPr>
        <w:footnoteRef/>
      </w:r>
      <w:r>
        <w:rPr>
          <w:sz w:val="18"/>
          <w:szCs w:val="18"/>
        </w:rPr>
        <w:t xml:space="preserve"> Linux Containers. https://linuxcontainers.org/incus/docs/main/database/</w:t>
      </w:r>
      <w:bookmarkEnd w:id="51"/>
    </w:p>
    <w:bookmarkStart w:id="52" w:name="_Ref_Footnote_15"/>
  </w:footnote>
  <w:footnote w:id="15">
    <w:p w14:paraId="9E73EC77">
      <w:pPr>
        <w:pStyle w:val="style4110"/>
        <w:spacing w:before="0" w:after="0" w:lineRule="exact" w:line="200"/>
        <w:rPr/>
      </w:pPr>
      <w:r>
        <w:rPr>
          <w:rStyle w:val="style4122"/>
          <w:vertAlign w:val="superscript"/>
        </w:rPr>
        <w:footnoteRef/>
      </w:r>
      <w:r>
        <w:rPr>
          <w:sz w:val="18"/>
          <w:szCs w:val="18"/>
        </w:rPr>
        <w:t xml:space="preserve"> Github. https://github.com/kubernetes-csi/external-snapshotter</w:t>
      </w:r>
      <w:bookmarkEnd w:id="52"/>
    </w:p>
    <w:bookmarkStart w:id="53" w:name="_Ref_Footnote_16"/>
  </w:footnote>
  <w:footnote w:id="16">
    <w:p w14:paraId="4030DB03">
      <w:pPr>
        <w:pStyle w:val="style4110"/>
        <w:spacing w:before="0" w:after="0" w:lineRule="exact" w:line="200"/>
        <w:rPr/>
      </w:pPr>
      <w:r>
        <w:rPr>
          <w:rStyle w:val="style4122"/>
          <w:vertAlign w:val="superscript"/>
        </w:rPr>
        <w:footnoteRef/>
      </w:r>
      <w:r>
        <w:rPr>
          <w:sz w:val="18"/>
          <w:szCs w:val="18"/>
        </w:rPr>
        <w:t xml:space="preserve"> AccuKnox. https://accuknox.com/solutions/microsegmentation</w:t>
      </w:r>
      <w:bookmarkEnd w:id="53"/>
    </w:p>
    <w:bookmarkStart w:id="54" w:name="_Ref_Footnote_17"/>
  </w:footnote>
  <w:footnote w:id="17">
    <w:p w14:paraId="68AB72FC">
      <w:pPr>
        <w:pStyle w:val="style4110"/>
        <w:spacing w:before="0" w:after="0" w:lineRule="exact" w:line="200"/>
        <w:rPr/>
      </w:pPr>
      <w:r>
        <w:rPr>
          <w:rStyle w:val="style4122"/>
          <w:vertAlign w:val="superscript"/>
        </w:rPr>
        <w:footnoteRef/>
      </w:r>
      <w:r>
        <w:rPr>
          <w:sz w:val="18"/>
          <w:szCs w:val="18"/>
        </w:rPr>
        <w:t xml:space="preserve"> simplyblock. https://simplyblock.io/glossary/spdk-for-nvme-over-fabrics/</w:t>
      </w:r>
      <w:bookmarkEnd w:id="54"/>
    </w:p>
    <w:bookmarkStart w:id="55" w:name="_Ref_Footnote_18"/>
  </w:footnote>
  <w:footnote w:id="18">
    <w:p w14:paraId="BCF4EB5A">
      <w:pPr>
        <w:pStyle w:val="style4110"/>
        <w:spacing w:before="0" w:after="0" w:lineRule="exact" w:line="200"/>
        <w:rPr/>
      </w:pPr>
      <w:r>
        <w:rPr>
          <w:rStyle w:val="style4122"/>
          <w:vertAlign w:val="superscript"/>
        </w:rPr>
        <w:footnoteRef/>
      </w:r>
      <w:r>
        <w:rPr>
          <w:sz w:val="18"/>
          <w:szCs w:val="18"/>
        </w:rPr>
        <w:t xml:space="preserve"> ubuntu.com. https://documentation.ubuntu.com/lxd/latest/reference/network_ovn/</w:t>
      </w:r>
      <w:bookmarkEnd w:id="55"/>
    </w:p>
    <w:bookmarkStart w:id="56" w:name="_Ref_Footnote_19"/>
  </w:footnote>
  <w:footnote w:id="19">
    <w:p w14:paraId="4F6C7517">
      <w:pPr>
        <w:pStyle w:val="style4110"/>
        <w:spacing w:before="0" w:after="0" w:lineRule="exact" w:line="200"/>
        <w:rPr/>
      </w:pPr>
      <w:r>
        <w:rPr>
          <w:rStyle w:val="style4122"/>
          <w:vertAlign w:val="superscript"/>
        </w:rPr>
        <w:footnoteRef/>
      </w:r>
      <w:r>
        <w:rPr>
          <w:sz w:val="18"/>
          <w:szCs w:val="18"/>
        </w:rPr>
        <w:t xml:space="preserve"> arXiv.org. https://arxiv.org/html/2508.20962v2</w:t>
      </w:r>
      <w:bookmarkEnd w:id="56"/>
    </w:p>
    <w:bookmarkStart w:id="57" w:name="_Ref_Footnote_20"/>
  </w:footnote>
  <w:footnote w:id="20">
    <w:p w14:paraId="8298C6A7">
      <w:pPr>
        <w:pStyle w:val="style4110"/>
        <w:spacing w:before="0" w:after="0" w:lineRule="exact" w:line="200"/>
        <w:rPr/>
      </w:pPr>
      <w:r>
        <w:rPr>
          <w:rStyle w:val="style4122"/>
          <w:vertAlign w:val="superscript"/>
        </w:rPr>
        <w:footnoteRef/>
      </w:r>
      <w:r>
        <w:rPr>
          <w:sz w:val="18"/>
          <w:szCs w:val="18"/>
        </w:rPr>
        <w:t xml:space="preserve"> Open vSwitch. http://www.openvswitch.org/support/slides/OVN-Vancouver.pdf</w:t>
      </w:r>
      <w:bookmarkEnd w:id="57"/>
    </w:p>
    <w:bookmarkStart w:id="58" w:name="_Ref_Footnote_21"/>
  </w:footnote>
  <w:footnote w:id="21">
    <w:p w14:paraId="77398E20">
      <w:pPr>
        <w:pStyle w:val="style4110"/>
        <w:spacing w:before="0" w:after="0" w:lineRule="exact" w:line="200"/>
        <w:rPr/>
      </w:pPr>
      <w:r>
        <w:rPr>
          <w:rStyle w:val="style4122"/>
          <w:vertAlign w:val="superscript"/>
        </w:rPr>
        <w:footnoteRef/>
      </w:r>
      <w:r>
        <w:rPr>
          <w:sz w:val="18"/>
          <w:szCs w:val="18"/>
        </w:rPr>
        <w:t xml:space="preserve"> devleader.ca. https://www.devleader.ca/2026/06/04/api-versioning-in-aspnet-core-url-header-and-query-string-strategies</w:t>
      </w:r>
      <w:bookmarkEnd w:id="58"/>
    </w:p>
    <w:bookmarkStart w:id="59" w:name="_Ref_Footnote_22"/>
  </w:footnote>
  <w:footnote w:id="22">
    <w:p w14:paraId="039B6020">
      <w:pPr>
        <w:pStyle w:val="style4110"/>
        <w:spacing w:before="0" w:after="0" w:lineRule="exact" w:line="200"/>
        <w:rPr/>
      </w:pPr>
      <w:r>
        <w:rPr>
          <w:rStyle w:val="style4122"/>
          <w:vertAlign w:val="superscript"/>
        </w:rPr>
        <w:footnoteRef/>
      </w:r>
      <w:r>
        <w:rPr>
          <w:sz w:val="18"/>
          <w:szCs w:val="18"/>
        </w:rPr>
        <w:t xml:space="preserve"> Nuface Blog. https://www.nuface.tw/building-a-proxmox-cluster-and-high-availability-ha-architecture/</w:t>
      </w:r>
      <w:bookmarkEnd w:id="59"/>
    </w:p>
    <w:bookmarkStart w:id="60" w:name="_Ref_Footnote_23"/>
  </w:footnote>
  <w:footnote w:id="23">
    <w:p w14:paraId="4491CC5E">
      <w:pPr>
        <w:pStyle w:val="style4110"/>
        <w:spacing w:before="0" w:after="0" w:lineRule="exact" w:line="200"/>
        <w:rPr/>
      </w:pPr>
      <w:r>
        <w:rPr>
          <w:rStyle w:val="style4122"/>
          <w:vertAlign w:val="superscript"/>
        </w:rPr>
        <w:footnoteRef/>
      </w:r>
      <w:r>
        <w:rPr>
          <w:sz w:val="18"/>
          <w:szCs w:val="18"/>
        </w:rPr>
        <w:t xml:space="preserve"> cloud-pbs.com. https://cloud-pbs.com/resources/proxmox-backup-2026/</w:t>
      </w:r>
      <w:bookmarkEnd w:id="60"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 "/>
      <w:lvlJc w:val="left"/>
      <w:pPr>
        <w:ind w:left="720" w:hanging="480"/>
      </w:pPr>
    </w:lvl>
    <w:lvl w:ilvl="1">
      <w:start w:val="1"/>
      <w:numFmt w:val="bullet"/>
      <w:lvlText w:val=" "/>
      <w:lvlJc w:val="left"/>
      <w:pPr>
        <w:ind w:left="1440" w:hanging="480"/>
      </w:pPr>
    </w:lvl>
    <w:lvl w:ilvl="2">
      <w:start w:val="1"/>
      <w:numFmt w:val="bullet"/>
      <w:lvlText w:val=" "/>
      <w:lvlJc w:val="left"/>
      <w:pPr>
        <w:ind w:left="2160" w:hanging="480"/>
      </w:pPr>
    </w:lvl>
    <w:lvl w:ilvl="3">
      <w:start w:val="1"/>
      <w:numFmt w:val="bullet"/>
      <w:lvlText w:val=" "/>
      <w:lvlJc w:val="left"/>
      <w:pPr>
        <w:ind w:left="2880" w:hanging="480"/>
      </w:pPr>
    </w:lvl>
    <w:lvl w:ilvl="4">
      <w:start w:val="1"/>
      <w:numFmt w:val="bullet"/>
      <w:lvlText w:val=" "/>
      <w:lvlJc w:val="left"/>
      <w:pPr>
        <w:ind w:left="3600" w:hanging="480"/>
      </w:pPr>
    </w:lvl>
    <w:lvl w:ilvl="5">
      <w:start w:val="1"/>
      <w:numFmt w:val="bullet"/>
      <w:lvlText w:val=" "/>
      <w:lvlJc w:val="left"/>
      <w:pPr>
        <w:ind w:left="4320" w:hanging="480"/>
      </w:pPr>
    </w:lvl>
    <w:lvl w:ilvl="6">
      <w:start w:val="1"/>
      <w:numFmt w:val="bullet"/>
      <w:lvlText w:val=" "/>
      <w:lvlJc w:val="left"/>
      <w:pPr>
        <w:ind w:left="5040" w:hanging="480"/>
      </w:pPr>
    </w:lvl>
    <w:lvl w:ilvl="7">
      <w:start w:val="1"/>
      <w:numFmt w:val="bullet"/>
      <w:lvlText w:val=" "/>
      <w:lvlJc w:val="left"/>
      <w:pPr>
        <w:ind w:left="5760" w:hanging="480"/>
      </w:pPr>
    </w:lvl>
    <w:lvl w:ilvl="8">
      <w:start w:val="1"/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proofState w:spelling="clean" w:grammar="clean"/>
  <w:stylePaneFormatFilter w:val="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1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Cambria" w:hAnsi="Cambria"/>
        <w:sz w:val="24"/>
        <w:szCs w:val="24"/>
        <w:lang w:val="en-US" w:bidi="ar-SA" w:eastAsia="en-US"/>
      </w:rPr>
    </w:rPrDefault>
    <w:pPrDefault>
      <w:pPr>
        <w:spacing w:after="200"/>
      </w:pPr>
    </w:pPrDefault>
  </w:docDefaults>
  <w:style w:type="paragraph" w:default="1" w:styleId="style0">
    <w:name w:val="Normal"/>
    <w:next w:val="style0"/>
    <w:qFormat/>
    <w:pPr/>
  </w:style>
  <w:style w:type="paragraph" w:styleId="style66">
    <w:name w:val="Body Text"/>
    <w:basedOn w:val="style0"/>
    <w:next w:val="style66"/>
    <w:link w:val="style4119"/>
    <w:qFormat/>
    <w:pPr>
      <w:spacing w:before="180" w:after="180"/>
    </w:pPr>
    <w:rPr/>
  </w:style>
  <w:style w:type="paragraph" w:customStyle="1" w:styleId="style4097">
    <w:name w:val="First Paragraph"/>
    <w:basedOn w:val="style66"/>
    <w:next w:val="style66"/>
    <w:qFormat/>
    <w:pPr/>
  </w:style>
  <w:style w:type="paragraph" w:customStyle="1" w:styleId="style4098">
    <w:name w:val="Compact"/>
    <w:basedOn w:val="style66"/>
    <w:next w:val="style4098"/>
    <w:qFormat/>
    <w:pPr>
      <w:spacing w:before="36" w:after="36"/>
    </w:pPr>
    <w:rPr/>
  </w:style>
  <w:style w:type="paragraph" w:styleId="style62">
    <w:name w:val="Title"/>
    <w:basedOn w:val="style0"/>
    <w:next w:val="style66"/>
    <w:qFormat/>
    <w:pPr>
      <w:keepNext/>
      <w:keepLines/>
      <w:spacing w:before="480" w:after="240"/>
      <w:jc w:val="center"/>
    </w:pPr>
    <w:rPr>
      <w:rFonts w:ascii="Calibri" w:cs="宋体" w:eastAsia="宋体" w:hAnsi="Calibri"/>
      <w:b/>
      <w:bCs/>
      <w:color w:val="345a8a"/>
      <w:sz w:val="36"/>
      <w:szCs w:val="36"/>
    </w:rPr>
  </w:style>
  <w:style w:type="paragraph" w:styleId="style74">
    <w:name w:val="Subtitle"/>
    <w:basedOn w:val="style62"/>
    <w:next w:val="style66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style4099">
    <w:name w:val="Author"/>
    <w:next w:val="style66"/>
    <w:qFormat/>
    <w:pPr>
      <w:keepNext/>
      <w:keepLines/>
      <w:jc w:val="center"/>
    </w:pPr>
    <w:rPr/>
  </w:style>
  <w:style w:type="paragraph" w:styleId="style76">
    <w:name w:val="Date"/>
    <w:next w:val="style66"/>
    <w:qFormat/>
    <w:pPr>
      <w:keepNext/>
      <w:keepLines/>
      <w:jc w:val="center"/>
    </w:pPr>
    <w:rPr/>
  </w:style>
  <w:style w:type="paragraph" w:customStyle="1" w:styleId="style4100">
    <w:name w:val="Abstract"/>
    <w:basedOn w:val="style0"/>
    <w:next w:val="style66"/>
    <w:qFormat/>
    <w:pPr>
      <w:keepNext/>
      <w:keepLines/>
      <w:spacing w:before="300" w:after="300"/>
    </w:pPr>
    <w:rPr>
      <w:sz w:val="20"/>
      <w:szCs w:val="20"/>
    </w:rPr>
  </w:style>
  <w:style w:type="paragraph" w:styleId="style265">
    <w:name w:val="Bibliography"/>
    <w:basedOn w:val="style0"/>
    <w:next w:val="style265"/>
    <w:qFormat/>
    <w:pPr/>
  </w:style>
  <w:style w:type="paragraph" w:customStyle="1" w:styleId="style4101">
    <w:name w:val="Heading 1"/>
    <w:basedOn w:val="style0"/>
    <w:next w:val="style66"/>
    <w:qFormat/>
    <w:uiPriority w:val="9"/>
    <w:pPr>
      <w:keepNext/>
      <w:keepLines/>
      <w:spacing w:before="480" w:after="0"/>
      <w:outlineLvl w:val="0"/>
    </w:pPr>
    <w:rPr>
      <w:rFonts w:ascii="Calibri" w:cs="宋体" w:eastAsia="宋体" w:hAnsi="Calibri"/>
      <w:b/>
      <w:bCs/>
      <w:color w:val="4f81bd"/>
      <w:sz w:val="32"/>
      <w:szCs w:val="32"/>
    </w:rPr>
  </w:style>
  <w:style w:type="paragraph" w:customStyle="1" w:styleId="style4102">
    <w:name w:val="Heading 2"/>
    <w:basedOn w:val="style0"/>
    <w:next w:val="style66"/>
    <w:qFormat/>
    <w:uiPriority w:val="9"/>
    <w:pPr>
      <w:keepNext/>
      <w:keepLines/>
      <w:spacing w:before="200" w:after="0"/>
      <w:outlineLvl w:val="1"/>
    </w:pPr>
    <w:rPr>
      <w:rFonts w:ascii="Calibri" w:cs="宋体" w:eastAsia="宋体" w:hAnsi="Calibri"/>
      <w:b/>
      <w:bCs/>
      <w:color w:val="4f81bd"/>
      <w:sz w:val="28"/>
      <w:szCs w:val="28"/>
    </w:rPr>
  </w:style>
  <w:style w:type="paragraph" w:customStyle="1" w:styleId="style4103">
    <w:name w:val="Heading 3"/>
    <w:basedOn w:val="style0"/>
    <w:next w:val="style66"/>
    <w:qFormat/>
    <w:uiPriority w:val="9"/>
    <w:pPr>
      <w:keepNext/>
      <w:keepLines/>
      <w:spacing w:before="200" w:after="0"/>
      <w:outlineLvl w:val="2"/>
    </w:pPr>
    <w:rPr>
      <w:rFonts w:ascii="Calibri" w:cs="宋体" w:eastAsia="宋体" w:hAnsi="Calibri"/>
      <w:b/>
      <w:bCs/>
      <w:color w:val="4f81bd"/>
      <w:sz w:val="24"/>
      <w:szCs w:val="24"/>
    </w:rPr>
  </w:style>
  <w:style w:type="paragraph" w:customStyle="1" w:styleId="style4104">
    <w:name w:val="Heading 4"/>
    <w:basedOn w:val="style0"/>
    <w:next w:val="style66"/>
    <w:qFormat/>
    <w:uiPriority w:val="9"/>
    <w:pPr>
      <w:keepNext/>
      <w:keepLines/>
      <w:spacing w:before="200" w:after="0"/>
      <w:outlineLvl w:val="3"/>
    </w:pPr>
    <w:rPr>
      <w:rFonts w:ascii="Calibri" w:cs="宋体" w:eastAsia="宋体" w:hAnsi="Calibri"/>
      <w:bCs/>
      <w:i/>
      <w:color w:val="4f81bd"/>
      <w:sz w:val="24"/>
      <w:szCs w:val="24"/>
    </w:rPr>
  </w:style>
  <w:style w:type="paragraph" w:customStyle="1" w:styleId="style4105">
    <w:name w:val="Heading 5"/>
    <w:basedOn w:val="style0"/>
    <w:next w:val="style66"/>
    <w:qFormat/>
    <w:uiPriority w:val="9"/>
    <w:pPr>
      <w:keepNext/>
      <w:keepLines/>
      <w:spacing w:before="200" w:after="0"/>
      <w:outlineLvl w:val="4"/>
    </w:pPr>
    <w:rPr>
      <w:rFonts w:ascii="Calibri" w:cs="宋体" w:eastAsia="宋体" w:hAnsi="Calibri"/>
      <w:iCs/>
      <w:color w:val="4f81bd"/>
      <w:sz w:val="24"/>
      <w:szCs w:val="24"/>
    </w:rPr>
  </w:style>
  <w:style w:type="paragraph" w:customStyle="1" w:styleId="style4106">
    <w:name w:val="Heading 6"/>
    <w:basedOn w:val="style0"/>
    <w:next w:val="style66"/>
    <w:qFormat/>
    <w:uiPriority w:val="9"/>
    <w:pPr>
      <w:keepNext/>
      <w:keepLines/>
      <w:spacing w:before="200" w:after="0"/>
      <w:outlineLvl w:val="5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07">
    <w:name w:val="Heading 7"/>
    <w:basedOn w:val="style0"/>
    <w:next w:val="style66"/>
    <w:qFormat/>
    <w:uiPriority w:val="9"/>
    <w:pPr>
      <w:keepNext/>
      <w:keepLines/>
      <w:spacing w:before="200" w:after="0"/>
      <w:outlineLvl w:val="6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08">
    <w:name w:val="Heading 8"/>
    <w:basedOn w:val="style0"/>
    <w:next w:val="style66"/>
    <w:qFormat/>
    <w:uiPriority w:val="9"/>
    <w:pPr>
      <w:keepNext/>
      <w:keepLines/>
      <w:spacing w:before="200" w:after="0"/>
      <w:outlineLvl w:val="7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09">
    <w:name w:val="Heading 9"/>
    <w:basedOn w:val="style0"/>
    <w:next w:val="style66"/>
    <w:qFormat/>
    <w:uiPriority w:val="9"/>
    <w:pPr>
      <w:keepNext/>
      <w:keepLines/>
      <w:spacing w:before="200" w:after="0"/>
      <w:outlineLvl w:val="8"/>
    </w:pPr>
    <w:rPr>
      <w:rFonts w:ascii="Calibri" w:cs="宋体" w:eastAsia="宋体" w:hAnsi="Calibri"/>
      <w:color w:val="4f81bd"/>
      <w:sz w:val="24"/>
      <w:szCs w:val="24"/>
    </w:rPr>
  </w:style>
  <w:style w:type="paragraph" w:styleId="style84">
    <w:name w:val="Block Text"/>
    <w:basedOn w:val="style66"/>
    <w:next w:val="style66"/>
    <w:qFormat/>
    <w:uiPriority w:val="9"/>
    <w:pPr>
      <w:spacing w:before="100" w:after="100"/>
      <w:ind w:left="480" w:right="480" w:firstLine="0"/>
    </w:pPr>
    <w:rPr/>
  </w:style>
  <w:style w:type="paragraph" w:customStyle="1" w:styleId="style4110">
    <w:name w:val="Footnote Text"/>
    <w:basedOn w:val="style0"/>
    <w:next w:val="style4110"/>
    <w:qFormat/>
    <w:uiPriority w:val="9"/>
    <w:pPr>
      <w:spacing w:before="0" w:after="0" w:lineRule="exact" w:line="200"/>
    </w:pPr>
    <w:rPr>
      <w:sz w:val="18"/>
      <w:szCs w:val="18"/>
    </w:rPr>
  </w:style>
  <w:style w:type="character" w:default="1" w:styleId="style65">
    <w:name w:val="Default Paragraph Font"/>
    <w:next w:val="style65"/>
  </w:style>
  <w:style w:type="table" w:customStyle="1" w:styleId="style4111">
    <w:name w:val="Table"/>
    <w:next w:val="style4111"/>
    <w:qFormat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tblPr>
        <w:jc w:val="left"/>
        <w:tblInd w:w="0" w:type="dxa"/>
      </w:tblPr>
      <w:tcPr>
        <w:tcBorders>
          <w:bottom w:val="single" w:sz="4" w:space="0" w:color="auto"/>
        </w:tcBorders>
        <w:vAlign w:val="bottom"/>
      </w:tcPr>
    </w:tblStylePr>
    <w:tcPr>
      <w:tcBorders/>
    </w:tcPr>
  </w:style>
  <w:style w:type="paragraph" w:customStyle="1" w:styleId="style4112">
    <w:name w:val="Definition Term"/>
    <w:basedOn w:val="style0"/>
    <w:next w:val="style4113"/>
    <w:pPr>
      <w:keepNext/>
      <w:keepLines/>
      <w:spacing w:after="0"/>
    </w:pPr>
    <w:rPr>
      <w:b/>
    </w:rPr>
  </w:style>
  <w:style w:type="paragraph" w:customStyle="1" w:styleId="style4113">
    <w:name w:val="Definition"/>
    <w:basedOn w:val="style0"/>
    <w:next w:val="style4113"/>
    <w:pPr/>
  </w:style>
  <w:style w:type="paragraph" w:customStyle="1" w:styleId="style4114">
    <w:name w:val="Caption"/>
    <w:basedOn w:val="style0"/>
    <w:next w:val="style4114"/>
    <w:link w:val="style4119"/>
    <w:pPr>
      <w:spacing w:before="0" w:after="120"/>
    </w:pPr>
    <w:rPr>
      <w:i/>
    </w:rPr>
  </w:style>
  <w:style w:type="paragraph" w:customStyle="1" w:styleId="style4115">
    <w:name w:val="Table Caption"/>
    <w:basedOn w:val="style4114"/>
    <w:next w:val="style4115"/>
    <w:pPr>
      <w:keepNext/>
    </w:pPr>
    <w:rPr/>
  </w:style>
  <w:style w:type="paragraph" w:customStyle="1" w:styleId="style4116">
    <w:name w:val="Image Caption"/>
    <w:basedOn w:val="style4114"/>
    <w:next w:val="style4116"/>
    <w:pPr/>
  </w:style>
  <w:style w:type="paragraph" w:customStyle="1" w:styleId="style4117">
    <w:name w:val="Figure"/>
    <w:basedOn w:val="style0"/>
    <w:next w:val="style4117"/>
    <w:pPr/>
  </w:style>
  <w:style w:type="paragraph" w:customStyle="1" w:styleId="style4118">
    <w:name w:val="Captioned Figure"/>
    <w:basedOn w:val="style4117"/>
    <w:next w:val="style4118"/>
    <w:pPr>
      <w:keepNext/>
    </w:pPr>
    <w:rPr/>
  </w:style>
  <w:style w:type="character" w:customStyle="1" w:styleId="style4119">
    <w:name w:val="Body Text Char"/>
    <w:basedOn w:val="style65"/>
    <w:next w:val="style4119"/>
    <w:link w:val="style66"/>
  </w:style>
  <w:style w:type="character" w:customStyle="1" w:styleId="style4120">
    <w:name w:val="Verbatim Char"/>
    <w:basedOn w:val="style4119"/>
    <w:next w:val="style4120"/>
    <w:rPr>
      <w:rFonts w:ascii="Consolas" w:hAnsi="Consolas"/>
      <w:sz w:val="22"/>
    </w:rPr>
  </w:style>
  <w:style w:type="character" w:customStyle="1" w:styleId="style4121">
    <w:name w:val="Section Number"/>
    <w:basedOn w:val="style4119"/>
    <w:next w:val="style4121"/>
  </w:style>
  <w:style w:type="character" w:customStyle="1" w:styleId="style4122">
    <w:name w:val="Footnote Reference"/>
    <w:basedOn w:val="style4119"/>
    <w:next w:val="style4122"/>
    <w:rPr>
      <w:vertAlign w:val="superscript"/>
    </w:rPr>
  </w:style>
  <w:style w:type="character" w:styleId="style85">
    <w:name w:val="Hyperlink"/>
    <w:basedOn w:val="style4119"/>
    <w:next w:val="style85"/>
    <w:rPr>
      <w:color w:val="4f81bd"/>
    </w:rPr>
  </w:style>
  <w:style w:type="paragraph" w:styleId="style266">
    <w:name w:val="TOC Heading"/>
    <w:basedOn w:val="style4101"/>
    <w:next w:val="style66"/>
    <w:qFormat/>
    <w:uiPriority w:val="39"/>
    <w:pPr>
      <w:spacing w:before="240" w:lineRule="auto" w:line="259"/>
      <w:outlineLvl w:val="9"/>
    </w:pPr>
    <w:rPr>
      <w:rFonts w:ascii="Calibri" w:cs="宋体" w:eastAsia="宋体" w:hAnsi="Calibri"/>
      <w:b w:val="false"/>
      <w:bCs w:val="false"/>
      <w:color w:val="365f91"/>
    </w:rPr>
  </w:style>
  <w:style w:type="paragraph" w:customStyle="1" w:styleId="style4123">
    <w:name w:val="Source Code"/>
    <w:basedOn w:val="style0"/>
    <w:next w:val="style4123"/>
    <w:link w:val="style4120"/>
    <w:pPr>
      <w:wordWrap w:val="false"/>
    </w:pPr>
    <w:rPr/>
  </w:style>
  <w:style w:type="character" w:customStyle="1" w:styleId="style4124">
    <w:name w:val="KeywordTok"/>
    <w:basedOn w:val="style4120"/>
    <w:next w:val="style4124"/>
    <w:rPr>
      <w:b/>
      <w:color w:val="007020"/>
    </w:rPr>
  </w:style>
  <w:style w:type="character" w:customStyle="1" w:styleId="style4125">
    <w:name w:val="DataTypeTok"/>
    <w:basedOn w:val="style4120"/>
    <w:next w:val="style4125"/>
    <w:rPr>
      <w:color w:val="902000"/>
    </w:rPr>
  </w:style>
  <w:style w:type="character" w:customStyle="1" w:styleId="style4126">
    <w:name w:val="DecValTok"/>
    <w:basedOn w:val="style4120"/>
    <w:next w:val="style4126"/>
    <w:rPr>
      <w:color w:val="40a070"/>
    </w:rPr>
  </w:style>
  <w:style w:type="character" w:customStyle="1" w:styleId="style4127">
    <w:name w:val="BaseNTok"/>
    <w:basedOn w:val="style4120"/>
    <w:next w:val="style4127"/>
    <w:rPr>
      <w:color w:val="40a070"/>
    </w:rPr>
  </w:style>
  <w:style w:type="character" w:customStyle="1" w:styleId="style4128">
    <w:name w:val="FloatTok"/>
    <w:basedOn w:val="style4120"/>
    <w:next w:val="style4128"/>
    <w:rPr>
      <w:color w:val="40a070"/>
    </w:rPr>
  </w:style>
  <w:style w:type="character" w:customStyle="1" w:styleId="style4129">
    <w:name w:val="ConstantTok"/>
    <w:basedOn w:val="style4120"/>
    <w:next w:val="style4129"/>
    <w:rPr>
      <w:color w:val="880000"/>
    </w:rPr>
  </w:style>
  <w:style w:type="character" w:customStyle="1" w:styleId="style4130">
    <w:name w:val="CharTok"/>
    <w:basedOn w:val="style4120"/>
    <w:next w:val="style4130"/>
    <w:rPr>
      <w:color w:val="4070a0"/>
    </w:rPr>
  </w:style>
  <w:style w:type="character" w:customStyle="1" w:styleId="style4131">
    <w:name w:val="SpecialCharTok"/>
    <w:basedOn w:val="style4120"/>
    <w:next w:val="style4131"/>
    <w:rPr>
      <w:color w:val="4070a0"/>
    </w:rPr>
  </w:style>
  <w:style w:type="character" w:customStyle="1" w:styleId="style4132">
    <w:name w:val="StringTok"/>
    <w:basedOn w:val="style4120"/>
    <w:next w:val="style4132"/>
    <w:rPr>
      <w:color w:val="4070a0"/>
    </w:rPr>
  </w:style>
  <w:style w:type="character" w:customStyle="1" w:styleId="style4133">
    <w:name w:val="VerbatimStringTok"/>
    <w:basedOn w:val="style4120"/>
    <w:next w:val="style4133"/>
    <w:rPr>
      <w:color w:val="4070a0"/>
    </w:rPr>
  </w:style>
  <w:style w:type="character" w:customStyle="1" w:styleId="style4134">
    <w:name w:val="SpecialStringTok"/>
    <w:basedOn w:val="style4120"/>
    <w:next w:val="style4134"/>
    <w:rPr>
      <w:color w:val="bb6688"/>
    </w:rPr>
  </w:style>
  <w:style w:type="character" w:customStyle="1" w:styleId="style4135">
    <w:name w:val="ImportTok"/>
    <w:basedOn w:val="style4120"/>
    <w:next w:val="style4135"/>
    <w:rPr>
      <w:b/>
      <w:color w:val="008000"/>
    </w:rPr>
  </w:style>
  <w:style w:type="character" w:customStyle="1" w:styleId="style4136">
    <w:name w:val="CommentTok"/>
    <w:basedOn w:val="style4120"/>
    <w:next w:val="style4136"/>
    <w:rPr>
      <w:i/>
      <w:color w:val="60a0b0"/>
    </w:rPr>
  </w:style>
  <w:style w:type="character" w:customStyle="1" w:styleId="style4137">
    <w:name w:val="DocumentationTok"/>
    <w:basedOn w:val="style4120"/>
    <w:next w:val="style4137"/>
    <w:rPr>
      <w:i/>
      <w:color w:val="ba2121"/>
    </w:rPr>
  </w:style>
  <w:style w:type="character" w:customStyle="1" w:styleId="style4138">
    <w:name w:val="AnnotationTok"/>
    <w:basedOn w:val="style4120"/>
    <w:next w:val="style4138"/>
    <w:rPr>
      <w:b/>
      <w:i/>
      <w:color w:val="60a0b0"/>
    </w:rPr>
  </w:style>
  <w:style w:type="character" w:customStyle="1" w:styleId="style4139">
    <w:name w:val="CommentVarTok"/>
    <w:basedOn w:val="style4120"/>
    <w:next w:val="style4139"/>
    <w:rPr>
      <w:b/>
      <w:i/>
      <w:color w:val="60a0b0"/>
    </w:rPr>
  </w:style>
  <w:style w:type="character" w:customStyle="1" w:styleId="style4140">
    <w:name w:val="OtherTok"/>
    <w:basedOn w:val="style4120"/>
    <w:next w:val="style4140"/>
    <w:rPr>
      <w:color w:val="007020"/>
    </w:rPr>
  </w:style>
  <w:style w:type="character" w:customStyle="1" w:styleId="style4141">
    <w:name w:val="FunctionTok"/>
    <w:basedOn w:val="style4120"/>
    <w:next w:val="style4141"/>
    <w:rPr>
      <w:color w:val="06287e"/>
    </w:rPr>
  </w:style>
  <w:style w:type="character" w:customStyle="1" w:styleId="style4142">
    <w:name w:val="VariableTok"/>
    <w:basedOn w:val="style4120"/>
    <w:next w:val="style4142"/>
    <w:rPr>
      <w:color w:val="19177c"/>
    </w:rPr>
  </w:style>
  <w:style w:type="character" w:customStyle="1" w:styleId="style4143">
    <w:name w:val="ControlFlowTok"/>
    <w:basedOn w:val="style4120"/>
    <w:next w:val="style4143"/>
    <w:rPr>
      <w:b/>
      <w:color w:val="007020"/>
    </w:rPr>
  </w:style>
  <w:style w:type="character" w:customStyle="1" w:styleId="style4144">
    <w:name w:val="OperatorTok"/>
    <w:basedOn w:val="style4120"/>
    <w:next w:val="style4144"/>
    <w:rPr>
      <w:color w:val="666666"/>
    </w:rPr>
  </w:style>
  <w:style w:type="character" w:customStyle="1" w:styleId="style4145">
    <w:name w:val="BuiltInTok"/>
    <w:basedOn w:val="style4120"/>
    <w:next w:val="style4145"/>
    <w:rPr>
      <w:color w:val="008000"/>
    </w:rPr>
  </w:style>
  <w:style w:type="character" w:customStyle="1" w:styleId="style4146">
    <w:name w:val="ExtensionTok"/>
    <w:basedOn w:val="style4120"/>
    <w:next w:val="style4146"/>
  </w:style>
  <w:style w:type="character" w:customStyle="1" w:styleId="style4147">
    <w:name w:val="PreprocessorTok"/>
    <w:basedOn w:val="style4120"/>
    <w:next w:val="style4147"/>
    <w:rPr>
      <w:color w:val="bc7a00"/>
    </w:rPr>
  </w:style>
  <w:style w:type="character" w:customStyle="1" w:styleId="style4148">
    <w:name w:val="AttributeTok"/>
    <w:basedOn w:val="style4120"/>
    <w:next w:val="style4148"/>
    <w:rPr>
      <w:color w:val="7d9029"/>
    </w:rPr>
  </w:style>
  <w:style w:type="character" w:customStyle="1" w:styleId="style4149">
    <w:name w:val="RegionMarkerTok"/>
    <w:basedOn w:val="style4120"/>
    <w:next w:val="style4149"/>
  </w:style>
  <w:style w:type="character" w:customStyle="1" w:styleId="style4150">
    <w:name w:val="InformationTok"/>
    <w:basedOn w:val="style4120"/>
    <w:next w:val="style4150"/>
    <w:rPr>
      <w:b/>
      <w:i/>
      <w:color w:val="60a0b0"/>
    </w:rPr>
  </w:style>
  <w:style w:type="character" w:customStyle="1" w:styleId="style4151">
    <w:name w:val="WarningTok"/>
    <w:basedOn w:val="style4120"/>
    <w:next w:val="style4151"/>
    <w:rPr>
      <w:b/>
      <w:i/>
      <w:color w:val="60a0b0"/>
    </w:rPr>
  </w:style>
  <w:style w:type="character" w:customStyle="1" w:styleId="style4152">
    <w:name w:val="AlertTok"/>
    <w:basedOn w:val="style4120"/>
    <w:next w:val="style4152"/>
    <w:rPr>
      <w:b/>
      <w:color w:val="ff0000"/>
    </w:rPr>
  </w:style>
  <w:style w:type="character" w:customStyle="1" w:styleId="style4153">
    <w:name w:val="ErrorTok"/>
    <w:basedOn w:val="style4120"/>
    <w:next w:val="style4153"/>
    <w:rPr>
      <w:b/>
      <w:color w:val="ff0000"/>
    </w:rPr>
  </w:style>
  <w:style w:type="character" w:customStyle="1" w:styleId="style4154">
    <w:name w:val="NormalTok"/>
    <w:basedOn w:val="style4120"/>
    <w:next w:val="style4154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notes" Target="footnote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Words>12444</Words>
  <Pages>1</Pages>
  <Characters>21965</Characters>
  <Application>WPS Office</Application>
  <DocSecurity>0</DocSecurity>
  <Paragraphs>888</Paragraphs>
  <ScaleCrop>false</ScaleCrop>
  <LinksUpToDate>false</LinksUpToDate>
  <CharactersWithSpaces>24379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2026-06-07T08:12:32Z</dcterms:created>
  <dc:creator>WPS Office</dc:creator>
  <lastModifiedBy>25080RABDC</lastModifiedBy>
  <dcterms:modified xsi:type="dcterms:W3CDTF">2026-06-07T08:22:50Z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ebe95e41863c4dcca452d1f683262be6_23</vt:lpwstr>
  </property>
</Properties>
</file>