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8C895AC">
      <w:pPr>
        <w:pStyle w:val="style4101"/>
        <w:rPr/>
      </w:pPr>
      <w:bookmarkStart w:id="0" w:name="Xa6954cc70bfa3abd1dac05fa2bb0fbd27a25b51"/>
      <w:r>
        <w:t>基于 CubeSandbox + Incus + Kata Container 的混合容器运行时架构设计方案</w:t>
      </w:r>
    </w:p>
    <w:bookmarkStart w:id="1" w:name="执行摘要"/>
    <w:p w14:paraId="EAC257E6">
      <w:pPr>
        <w:pStyle w:val="style4102"/>
        <w:rPr/>
      </w:pPr>
      <w:r>
        <w:t>执行摘要</w:t>
      </w:r>
    </w:p>
    <w:p w14:paraId="15D437D0">
      <w:pPr>
        <w:pStyle w:val="style4097"/>
        <w:rPr/>
      </w:pPr>
      <w:r>
        <w:t>本方案提出一种融合 CubeSandbox、Kata Containers 与 Incus 三大容器运行时的混合虚拟化平台架构，叠加 Cloud Hypervisor（KVM/VT-x）、QEMU 与 Hyper-V（MSHV）多虚拟化后端，旨在构建覆盖从毫秒级 AI Agent 沙箱到持久化企业虚拟机的全谱系虚拟化平台，直接对标 Proxmox VE（PVE）并补齐其云原生与 MicroVM 能力短板。</w:t>
      </w:r>
    </w:p>
    <w:bookmarkStart w:id="2" w:name="核心架构三运行时速度-兼容-管理黄金三角"/>
    <w:p w14:paraId="A84B0CF4">
      <w:pPr>
        <w:pStyle w:val="style4103"/>
        <w:rPr/>
      </w:pPr>
      <w:r>
        <w:t>核心架构：三运行时”速度-兼容-管理”黄金三角</w:t>
      </w:r>
    </w:p>
    <w:p w14:paraId="2A009315">
      <w:pPr>
        <w:pStyle w:val="style4097"/>
        <w:rPr/>
      </w:pPr>
      <w:r>
        <w:t>架构采用</w:t>
      </w:r>
      <w:r>
        <w:rPr>
          <w:b/>
          <w:bCs/>
        </w:rPr>
        <w:t>六层分层模型</w:t>
      </w:r>
      <w:r>
        <w:t>（用户访问层 → API 网关层 → 编排调度层 → 运行时管理层 → 虚拟化抽象层 → 基础设施层），通过 Kubernetes RuntimeClass 机制实现三运行时的统一调度与协同[^Dim01-76^][^Dim03-105^][^Dim06-19^]。三者形成互补而非替代关系[^Dim01-31^][^Dim02-149^][^Dim03-59^]：CubeSandbox 负责极致速度场景（AI Agent 代码执行，&lt;60ms 冷启动），Kata Containers 提供完整 OCI/CRI 生态兼容性（多租户安全容器），Incus 提供容器与虚拟机的统一管理能力（系统容器与完整 VM）。虚拟化层采用”主后端优先”策略——Cloud Hypervisor 为主后端（完整功能覆盖、全栈 Rust 实现），QEMU 为兼容后端（遗留 VM 迁移），MSHV 为探索后端（Windows 混合云），通过 containerd Shim v2 统一抽象以避免 libvirt 的中间层开销[^Dim05-187^][^Dim06-67^]。</w:t>
      </w:r>
    </w:p>
    <w:bookmarkStart w:id="3" w:name="关键性能与合规指标"/>
    <w:bookmarkEnd w:id="2"/>
    <w:p w14:paraId="AD3B094C">
      <w:pPr>
        <w:pStyle w:val="style4103"/>
        <w:rPr/>
      </w:pPr>
      <w:r>
        <w:t>关键性能与合规指标</w:t>
      </w:r>
    </w:p>
    <w:tbl>
      <w:tblPr>
        <w:tblStyle w:val="style4111"/>
        <w:tblW w:w="5000" w:type="pct"/>
        <w:tblLook w:val="0020" w:firstRow="1" w:lastRow="0" w:firstColumn="0" w:lastColumn="0" w:noHBand="0" w:noVBand="0"/>
      </w:tblPr>
      <w:tblGrid>
        <w:gridCol w:w="1091"/>
        <w:gridCol w:w="2264"/>
        <w:gridCol w:w="4561"/>
      </w:tblGrid>
      <w:tr w14:paraId="943BC385">
        <w:trPr>
          <w:tblHeader/>
        </w:trPr>
        <w:tc>
          <w:tcPr>
            <w:tcW w:w="0" w:type="auto"/>
            <w:tcBorders/>
          </w:tcPr>
          <w:p w14:paraId="3814A749">
            <w:pPr>
              <w:pStyle w:val="style4098"/>
              <w:jc w:val="left"/>
              <w:rPr/>
            </w:pPr>
            <w:r>
              <w:t>指标维度</w:t>
            </w:r>
          </w:p>
        </w:tc>
        <w:tc>
          <w:tcPr>
            <w:tcW w:w="0" w:type="auto"/>
            <w:tcBorders/>
          </w:tcPr>
          <w:p w14:paraId="172B919C">
            <w:pPr>
              <w:pStyle w:val="style4098"/>
              <w:jc w:val="left"/>
              <w:rPr/>
            </w:pPr>
            <w:r>
              <w:t>目标值</w:t>
            </w:r>
          </w:p>
        </w:tc>
        <w:tc>
          <w:tcPr>
            <w:tcW w:w="0" w:type="auto"/>
            <w:tcBorders/>
          </w:tcPr>
          <w:p w14:paraId="53562E0D">
            <w:pPr>
              <w:pStyle w:val="style4098"/>
              <w:jc w:val="left"/>
              <w:rPr/>
            </w:pPr>
            <w:r>
              <w:t>技术基础</w:t>
            </w:r>
          </w:p>
        </w:tc>
      </w:tr>
      <w:tr w14:paraId="58C06351">
        <w:tblPrEx/>
        <w:trPr/>
        <w:tc>
          <w:tcPr>
            <w:tcW w:w="0" w:type="auto"/>
            <w:tcBorders/>
          </w:tcPr>
          <w:p w14:paraId="595B65A4">
            <w:pPr>
              <w:pStyle w:val="style4098"/>
              <w:jc w:val="left"/>
              <w:rPr/>
            </w:pPr>
            <w:r>
              <w:t>冷启动延迟</w:t>
            </w:r>
          </w:p>
        </w:tc>
        <w:tc>
          <w:tcPr>
            <w:tcW w:w="0" w:type="auto"/>
            <w:tcBorders/>
          </w:tcPr>
          <w:p w14:paraId="6E85FC3B">
            <w:pPr>
              <w:pStyle w:val="style4098"/>
              <w:jc w:val="left"/>
              <w:rPr/>
            </w:pPr>
            <w:r>
              <w:t>&lt;60ms（单并发）</w:t>
            </w:r>
          </w:p>
        </w:tc>
        <w:tc>
          <w:tcPr>
            <w:tcW w:w="0" w:type="auto"/>
            <w:tcBorders/>
          </w:tcPr>
          <w:p w14:paraId="F195AF80">
            <w:pPr>
              <w:pStyle w:val="style4098"/>
              <w:jc w:val="left"/>
              <w:rPr/>
            </w:pPr>
            <w:r>
              <w:t>CubeSandbox 资源池预置 + XFS reflink CoW[^Dim01-80^]</w:t>
            </w:r>
          </w:p>
        </w:tc>
      </w:tr>
      <w:tr w14:paraId="F05044DE">
        <w:tblPrEx/>
        <w:trPr/>
        <w:tc>
          <w:tcPr>
            <w:tcW w:w="0" w:type="auto"/>
            <w:tcBorders/>
          </w:tcPr>
          <w:p w14:paraId="5B63FC36">
            <w:pPr>
              <w:pStyle w:val="style4098"/>
              <w:jc w:val="left"/>
              <w:rPr/>
            </w:pPr>
            <w:r>
              <w:t>并发能力</w:t>
            </w:r>
          </w:p>
        </w:tc>
        <w:tc>
          <w:tcPr>
            <w:tcW w:w="0" w:type="auto"/>
            <w:tcBorders/>
          </w:tcPr>
          <w:p w14:paraId="0B5C07BF">
            <w:pPr>
              <w:pStyle w:val="style4098"/>
              <w:jc w:val="left"/>
              <w:rPr/>
            </w:pPr>
            <w:r>
              <w:t>单节点 2{,}000+ 实例</w:t>
            </w:r>
          </w:p>
        </w:tc>
        <w:tc>
          <w:tcPr>
            <w:tcW w:w="0" w:type="auto"/>
            <w:tcBorders/>
          </w:tcPr>
          <w:p w14:paraId="A26BF71F">
            <w:pPr>
              <w:pStyle w:val="style4098"/>
              <w:jc w:val="left"/>
              <w:rPr/>
            </w:pPr>
            <w:r>
              <w:t>Kata RunD 预修补进程 + 资源池装箱[^Dim03-104^]</w:t>
            </w:r>
          </w:p>
        </w:tc>
      </w:tr>
      <w:tr w14:paraId="CC99E10E">
        <w:tblPrEx/>
        <w:trPr/>
        <w:tc>
          <w:tcPr>
            <w:tcW w:w="0" w:type="auto"/>
            <w:tcBorders/>
          </w:tcPr>
          <w:p w14:paraId="2899E467">
            <w:pPr>
              <w:pStyle w:val="style4098"/>
              <w:jc w:val="left"/>
              <w:rPr/>
            </w:pPr>
            <w:r>
              <w:t>网络吞吐</w:t>
            </w:r>
          </w:p>
        </w:tc>
        <w:tc>
          <w:tcPr>
            <w:tcW w:w="0" w:type="auto"/>
            <w:tcBorders/>
          </w:tcPr>
          <w:p w14:paraId="97D3AD78">
            <w:pPr>
              <w:pStyle w:val="style4098"/>
              <w:jc w:val="left"/>
              <w:rPr/>
            </w:pPr>
            <w:r>
              <w:t>9.2Gbps / 单核 24Mpps</w:t>
            </w:r>
          </w:p>
        </w:tc>
        <w:tc>
          <w:tcPr>
            <w:tcW w:w="0" w:type="auto"/>
            <w:tcBorders/>
          </w:tcPr>
          <w:p w14:paraId="D3B317F0">
            <w:pPr>
              <w:pStyle w:val="style4098"/>
              <w:jc w:val="left"/>
              <w:rPr/>
            </w:pPr>
            <w:r>
              <w:t>Cilium eBPF + CubeVS XDP 加速[^Dim01-170^][^Dim07-24^]</w:t>
            </w:r>
          </w:p>
        </w:tc>
      </w:tr>
      <w:tr w14:paraId="78673EB7">
        <w:tblPrEx/>
        <w:trPr/>
        <w:tc>
          <w:tcPr>
            <w:tcW w:w="0" w:type="auto"/>
            <w:tcBorders/>
          </w:tcPr>
          <w:p w14:paraId="BBCD2B16">
            <w:pPr>
              <w:pStyle w:val="style4098"/>
              <w:jc w:val="left"/>
              <w:rPr/>
            </w:pPr>
            <w:r>
              <w:t>等保合规</w:t>
            </w:r>
          </w:p>
        </w:tc>
        <w:tc>
          <w:tcPr>
            <w:tcW w:w="0" w:type="auto"/>
            <w:tcBorders/>
          </w:tcPr>
          <w:p w14:paraId="2A13D394">
            <w:pPr>
              <w:pStyle w:val="style4098"/>
              <w:jc w:val="left"/>
              <w:rPr/>
            </w:pPr>
            <w:r>
              <w:t>开箱满足三级要求</w:t>
            </w:r>
          </w:p>
        </w:tc>
        <w:tc>
          <w:tcPr>
            <w:tcW w:w="0" w:type="auto"/>
            <w:tcBorders/>
          </w:tcPr>
          <w:p w14:paraId="6A128862">
            <w:pPr>
              <w:pStyle w:val="style4098"/>
              <w:jc w:val="left"/>
              <w:rPr/>
            </w:pPr>
            <w:r>
              <w:t>KVM MicroVM 硬件级隔离[^Dim09-535^][^Dim09-538^]</w:t>
            </w:r>
          </w:p>
        </w:tc>
      </w:tr>
      <w:tr w14:paraId="616B6082">
        <w:tblPrEx/>
        <w:trPr/>
        <w:tc>
          <w:tcPr>
            <w:tcW w:w="0" w:type="auto"/>
            <w:tcBorders/>
          </w:tcPr>
          <w:p w14:paraId="B1FCFEE5">
            <w:pPr>
              <w:pStyle w:val="style4098"/>
              <w:jc w:val="left"/>
              <w:rPr/>
            </w:pPr>
            <w:r>
              <w:t>虚拟化开销</w:t>
            </w:r>
          </w:p>
        </w:tc>
        <w:tc>
          <w:tcPr>
            <w:tcW w:w="0" w:type="auto"/>
            <w:tcBorders/>
          </w:tcPr>
          <w:p w14:paraId="5DFBEBBE">
            <w:pPr>
              <w:pStyle w:val="style4098"/>
              <w:jc w:val="left"/>
              <w:rPr/>
            </w:pPr>
            <w:r>
              <w:t>CPU 2-5%，内存 10-30MB</w:t>
            </w:r>
          </w:p>
        </w:tc>
        <w:tc>
          <w:tcPr>
            <w:tcW w:w="0" w:type="auto"/>
            <w:tcBorders/>
          </w:tcPr>
          <w:p w14:paraId="D828E445">
            <w:pPr>
              <w:pStyle w:val="style4098"/>
              <w:jc w:val="left"/>
              <w:rPr/>
            </w:pPr>
            <w:r>
              <w:t>Cloud Hypervisor 精简设备模型[^Dim06-55^]</w:t>
            </w:r>
          </w:p>
        </w:tc>
      </w:tr>
    </w:tbl>
    <w:p w14:paraId="43165575">
      <w:pPr>
        <w:pStyle w:val="style66"/>
        <w:rPr/>
      </w:pPr>
      <w:r>
        <w:t>“</w:t>
      </w:r>
      <w:r>
        <w:t>资源池预置 + CoW 克隆</w:t>
      </w:r>
      <w:r>
        <w:t>”</w:t>
      </w:r>
      <w:r>
        <w:t>被确立为跨维度性能突破的第一性原则：该范式同时作用于存储（XFS/ Ceph RBD 快照）、网络（eBPF 预注入）与调度（VM Template 池化）三层，使并发启动呈亚线性扩展（50 并发 P99=137ms，非简单倍数增长）[^Dim01-80^][^Dim03-104^]。</w:t>
      </w:r>
    </w:p>
    <w:bookmarkStart w:id="4" w:name="与-pve-对标结论"/>
    <w:bookmarkEnd w:id="3"/>
    <w:p w14:paraId="299DFE4A">
      <w:pPr>
        <w:pStyle w:val="style4103"/>
        <w:rPr/>
      </w:pPr>
      <w:r>
        <w:t>与 PVE 对标结论</w:t>
      </w:r>
    </w:p>
    <w:p w14:paraId="B3D65FD5">
      <w:pPr>
        <w:pStyle w:val="style4097"/>
        <w:rPr/>
      </w:pPr>
      <w:r>
        <w:t>方案在</w:t>
      </w:r>
      <w:r>
        <w:rPr>
          <w:b/>
          <w:bCs/>
        </w:rPr>
        <w:t>MicroVM 快速启动、云原生编排（Kubernetes 原生）、eBPF 高性能网络、安全容器隔离与等保合规</w:t>
      </w:r>
      <w:r>
        <w:t>五个维度超越 PVE[^Dim11-890^]；但在管理平面成熟度上存在三项 P0 差距——Web UI（需约 40% 研发资源）、集群 HA 故障转移（约 25% 资源）与 RBAC 权限体系（3-6 个月）[^Dim11-970^][^Dim11-1020^]。网络与存储分别采用五层网络模型（OVN/Cilium/CubeVS/eBPF 安全/零信任）和六层存储模型（virtiofs/ZFS/Ceph RBD/CephFS/S3/备份），通过 CSI/CNI 全接口兼容确保 Kubernetes 生态无缝对接[^Dim08-37^][^Dim08-211^]。</w:t>
      </w:r>
    </w:p>
    <w:bookmarkStart w:id="5" w:name="实施路径概览"/>
    <w:bookmarkEnd w:id="4"/>
    <w:p w14:paraId="CD67A2AC">
      <w:pPr>
        <w:pStyle w:val="style4103"/>
        <w:rPr/>
      </w:pPr>
      <w:r>
        <w:t>实施路径概览</w:t>
      </w:r>
    </w:p>
    <w:p w14:paraId="E81BC5EF">
      <w:pPr>
        <w:pStyle w:val="style4097"/>
        <w:rPr/>
      </w:pPr>
      <w:r>
        <w:t>项目按 12 个月四阶段推进：Phase 1（M1-M3）完成三运行时核心集成与单节点验证；Phase 2（M4-M6）建设 Incus 集群、OVN SDN 与基础 Web UI；Phase 3（M7-M9）交付 RBAC、HA 故障转移与备份系统；Phase 4（M10-M12）集成 MSHV 加速器与 TEE 机密计算。主要技术风险包括 CubeSandbox 生态早期（GPU 支持为设计提案）、MSHV 生产就绪时间不确定及三层 eBPF 资源冲突，每项风险均配有明确缓解策略与备用方案[^Dim01-192^][^Dim05-212^][洞察#12^]。</w:t>
      </w:r>
    </w:p>
    <w:p w14:paraId="28C8CCF6">
      <w:pPr>
        <w:pStyle w:val="style0"/>
        <w:rPr/>
      </w:pPr>
      <w:r>
        <w:rPr/>
        <w:pict>
          <v:rect id="1026" stroked="t" style="margin-left:0.0pt;margin-top:0.0pt;width:0.0pt;height:1.5pt;mso-wrap-distance-left:0.0pt;mso-wrap-distance-right:0.0pt;visibility:visible;" o:hr="t" o:hralign="center" o:hrstd="t">
            <v:fill/>
          </v:rect>
        </w:pict>
      </w:r>
    </w:p>
    <w:bookmarkStart w:id="6" w:name="总体架构设计"/>
    <w:bookmarkEnd w:id="5"/>
    <w:bookmarkEnd w:id="1"/>
    <w:bookmarkEnd w:id="0"/>
    <w:p w14:paraId="698EB41C">
      <w:pPr>
        <w:pStyle w:val="style4101"/>
        <w:rPr/>
      </w:pPr>
      <w:r>
        <w:t>1. 总体架构设计</w:t>
      </w:r>
    </w:p>
    <w:bookmarkStart w:id="7" w:name="架构愿景与定位"/>
    <w:p w14:paraId="6BA5544B">
      <w:pPr>
        <w:pStyle w:val="style4102"/>
        <w:rPr/>
      </w:pPr>
      <w:r>
        <w:t>1.1 架构愿景与定位</w:t>
      </w:r>
    </w:p>
    <w:bookmarkStart w:id="8" w:name="全谱系虚拟化平台定位"/>
    <w:p w14:paraId="65949B4A">
      <w:pPr>
        <w:pStyle w:val="style4103"/>
        <w:rPr/>
      </w:pPr>
      <w:r>
        <w:t>1.1.1</w:t>
      </w:r>
      <w:r>
        <w:t xml:space="preserve"> </w:t>
      </w:r>
      <w:r>
        <w:t>“</w:t>
      </w:r>
      <w:r>
        <w:t>全谱系虚拟化平台</w:t>
      </w:r>
      <w:r>
        <w:t>”</w:t>
      </w:r>
      <w:r>
        <w:t>定位</w:t>
      </w:r>
    </w:p>
    <w:p w14:paraId="7C4E6410">
      <w:pPr>
        <w:pStyle w:val="style4097"/>
        <w:rPr/>
      </w:pPr>
      <w:r>
        <w:t>CubeSandbox 混合容器运行时平台的核心定位是覆盖从毫秒级 AI Agent 沙箱到持久化企业虚拟机的完整工作负载连续体（Workload Continuum）。传统虚拟化平台（如 VMware vSphere、Proxmox VE）主要覆盖基础设施层，冷启动时间以秒甚至分钟计</w:t>
      </w:r>
      <w:r>
        <w:t xml:space="preserve"> </w:t>
      </w:r>
      <w:r>
        <w:rPr>
          <w:vertAlign w:val="superscript"/>
        </w:rPr>
        <w:footnoteReference w:id="1"/>
      </w:r>
      <w:r>
        <w:t>；容器平台（如 Kubernetes、Docker）聚焦应用层，启动时间约 200 ms</w:t>
      </w:r>
      <w:r>
        <w:t xml:space="preserve"> </w:t>
      </w:r>
      <w:r>
        <w:rPr>
          <w:vertAlign w:val="superscript"/>
        </w:rPr>
        <w:footnoteReference w:id="2"/>
      </w:r>
      <w:r>
        <w:t>；AI Agent 执行平台（如 E2B）则瞄准执行层，要求毫秒级启动响应</w:t>
      </w:r>
      <w:r>
        <w:t xml:space="preserve"> </w:t>
      </w:r>
      <w:r>
        <w:rPr>
          <w:vertAlign w:val="superscript"/>
        </w:rPr>
        <w:footnoteReference w:id="3"/>
      </w:r>
      <w:r>
        <w:t>。这三个层级长期被分割在独立的技术栈中。</w:t>
      </w:r>
    </w:p>
    <w:p w14:paraId="4F2B4942">
      <w:pPr>
        <w:pStyle w:val="style66"/>
        <w:rPr/>
      </w:pPr>
      <w:r>
        <w:t>本平台通过 CubeSandbox + Kata Containers + Incus 的三运行时组合，以 MicroVM（微型虚拟机）作为统一隔离单元，首次以同一技术底座覆盖三个层级。CubeSandbox 面向执行层提供 &lt;60 ms 冷启动</w:t>
      </w:r>
      <w:r>
        <w:t xml:space="preserve"> </w:t>
      </w:r>
      <w:r>
        <w:rPr>
          <w:vertAlign w:val="superscript"/>
        </w:rPr>
        <w:footnoteReference w:id="4"/>
      </w:r>
      <w:r>
        <w:t>，Kata Containers 面向应用层提供 60–150 ms 的安全容器</w:t>
      </w:r>
      <w:r>
        <w:t xml:space="preserve"> </w:t>
      </w:r>
      <w:r>
        <w:rPr>
          <w:vertAlign w:val="superscript"/>
        </w:rPr>
        <w:footnoteReference w:id="5"/>
      </w:r>
      <w:r>
        <w:t>，Incus 面向基础设施层提供秒级到分钟级的系统容器与完整虚拟机</w:t>
      </w:r>
      <w:r>
        <w:t xml:space="preserve"> </w:t>
      </w:r>
      <w:r>
        <w:rPr>
          <w:vertAlign w:val="superscript"/>
        </w:rPr>
        <w:footnoteReference w:id="6"/>
      </w:r>
      <w:r>
        <w:t>。RuntimeClass 机制</w:t>
      </w:r>
      <w:r>
        <w:t xml:space="preserve"> </w:t>
      </w:r>
      <w:r>
        <w:rPr>
          <w:vertAlign w:val="superscript"/>
        </w:rPr>
        <w:footnoteReference w:id="7"/>
      </w:r>
      <w:r>
        <w:t>为上层的运行时选择提供透明性——应用无需关心底层是 MicroVM、系统容器还是完整 VM，编排层按工作负载特征自动匹配最优运行时。</w:t>
      </w:r>
    </w:p>
    <w:p w14:paraId="42535AA0">
      <w:pPr>
        <w:pStyle w:val="style66"/>
        <w:rPr/>
      </w:pPr>
      <w:r>
        <w:t>这一”全谱系”定位的技术基础是 MicroVM 统一隔离。CubeSandbox 与 Kata 均采用 KVM 硬件虚拟化 + 精简 Guest Kernel 的 MicroVM 架构</w:t>
      </w:r>
      <w:r>
        <w:t xml:space="preserve"> </w:t>
      </w:r>
      <w:r>
        <w:rPr>
          <w:vertAlign w:val="superscript"/>
        </w:rPr>
        <w:footnoteReference w:id="8"/>
      </w:r>
      <w:r>
        <w:t xml:space="preserve"> </w:t>
      </w:r>
      <w:r>
        <w:rPr>
          <w:vertAlign w:val="superscript"/>
        </w:rPr>
        <w:footnoteReference w:id="9"/>
      </w:r>
      <w:r>
        <w:t>，每个实例拥有独立 Guest OS 内核，共享内核攻击无法穿透。Incus 通过 LXC 提供系统容器隔离，通过 QEMU/KVM 提供完整虚拟机隔离</w:t>
      </w:r>
      <w:r>
        <w:t xml:space="preserve"> </w:t>
      </w:r>
      <w:r>
        <w:rPr>
          <w:vertAlign w:val="superscript"/>
        </w:rPr>
        <w:footnoteReference w:id="10"/>
      </w:r>
      <w:r>
        <w:t>，形成从轻量到重型的完整隔离梯度。对延迟敏感的 AI Agent 调用分配至 CubeSandbox MicroVM，对安全性要求高的多租户 SaaS 分配至 Kata MicroVM，对兼容性要求高的传统应用分配至 Incus 完整 VM——全部运行在同一集群、同一存储池、同一网络平面之上。</w:t>
      </w:r>
    </w:p>
    <w:bookmarkStart w:id="9" w:name="双模产品设计"/>
    <w:bookmarkEnd w:id="8"/>
    <w:p w14:paraId="4477FCD0">
      <w:pPr>
        <w:pStyle w:val="style4103"/>
        <w:rPr/>
      </w:pPr>
      <w:r>
        <w:t>1.1.2</w:t>
      </w:r>
      <w:r>
        <w:t xml:space="preserve"> </w:t>
      </w:r>
      <w:r>
        <w:t>“</w:t>
      </w:r>
      <w:r>
        <w:t>双模</w:t>
      </w:r>
      <w:r>
        <w:t>”</w:t>
      </w:r>
      <w:r>
        <w:t>产品设计</w:t>
      </w:r>
    </w:p>
    <w:p w14:paraId="C6C62319">
      <w:pPr>
        <w:pStyle w:val="style4097"/>
        <w:rPr/>
      </w:pPr>
      <w:r>
        <w:t>基于全谱系技术能力，平台采用”双模”（Dual-Mode）产品策略。</w:t>
      </w:r>
      <w:r>
        <w:rPr>
          <w:b/>
          <w:bCs/>
        </w:rPr>
        <w:t>Agent 模式</w:t>
      </w:r>
      <w:r>
        <w:t>面向 AI Agent 与代码执行市场，核心体验是 E2B SDK 兼容</w:t>
      </w:r>
      <w:r>
        <w:t xml:space="preserve"> </w:t>
      </w:r>
      <w:r>
        <w:rPr/>
        <w:fldChar w:fldCharType="begin"/>
      </w:r>
      <w:r>
        <w:instrText>NOTEREF _Ref_Footnote_3 \h \f</w:instrText>
      </w:r>
      <w:r>
        <w:rPr/>
        <w:fldChar w:fldCharType="separate"/>
      </w:r>
      <w:r>
        <w:rPr>
          <w:vertAlign w:val="superscript"/>
        </w:rPr>
        <w:t>3</w:t>
      </w:r>
      <w:r>
        <w:rPr/>
        <w:fldChar w:fldCharType="end"/>
      </w:r>
      <w:r>
        <w:t>，强调冷启动延迟（&lt;60 ms）、并发密度（单节点 2{,}000+ 沙箱</w:t>
      </w:r>
      <w:r>
        <w:t xml:space="preserve"> </w:t>
      </w:r>
      <w:r>
        <w:rPr>
          <w:vertAlign w:val="superscript"/>
        </w:rPr>
        <w:footnoteReference w:id="11"/>
      </w:r>
      <w:r>
        <w:t>）、调用吞吐量（百亿级生产验证</w:t>
      </w:r>
      <w:r>
        <w:t xml:space="preserve"> </w:t>
      </w:r>
      <w:r>
        <w:rPr>
          <w:vertAlign w:val="superscript"/>
        </w:rPr>
        <w:footnoteReference w:id="12"/>
      </w:r>
      <w:r>
        <w:t>），按调用量计费。</w:t>
      </w:r>
      <w:r>
        <w:rPr>
          <w:b/>
          <w:bCs/>
        </w:rPr>
        <w:t>Infra 模式</w:t>
      </w:r>
      <w:r>
        <w:t>面向企业虚拟化市场，对标 PVE，提供 Web UI、VM 生命周期管理、集群 HA、Ceph 集成等功能</w:t>
      </w:r>
      <w:r>
        <w:t xml:space="preserve"> </w:t>
      </w:r>
      <w:r>
        <w:rPr/>
        <w:fldChar w:fldCharType="begin"/>
      </w:r>
      <w:r>
        <w:instrText>NOTEREF _Ref_Footnote_1 \h \f</w:instrText>
      </w:r>
      <w:r>
        <w:rPr/>
        <w:fldChar w:fldCharType="separate"/>
      </w:r>
      <w:r>
        <w:rPr>
          <w:vertAlign w:val="superscript"/>
        </w:rPr>
        <w:t>1</w:t>
      </w:r>
      <w:r>
        <w:rPr/>
        <w:fldChar w:fldCharType="end"/>
      </w:r>
      <w:r>
        <w:t>，按资源量计费。</w:t>
      </w:r>
    </w:p>
    <w:p w14:paraId="06312254">
      <w:pPr>
        <w:pStyle w:val="style66"/>
        <w:rPr/>
      </w:pPr>
      <w:r>
        <w:t>双模策略的技术基础是底层组件共享——CubeHypervisor、统一 Shim 层、CoW（Copy-on-Write）存储池、eBPF 网络栈为两种模式共用。区别在于上层包装：Agent 模式暴露 E2B SDK 和 REST API，Infra 模式暴露 Web UI 和 Terraform Provider。这种”一底两面”架构最大化技术投资回报率，使同一工程团队同时服务两个高增长市场。</w:t>
      </w:r>
    </w:p>
    <w:bookmarkStart w:id="10" w:name="对标-pve-的差异化定位"/>
    <w:bookmarkEnd w:id="9"/>
    <w:p w14:paraId="DF60EA57">
      <w:pPr>
        <w:pStyle w:val="style4103"/>
        <w:rPr/>
      </w:pPr>
      <w:r>
        <w:t>1.1.3 对标 PVE 的差异化定位</w:t>
      </w:r>
    </w:p>
    <w:p w14:paraId="FB0B409F">
      <w:pPr>
        <w:pStyle w:val="style4097"/>
        <w:rPr/>
      </w:pPr>
      <w:r>
        <w:t>与 PVE 相比，本平台在三重维度上形成差异化。</w:t>
      </w:r>
      <w:r>
        <w:rPr>
          <w:b/>
          <w:bCs/>
        </w:rPr>
        <w:t>云原生兼容</w:t>
      </w:r>
      <w:r>
        <w:t>：PVE 容器支持限于 LXC，缺乏 Kubernetes 原生集成</w:t>
      </w:r>
      <w:r>
        <w:t xml:space="preserve"> </w:t>
      </w:r>
      <w:r>
        <w:rPr/>
        <w:fldChar w:fldCharType="begin"/>
      </w:r>
      <w:r>
        <w:instrText>NOTEREF _Ref_Footnote_10 \h \f</w:instrText>
      </w:r>
      <w:r>
        <w:rPr/>
        <w:fldChar w:fldCharType="separate"/>
      </w:r>
      <w:r>
        <w:rPr>
          <w:vertAlign w:val="superscript"/>
        </w:rPr>
        <w:t>10</w:t>
      </w:r>
      <w:r>
        <w:rPr/>
        <w:fldChar w:fldCharType="end"/>
      </w:r>
      <w:r>
        <w:t>；本平台通过 Kata 的完整 OCI/CRI 兼容性和 RuntimeClass 集成</w:t>
      </w:r>
      <w:r>
        <w:t xml:space="preserve"> </w:t>
      </w:r>
      <w:r>
        <w:rPr/>
        <w:fldChar w:fldCharType="begin"/>
      </w:r>
      <w:r>
        <w:instrText>NOTEREF _Ref_Footnote_5 \h \f</w:instrText>
      </w:r>
      <w:r>
        <w:rPr/>
        <w:fldChar w:fldCharType="separate"/>
      </w:r>
      <w:r>
        <w:rPr>
          <w:vertAlign w:val="superscript"/>
        </w:rPr>
        <w:t>5</w:t>
      </w:r>
      <w:r>
        <w:rPr/>
        <w:fldChar w:fldCharType="end"/>
      </w:r>
      <w:r>
        <w:t>，直接对接现有 Kubernetes 生态。</w:t>
      </w:r>
      <w:r>
        <w:rPr>
          <w:b/>
          <w:bCs/>
        </w:rPr>
        <w:t>MicroVM 速度</w:t>
      </w:r>
      <w:r>
        <w:t>：PVE 基于 QEMU/KVM 的 VM 启动以秒计</w:t>
      </w:r>
      <w:r>
        <w:t xml:space="preserve"> </w:t>
      </w:r>
      <w:r>
        <w:rPr/>
        <w:fldChar w:fldCharType="begin"/>
      </w:r>
      <w:r>
        <w:instrText>NOTEREF _Ref_Footnote_1 \h \f</w:instrText>
      </w:r>
      <w:r>
        <w:rPr/>
        <w:fldChar w:fldCharType="separate"/>
      </w:r>
      <w:r>
        <w:rPr>
          <w:vertAlign w:val="superscript"/>
        </w:rPr>
        <w:t>1</w:t>
      </w:r>
      <w:r>
        <w:rPr/>
        <w:fldChar w:fldCharType="end"/>
      </w:r>
      <w:r>
        <w:t>；本平台通过资源池预置 + CoW 快照克隆实现 &lt;60 ms 冷启动</w:t>
      </w:r>
      <w:r>
        <w:t xml:space="preserve"> </w:t>
      </w:r>
      <w:r>
        <w:rPr/>
        <w:fldChar w:fldCharType="begin"/>
      </w:r>
      <w:r>
        <w:instrText>NOTEREF _Ref_Footnote_4 \h \f</w:instrText>
      </w:r>
      <w:r>
        <w:rPr/>
        <w:fldChar w:fldCharType="separate"/>
      </w:r>
      <w:r>
        <w:rPr>
          <w:vertAlign w:val="superscript"/>
        </w:rPr>
        <w:t>4</w:t>
      </w:r>
      <w:r>
        <w:rPr/>
        <w:fldChar w:fldCharType="end"/>
      </w:r>
      <w:r>
        <w:t>，快两个数量级。</w:t>
      </w:r>
      <w:r>
        <w:rPr>
          <w:b/>
          <w:bCs/>
        </w:rPr>
        <w:t>等保合规</w:t>
      </w:r>
      <w:r>
        <w:t>：中国《等保 2.0》要求多租户场景使用安全容器实现内核级强隔离；CubeSandbox 与 Kata 的 KVM MicroVM 隔离天然满足要求</w:t>
      </w:r>
      <w:r>
        <w:t xml:space="preserve"> </w:t>
      </w:r>
      <w:r>
        <w:rPr>
          <w:vertAlign w:val="superscript"/>
        </w:rPr>
        <w:footnoteReference w:id="13"/>
      </w:r>
      <w:r>
        <w:t>，而 PVE 的 LXC 共享内核在严格合规场景下存在逃逸风险。</w:t>
      </w:r>
    </w:p>
    <w:bookmarkStart w:id="11" w:name="整体架构蓝图"/>
    <w:bookmarkEnd w:id="10"/>
    <w:bookmarkEnd w:id="7"/>
    <w:p w14:paraId="CB5643C9">
      <w:pPr>
        <w:pStyle w:val="style4102"/>
        <w:rPr/>
      </w:pPr>
      <w:r>
        <w:t>1.2 整体架构蓝图</w:t>
      </w:r>
    </w:p>
    <w:bookmarkStart w:id="12" w:name="六层架构模型"/>
    <w:p w14:paraId="FF82D2EE">
      <w:pPr>
        <w:pStyle w:val="style4103"/>
        <w:rPr/>
      </w:pPr>
      <w:r>
        <w:t>1.2.1 六层架构模型</w:t>
      </w:r>
    </w:p>
    <w:p w14:paraId="795356F3">
      <w:pPr>
        <w:pStyle w:val="style4097"/>
        <w:rPr/>
      </w:pPr>
      <w:r>
        <w:t>平台采用六层架构模型，自上而下：用户访问层（L6）→ API 网关层（L5）→ 编排调度层（L4）→ 运行时管理层（L3）→ 虚拟化抽象层（L2）→ 基础设施层（L1）。</w:t>
      </w:r>
    </w:p>
    <w:p w14:paraId="ED968235">
      <w:pPr>
        <w:pStyle w:val="style4118"/>
        <w:rPr/>
      </w:pPr>
      <w:r>
        <w:rPr/>
        <w:drawing>
          <wp:inline distL="0" distT="0" distB="0" distR="0">
            <wp:extent cx="5334000" cy="3795715"/>
            <wp:effectExtent l="0" t="0" r="0" b="0"/>
            <wp:docPr id="1027" name="Picture" descr="六层架构模型"/>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 cstate="print"/>
                    <a:srcRect l="0" t="0" r="0" b="0"/>
                    <a:stretch/>
                  </pic:blipFill>
                  <pic:spPr>
                    <a:xfrm rot="0">
                      <a:off x="0" y="0"/>
                      <a:ext cx="5334000" cy="3795715"/>
                    </a:xfrm>
                    <a:prstGeom prst="rect"/>
                    <a:ln>
                      <a:noFill/>
                    </a:ln>
                  </pic:spPr>
                </pic:pic>
              </a:graphicData>
            </a:graphic>
          </wp:inline>
        </w:drawing>
      </w:r>
    </w:p>
    <w:p w14:paraId="7110431A">
      <w:pPr>
        <w:pStyle w:val="style4116"/>
        <w:rPr/>
      </w:pPr>
      <w:r>
        <w:t>六层架构模型</w:t>
      </w:r>
    </w:p>
    <w:p w14:paraId="811F8F78">
      <w:pPr>
        <w:pStyle w:val="style66"/>
        <w:rPr/>
      </w:pPr>
      <w:r>
        <w:rPr>
          <w:b/>
          <w:bCs/>
        </w:rPr>
        <w:t>L6 用户访问层</w:t>
      </w:r>
      <w:r>
        <w:t>提供 Web UI（管理仪表盘）、CLI 工具（</w:t>
      </w:r>
      <w:r>
        <w:rPr>
          <w:rStyle w:val="style4120"/>
        </w:rPr>
        <w:t>cubectl</w:t>
      </w:r>
      <w:r>
        <w:t>）、Terraform Provider、E2B SDK 客户端，让系统管理员、开发者和 AI 应用都能以自然方式接入平台。</w:t>
      </w:r>
    </w:p>
    <w:p w14:paraId="A607BCAC">
      <w:pPr>
        <w:pStyle w:val="style66"/>
        <w:rPr/>
      </w:pPr>
      <w:r>
        <w:rPr>
          <w:b/>
          <w:bCs/>
        </w:rPr>
        <w:t>L5 API 网关层</w:t>
      </w:r>
      <w:r>
        <w:t>是外部请求的统一入口：REST API 提供完整平台管理；gRPC/ttrpc 用于控制平面组件间高性能通信；E2B SDK 兼容端点使 Agent 模式客户端无需修改即可接入；WebSocket 事件流实时推送实例生命周期变更</w:t>
      </w:r>
      <w:r>
        <w:t xml:space="preserve"> </w:t>
      </w:r>
      <w:r>
        <w:rPr>
          <w:vertAlign w:val="superscript"/>
        </w:rPr>
        <w:footnoteReference w:id="14"/>
      </w:r>
      <w:r>
        <w:t>。该层还承担认证、限流、审计日志等企业级职责。</w:t>
      </w:r>
    </w:p>
    <w:p w14:paraId="BDB13FEE">
      <w:pPr>
        <w:pStyle w:val="style66"/>
        <w:rPr/>
      </w:pPr>
      <w:r>
        <w:rPr>
          <w:b/>
          <w:bCs/>
        </w:rPr>
        <w:t>L4 编排调度层</w:t>
      </w:r>
      <w:r>
        <w:t>负责工作负载全局编排。KubeVirt</w:t>
      </w:r>
      <w:r>
        <w:t xml:space="preserve"> </w:t>
      </w:r>
      <w:r>
        <w:rPr>
          <w:vertAlign w:val="superscript"/>
        </w:rPr>
        <w:footnoteReference w:id="15"/>
      </w:r>
      <w:r>
        <w:t>将虚拟机作为 Kubernetes 一等公民管理；RuntimeClass</w:t>
      </w:r>
      <w:r>
        <w:t xml:space="preserve"> </w:t>
      </w:r>
      <w:r>
        <w:rPr/>
        <w:fldChar w:fldCharType="begin"/>
      </w:r>
      <w:r>
        <w:instrText>NOTEREF _Ref_Footnote_7 \h \f</w:instrText>
      </w:r>
      <w:r>
        <w:rPr/>
        <w:fldChar w:fldCharType="separate"/>
      </w:r>
      <w:r>
        <w:rPr>
          <w:vertAlign w:val="superscript"/>
        </w:rPr>
        <w:t>7</w:t>
      </w:r>
      <w:r>
        <w:rPr/>
        <w:fldChar w:fldCharType="end"/>
      </w:r>
      <w:r>
        <w:t>提供运行时选择的标准化机制；集群调度器基于 Kubernetes Scheduling Framework 扩展实现 NUMA 感知、GPU 感知等自定义策略</w:t>
      </w:r>
      <w:r>
        <w:t xml:space="preserve"> </w:t>
      </w:r>
      <w:r>
        <w:rPr>
          <w:vertAlign w:val="superscript"/>
        </w:rPr>
        <w:footnoteReference w:id="16"/>
      </w:r>
      <w:r>
        <w:t>；Cowsql（3–50 节点）或 etcd（50–5{,}000 节点）提供集群状态强一致存储</w:t>
      </w:r>
      <w:r>
        <w:t xml:space="preserve"> </w:t>
      </w:r>
      <w:r>
        <w:rPr>
          <w:vertAlign w:val="superscript"/>
        </w:rPr>
        <w:footnoteReference w:id="17"/>
      </w:r>
      <w:r>
        <w:t xml:space="preserve"> </w:t>
      </w:r>
      <w:r>
        <w:rPr>
          <w:vertAlign w:val="superscript"/>
        </w:rPr>
        <w:footnoteReference w:id="18"/>
      </w:r>
      <w:r>
        <w:t>。</w:t>
      </w:r>
    </w:p>
    <w:p w14:paraId="2A205B40">
      <w:pPr>
        <w:pStyle w:val="style66"/>
        <w:rPr/>
      </w:pPr>
      <w:r>
        <w:rPr>
          <w:b/>
          <w:bCs/>
        </w:rPr>
        <w:t>L3 运行时管理层</w:t>
      </w:r>
      <w:r>
        <w:t>是平台核心创新层。CubeSandbox 负责 AI Agent 沙箱的极速启动与销毁；Kata Containers 提供 OCI 兼容的安全容器运行时；Incus Daemon 统一管理系统容器（LXC）和完整虚拟机（QEMU/KVM）</w:t>
      </w:r>
      <w:r>
        <w:rPr/>
        <w:fldChar w:fldCharType="begin"/>
      </w:r>
      <w:r>
        <w:instrText>NOTEREF _Ref_Footnote_6 \h \f</w:instrText>
      </w:r>
      <w:r>
        <w:rPr/>
        <w:fldChar w:fldCharType="separate"/>
      </w:r>
      <w:r>
        <w:rPr>
          <w:vertAlign w:val="superscript"/>
        </w:rPr>
        <w:t>6</w:t>
      </w:r>
      <w:r>
        <w:rPr/>
        <w:fldChar w:fldCharType="end"/>
      </w:r>
      <w:r>
        <w:t>；统一 Shim 层基于 containerd Shim v2 API 实现三运行时的标准化接入</w:t>
      </w:r>
      <w:r>
        <w:t xml:space="preserve"> </w:t>
      </w:r>
      <w:r>
        <w:rPr/>
        <w:fldChar w:fldCharType="begin"/>
      </w:r>
      <w:r>
        <w:instrText>NOTEREF _Ref_Footnote_8 \h \f</w:instrText>
      </w:r>
      <w:r>
        <w:rPr/>
        <w:fldChar w:fldCharType="separate"/>
      </w:r>
      <w:r>
        <w:rPr>
          <w:vertAlign w:val="superscript"/>
        </w:rPr>
        <w:t>8</w:t>
      </w:r>
      <w:r>
        <w:rPr/>
        <w:fldChar w:fldCharType="end"/>
      </w:r>
      <w:r>
        <w:t>。这一层的架构决策是”三运行时共存不合并”——任何试图将三者合并为单一运行时的方案都将面临”不可能三角”（速度、兼容、管理不可兼得）。</w:t>
      </w:r>
    </w:p>
    <w:p w14:paraId="5732F05F">
      <w:pPr>
        <w:pStyle w:val="style66"/>
        <w:rPr/>
      </w:pPr>
      <w:r>
        <w:rPr>
          <w:b/>
          <w:bCs/>
        </w:rPr>
        <w:t>L2 虚拟化抽象层</w:t>
      </w:r>
      <w:r>
        <w:t>提供多 Hypervisor 统一抽象。Cloud Hypervisor（~50k 行 Rust）作为主后端</w:t>
      </w:r>
      <w:r>
        <w:t xml:space="preserve"> </w:t>
      </w:r>
      <w:r>
        <w:rPr>
          <w:vertAlign w:val="superscript"/>
        </w:rPr>
        <w:footnoteReference w:id="19"/>
      </w:r>
      <w:r>
        <w:t>，提供 MicroVM 快速启动、热插拔、实时迁移、VFIO GPU 直通；QEMU/KVM 作为兼容后端，支持遗留 VM 的完整设备模型；MSHV 加速器作为探索后端，面向 Windows + Linux 混合云场景</w:t>
      </w:r>
      <w:r>
        <w:t xml:space="preserve"> </w:t>
      </w:r>
      <w:r>
        <w:rPr>
          <w:vertAlign w:val="superscript"/>
        </w:rPr>
        <w:footnoteReference w:id="20"/>
      </w:r>
      <w:r>
        <w:t>。</w:t>
      </w:r>
    </w:p>
    <w:p w14:paraId="A0A504DD">
      <w:pPr>
        <w:pStyle w:val="style66"/>
        <w:rPr/>
      </w:pPr>
      <w:r>
        <w:rPr>
          <w:b/>
          <w:bCs/>
        </w:rPr>
        <w:t>L1 基础设施层</w:t>
      </w:r>
      <w:r>
        <w:t>包括物理服务器或云虚拟机、Intel VT-x / AMD-V 硬件虚拟化扩展、底层 Hyper-V / KVM / QEMU 引擎，以及 IOMMU 设备直通、NUMA 拓扑、SR-IOV 网络卸载等服务器级特性。</w:t>
      </w:r>
    </w:p>
    <w:bookmarkStart w:id="13" w:name="核心组件拓扑图"/>
    <w:bookmarkEnd w:id="12"/>
    <w:p w14:paraId="B955E461">
      <w:pPr>
        <w:pStyle w:val="style4103"/>
        <w:rPr/>
      </w:pPr>
      <w:r>
        <w:t>1.2.2 核心组件拓扑图</w:t>
      </w:r>
    </w:p>
    <w:p w14:paraId="D6A7DFD8">
      <w:pPr>
        <w:pStyle w:val="style4097"/>
        <w:rPr/>
      </w:pPr>
      <w:r>
        <w:t>下图展示控制平面与数据平面的核心组件及其交互关系。控制平面组件（CubeAPI、CubeMaster、Incus Daemon、K8s API）通过 REST/gRPC 与外部客户端和数据平面通信；数据平面组件（各运行时的 Shim、Hypervisor、Agent）直接运行在宿主机或 MicroVM 中，管理实例的完整生命周期。</w:t>
      </w:r>
    </w:p>
    <w:p w14:paraId="C3C7249B">
      <w:pPr>
        <w:pStyle w:val="style4118"/>
        <w:rPr/>
      </w:pPr>
      <w:r>
        <w:rPr/>
        <w:drawing>
          <wp:inline distL="0" distT="0" distB="0" distR="0">
            <wp:extent cx="5334000" cy="3683720"/>
            <wp:effectExtent l="0" t="0" r="0" b="0"/>
            <wp:docPr id="1028" name="Picture" descr="核心组件拓扑图"/>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r:embed="rId3" cstate="print"/>
                    <a:srcRect l="0" t="0" r="0" b="0"/>
                    <a:stretch/>
                  </pic:blipFill>
                  <pic:spPr>
                    <a:xfrm rot="0">
                      <a:off x="0" y="0"/>
                      <a:ext cx="5334000" cy="3683720"/>
                    </a:xfrm>
                    <a:prstGeom prst="rect"/>
                    <a:ln>
                      <a:noFill/>
                    </a:ln>
                  </pic:spPr>
                </pic:pic>
              </a:graphicData>
            </a:graphic>
          </wp:inline>
        </w:drawing>
      </w:r>
    </w:p>
    <w:p w14:paraId="543D0E85">
      <w:pPr>
        <w:pStyle w:val="style4116"/>
        <w:rPr/>
      </w:pPr>
      <w:r>
        <w:t>核心组件拓扑图</w:t>
      </w:r>
    </w:p>
    <w:p w14:paraId="093ED571">
      <w:pPr>
        <w:pStyle w:val="style66"/>
        <w:rPr/>
      </w:pPr>
      <w:r>
        <w:t>控制平面与数据平面的边界遵循 Kubernetes 声明式范式：控制平面负责”期望状态”的定义与持久化，数据平面负责”实际状态”的执行与汇报。以 CubeSandbox 为例，CubeMaster 将调度决策写入 Cowsql，Cubelet 监听变更并调用 CubeShim 执行 MicroVM 创建</w:t>
      </w:r>
      <w:r>
        <w:t xml:space="preserve"> </w:t>
      </w:r>
      <w:r>
        <w:rPr/>
        <w:fldChar w:fldCharType="begin"/>
      </w:r>
      <w:r>
        <w:instrText>NOTEREF _Ref_Footnote_11 \h \f</w:instrText>
      </w:r>
      <w:r>
        <w:rPr/>
        <w:fldChar w:fldCharType="separate"/>
      </w:r>
      <w:r>
        <w:rPr>
          <w:vertAlign w:val="superscript"/>
        </w:rPr>
        <w:t>11</w:t>
      </w:r>
      <w:r>
        <w:rPr/>
        <w:fldChar w:fldCharType="end"/>
      </w:r>
      <w:r>
        <w:t>；Shim 通过 ttrpc over vsock 与 cube-agent 通信，完成容器工作负载的启动</w:t>
      </w:r>
      <w:r>
        <w:t xml:space="preserve"> </w:t>
      </w:r>
      <w:r>
        <w:rPr/>
        <w:fldChar w:fldCharType="begin"/>
      </w:r>
      <w:r>
        <w:instrText>NOTEREF _Ref_Footnote_8 \h \f</w:instrText>
      </w:r>
      <w:r>
        <w:rPr/>
        <w:fldChar w:fldCharType="separate"/>
      </w:r>
      <w:r>
        <w:rPr>
          <w:vertAlign w:val="superscript"/>
        </w:rPr>
        <w:t>8</w:t>
      </w:r>
      <w:r>
        <w:rPr/>
        <w:fldChar w:fldCharType="end"/>
      </w:r>
      <w:r>
        <w:t>。Kata 采用类似模式：containerd-shim-kata-v2 通过 ttrpc over vsock 与 kata-agent 通信</w:t>
      </w:r>
      <w:r>
        <w:t xml:space="preserve"> </w:t>
      </w:r>
      <w:r>
        <w:rPr/>
        <w:fldChar w:fldCharType="begin"/>
      </w:r>
      <w:r>
        <w:instrText>NOTEREF _Ref_Footnote_9 \h \f</w:instrText>
      </w:r>
      <w:r>
        <w:rPr/>
        <w:fldChar w:fldCharType="separate"/>
      </w:r>
      <w:r>
        <w:rPr>
          <w:vertAlign w:val="superscript"/>
        </w:rPr>
        <w:t>9</w:t>
      </w:r>
      <w:r>
        <w:rPr/>
        <w:fldChar w:fldCharType="end"/>
      </w:r>
      <w:r>
        <w:t>，但启动路径更长（动态创建 VM 而非 O(1) 资源池查找），冷启动 150–500 ms</w:t>
      </w:r>
      <w:r>
        <w:t xml:space="preserve"> </w:t>
      </w:r>
      <w:r>
        <w:rPr/>
        <w:fldChar w:fldCharType="begin"/>
      </w:r>
      <w:r>
        <w:instrText>NOTEREF _Ref_Footnote_5 \h \f</w:instrText>
      </w:r>
      <w:r>
        <w:rPr/>
        <w:fldChar w:fldCharType="separate"/>
      </w:r>
      <w:r>
        <w:rPr>
          <w:vertAlign w:val="superscript"/>
        </w:rPr>
        <w:t>5</w:t>
      </w:r>
      <w:r>
        <w:rPr/>
        <w:fldChar w:fldCharType="end"/>
      </w:r>
      <w:r>
        <w:t>。Incus 则直接调用 LXC 库或 QEMU 命令行</w:t>
      </w:r>
      <w:r>
        <w:t xml:space="preserve"> </w:t>
      </w:r>
      <w:r>
        <w:rPr/>
        <w:fldChar w:fldCharType="begin"/>
      </w:r>
      <w:r>
        <w:instrText>NOTEREF _Ref_Footnote_6 \h \f</w:instrText>
      </w:r>
      <w:r>
        <w:rPr/>
        <w:fldChar w:fldCharType="separate"/>
      </w:r>
      <w:r>
        <w:rPr>
          <w:vertAlign w:val="superscript"/>
        </w:rPr>
        <w:t>6</w:t>
      </w:r>
      <w:r>
        <w:rPr/>
        <w:fldChar w:fldCharType="end"/>
      </w:r>
      <w:r>
        <w:t>，不经过 containerd Shim，更适合长生命周期系统容器和 VM。</w:t>
      </w:r>
    </w:p>
    <w:p w14:paraId="4498DFB0">
      <w:pPr>
        <w:pStyle w:val="style66"/>
        <w:rPr/>
      </w:pPr>
      <w:r>
        <w:t>三运行时均在 containerd 中注册为独立的 runtime handler：CubeSandbox 为</w:t>
      </w:r>
      <w:r>
        <w:t xml:space="preserve"> </w:t>
      </w:r>
      <w:r>
        <w:rPr>
          <w:rStyle w:val="style4120"/>
        </w:rPr>
        <w:t>io.containerd.cube.v2</w:t>
      </w:r>
      <w:r>
        <w:t xml:space="preserve"> </w:t>
      </w:r>
      <w:r>
        <w:rPr/>
        <w:fldChar w:fldCharType="begin"/>
      </w:r>
      <w:r>
        <w:instrText>NOTEREF _Ref_Footnote_8 \h \f</w:instrText>
      </w:r>
      <w:r>
        <w:rPr/>
        <w:fldChar w:fldCharType="separate"/>
      </w:r>
      <w:r>
        <w:rPr>
          <w:vertAlign w:val="superscript"/>
        </w:rPr>
        <w:t>8</w:t>
      </w:r>
      <w:r>
        <w:rPr/>
        <w:fldChar w:fldCharType="end"/>
      </w:r>
      <w:r>
        <w:t>，Kata 为</w:t>
      </w:r>
      <w:r>
        <w:t xml:space="preserve"> </w:t>
      </w:r>
      <w:r>
        <w:rPr>
          <w:rStyle w:val="style4120"/>
        </w:rPr>
        <w:t>io.containerd.kata.v2</w:t>
      </w:r>
      <w:r>
        <w:t xml:space="preserve"> </w:t>
      </w:r>
      <w:r>
        <w:rPr>
          <w:vertAlign w:val="superscript"/>
        </w:rPr>
        <w:footnoteReference w:id="21"/>
      </w:r>
      <w:r>
        <w:t>，Incus 通过适配器注册为</w:t>
      </w:r>
      <w:r>
        <w:t xml:space="preserve"> </w:t>
      </w:r>
      <w:r>
        <w:rPr>
          <w:rStyle w:val="style4120"/>
        </w:rPr>
        <w:t>io.containerd.incus.v2</w:t>
      </w:r>
      <w:r>
        <w:t>。RuntimeClass 将 workload 类型映射到对应 handler：</w:t>
      </w:r>
    </w:p>
    <w:tbl>
      <w:tblPr>
        <w:tblStyle w:val="style4111"/>
        <w:tblW w:w="5000" w:type="pct"/>
        <w:tblLook w:val="0020" w:firstRow="1" w:lastRow="0" w:firstColumn="0" w:lastColumn="0" w:noHBand="0" w:noVBand="0"/>
      </w:tblPr>
      <w:tblGrid>
        <w:gridCol w:w="1718"/>
        <w:gridCol w:w="2856"/>
        <w:gridCol w:w="1845"/>
        <w:gridCol w:w="1502"/>
      </w:tblGrid>
      <w:tr w14:paraId="D61FEF3A">
        <w:trPr>
          <w:tblHeader/>
        </w:trPr>
        <w:tc>
          <w:tcPr>
            <w:tcW w:w="0" w:type="auto"/>
            <w:tcBorders/>
          </w:tcPr>
          <w:p w14:paraId="C71AB138">
            <w:pPr>
              <w:pStyle w:val="style4098"/>
              <w:jc w:val="left"/>
              <w:rPr/>
            </w:pPr>
            <w:r>
              <w:t>RuntimeClass</w:t>
            </w:r>
          </w:p>
        </w:tc>
        <w:tc>
          <w:tcPr>
            <w:tcW w:w="0" w:type="auto"/>
            <w:tcBorders/>
          </w:tcPr>
          <w:p w14:paraId="1D21D509">
            <w:pPr>
              <w:pStyle w:val="style4098"/>
              <w:jc w:val="left"/>
              <w:rPr/>
            </w:pPr>
            <w:r>
              <w:t>Handler</w:t>
            </w:r>
          </w:p>
        </w:tc>
        <w:tc>
          <w:tcPr>
            <w:tcW w:w="0" w:type="auto"/>
            <w:tcBorders/>
          </w:tcPr>
          <w:p w14:paraId="5D509352">
            <w:pPr>
              <w:pStyle w:val="style4098"/>
              <w:jc w:val="left"/>
              <w:rPr/>
            </w:pPr>
            <w:r>
              <w:t>目标运行时</w:t>
            </w:r>
          </w:p>
        </w:tc>
        <w:tc>
          <w:tcPr>
            <w:tcW w:w="0" w:type="auto"/>
            <w:tcBorders/>
          </w:tcPr>
          <w:p w14:paraId="0E55CA70">
            <w:pPr>
              <w:pStyle w:val="style4098"/>
              <w:jc w:val="left"/>
              <w:rPr/>
            </w:pPr>
            <w:r>
              <w:t>典型工作负载</w:t>
            </w:r>
          </w:p>
        </w:tc>
      </w:tr>
      <w:tr w14:paraId="B9EA8AB2">
        <w:tblPrEx/>
        <w:trPr/>
        <w:tc>
          <w:tcPr>
            <w:tcW w:w="0" w:type="auto"/>
            <w:tcBorders/>
          </w:tcPr>
          <w:p w14:paraId="B7360A55">
            <w:pPr>
              <w:pStyle w:val="style4098"/>
              <w:jc w:val="left"/>
              <w:rPr/>
            </w:pPr>
            <w:r>
              <w:rPr>
                <w:rStyle w:val="style4120"/>
              </w:rPr>
              <w:t>cube</w:t>
            </w:r>
          </w:p>
        </w:tc>
        <w:tc>
          <w:tcPr>
            <w:tcW w:w="0" w:type="auto"/>
            <w:tcBorders/>
          </w:tcPr>
          <w:p w14:paraId="FAC034AC">
            <w:pPr>
              <w:pStyle w:val="style4098"/>
              <w:jc w:val="left"/>
              <w:rPr/>
            </w:pPr>
            <w:r>
              <w:rPr>
                <w:rStyle w:val="style4120"/>
              </w:rPr>
              <w:t>io.containerd.cube.v2</w:t>
            </w:r>
          </w:p>
        </w:tc>
        <w:tc>
          <w:tcPr>
            <w:tcW w:w="0" w:type="auto"/>
            <w:tcBorders/>
          </w:tcPr>
          <w:p w14:paraId="B747C8B6">
            <w:pPr>
              <w:pStyle w:val="style4098"/>
              <w:jc w:val="left"/>
              <w:rPr/>
            </w:pPr>
            <w:r>
              <w:t>CubeSandbox</w:t>
            </w:r>
          </w:p>
        </w:tc>
        <w:tc>
          <w:tcPr>
            <w:tcW w:w="0" w:type="auto"/>
            <w:tcBorders/>
          </w:tcPr>
          <w:p w14:paraId="E825FE61">
            <w:pPr>
              <w:pStyle w:val="style4098"/>
              <w:jc w:val="left"/>
              <w:rPr/>
            </w:pPr>
            <w:r>
              <w:t>AI Agent 代码执行、毫秒级沙箱</w:t>
            </w:r>
          </w:p>
        </w:tc>
      </w:tr>
      <w:tr w14:paraId="8C08288E">
        <w:tblPrEx/>
        <w:trPr/>
        <w:tc>
          <w:tcPr>
            <w:tcW w:w="0" w:type="auto"/>
            <w:tcBorders/>
          </w:tcPr>
          <w:p w14:paraId="505FA933">
            <w:pPr>
              <w:pStyle w:val="style4098"/>
              <w:jc w:val="left"/>
              <w:rPr/>
            </w:pPr>
            <w:r>
              <w:rPr>
                <w:rStyle w:val="style4120"/>
              </w:rPr>
              <w:t>kata-clh</w:t>
            </w:r>
          </w:p>
        </w:tc>
        <w:tc>
          <w:tcPr>
            <w:tcW w:w="0" w:type="auto"/>
            <w:tcBorders/>
          </w:tcPr>
          <w:p w14:paraId="0FD22B80">
            <w:pPr>
              <w:pStyle w:val="style4098"/>
              <w:jc w:val="left"/>
              <w:rPr/>
            </w:pPr>
            <w:r>
              <w:rPr>
                <w:rStyle w:val="style4120"/>
              </w:rPr>
              <w:t>io.containerd.kata.v2</w:t>
            </w:r>
            <w:r>
              <w:t xml:space="preserve"> </w:t>
            </w:r>
            <w:r>
              <w:t>(cloud-hypervisor)</w:t>
            </w:r>
          </w:p>
        </w:tc>
        <w:tc>
          <w:tcPr>
            <w:tcW w:w="0" w:type="auto"/>
            <w:tcBorders/>
          </w:tcPr>
          <w:p w14:paraId="62C968EA">
            <w:pPr>
              <w:pStyle w:val="style4098"/>
              <w:jc w:val="left"/>
              <w:rPr/>
            </w:pPr>
            <w:r>
              <w:t>Kata + Cloud HV</w:t>
            </w:r>
          </w:p>
        </w:tc>
        <w:tc>
          <w:tcPr>
            <w:tcW w:w="0" w:type="auto"/>
            <w:tcBorders/>
          </w:tcPr>
          <w:p w14:paraId="75FE79C8">
            <w:pPr>
              <w:pStyle w:val="style4098"/>
              <w:jc w:val="left"/>
              <w:rPr/>
            </w:pPr>
            <w:r>
              <w:t>多租户安全容器、OCI 应用</w:t>
            </w:r>
          </w:p>
        </w:tc>
      </w:tr>
      <w:tr w14:paraId="CCACCADF">
        <w:tblPrEx/>
        <w:trPr/>
        <w:tc>
          <w:tcPr>
            <w:tcW w:w="0" w:type="auto"/>
            <w:tcBorders/>
          </w:tcPr>
          <w:p w14:paraId="171EC1B1">
            <w:pPr>
              <w:pStyle w:val="style4098"/>
              <w:jc w:val="left"/>
              <w:rPr/>
            </w:pPr>
            <w:r>
              <w:rPr>
                <w:rStyle w:val="style4120"/>
              </w:rPr>
              <w:t>kata-qemu</w:t>
            </w:r>
          </w:p>
        </w:tc>
        <w:tc>
          <w:tcPr>
            <w:tcW w:w="0" w:type="auto"/>
            <w:tcBorders/>
          </w:tcPr>
          <w:p w14:paraId="02F14935">
            <w:pPr>
              <w:pStyle w:val="style4098"/>
              <w:jc w:val="left"/>
              <w:rPr/>
            </w:pPr>
            <w:r>
              <w:rPr>
                <w:rStyle w:val="style4120"/>
              </w:rPr>
              <w:t>io.containerd.kata.v2</w:t>
            </w:r>
            <w:r>
              <w:t xml:space="preserve"> </w:t>
            </w:r>
            <w:r>
              <w:t>(qemu)</w:t>
            </w:r>
          </w:p>
        </w:tc>
        <w:tc>
          <w:tcPr>
            <w:tcW w:w="0" w:type="auto"/>
            <w:tcBorders/>
          </w:tcPr>
          <w:p w14:paraId="21CAFA11">
            <w:pPr>
              <w:pStyle w:val="style4098"/>
              <w:jc w:val="left"/>
              <w:rPr/>
            </w:pPr>
            <w:r>
              <w:t>Kata + QEMU</w:t>
            </w:r>
          </w:p>
        </w:tc>
        <w:tc>
          <w:tcPr>
            <w:tcW w:w="0" w:type="auto"/>
            <w:tcBorders/>
          </w:tcPr>
          <w:p w14:paraId="405E1474">
            <w:pPr>
              <w:pStyle w:val="style4098"/>
              <w:jc w:val="left"/>
              <w:rPr/>
            </w:pPr>
            <w:r>
              <w:t>需完整设备模型的安全容器</w:t>
            </w:r>
          </w:p>
        </w:tc>
      </w:tr>
      <w:tr w14:paraId="2DBCD27E">
        <w:tblPrEx/>
        <w:trPr/>
        <w:tc>
          <w:tcPr>
            <w:tcW w:w="0" w:type="auto"/>
            <w:tcBorders/>
          </w:tcPr>
          <w:p w14:paraId="F42A5712">
            <w:pPr>
              <w:pStyle w:val="style4098"/>
              <w:jc w:val="left"/>
              <w:rPr/>
            </w:pPr>
            <w:r>
              <w:rPr>
                <w:rStyle w:val="style4120"/>
              </w:rPr>
              <w:t>incus-lxc</w:t>
            </w:r>
          </w:p>
        </w:tc>
        <w:tc>
          <w:tcPr>
            <w:tcW w:w="0" w:type="auto"/>
            <w:tcBorders/>
          </w:tcPr>
          <w:p w14:paraId="B09B19A7">
            <w:pPr>
              <w:pStyle w:val="style4098"/>
              <w:jc w:val="left"/>
              <w:rPr/>
            </w:pPr>
            <w:r>
              <w:rPr>
                <w:rStyle w:val="style4120"/>
              </w:rPr>
              <w:t>io.containerd.incus.v2</w:t>
            </w:r>
            <w:r>
              <w:t xml:space="preserve"> </w:t>
            </w:r>
            <w:r>
              <w:t>(lxc)</w:t>
            </w:r>
          </w:p>
        </w:tc>
        <w:tc>
          <w:tcPr>
            <w:tcW w:w="0" w:type="auto"/>
            <w:tcBorders/>
          </w:tcPr>
          <w:p w14:paraId="E121570F">
            <w:pPr>
              <w:pStyle w:val="style4098"/>
              <w:jc w:val="left"/>
              <w:rPr/>
            </w:pPr>
            <w:r>
              <w:t>Incus LXC</w:t>
            </w:r>
          </w:p>
        </w:tc>
        <w:tc>
          <w:tcPr>
            <w:tcW w:w="0" w:type="auto"/>
            <w:tcBorders/>
          </w:tcPr>
          <w:p w14:paraId="A6422402">
            <w:pPr>
              <w:pStyle w:val="style4098"/>
              <w:jc w:val="left"/>
              <w:rPr/>
            </w:pPr>
            <w:r>
              <w:t>系统容器、有状态服务</w:t>
            </w:r>
          </w:p>
        </w:tc>
      </w:tr>
      <w:tr w14:paraId="0C6FC48C">
        <w:tblPrEx/>
        <w:trPr/>
        <w:tc>
          <w:tcPr>
            <w:tcW w:w="0" w:type="auto"/>
            <w:tcBorders/>
          </w:tcPr>
          <w:p w14:paraId="6646F82F">
            <w:pPr>
              <w:pStyle w:val="style4098"/>
              <w:jc w:val="left"/>
              <w:rPr/>
            </w:pPr>
            <w:r>
              <w:rPr>
                <w:rStyle w:val="style4120"/>
              </w:rPr>
              <w:t>incus-vm</w:t>
            </w:r>
          </w:p>
        </w:tc>
        <w:tc>
          <w:tcPr>
            <w:tcW w:w="0" w:type="auto"/>
            <w:tcBorders/>
          </w:tcPr>
          <w:p w14:paraId="D36B6825">
            <w:pPr>
              <w:pStyle w:val="style4098"/>
              <w:jc w:val="left"/>
              <w:rPr/>
            </w:pPr>
            <w:r>
              <w:rPr>
                <w:rStyle w:val="style4120"/>
              </w:rPr>
              <w:t>io.containerd.incus.v2</w:t>
            </w:r>
            <w:r>
              <w:t xml:space="preserve"> </w:t>
            </w:r>
            <w:r>
              <w:t>(qemu)</w:t>
            </w:r>
          </w:p>
        </w:tc>
        <w:tc>
          <w:tcPr>
            <w:tcW w:w="0" w:type="auto"/>
            <w:tcBorders/>
          </w:tcPr>
          <w:p w14:paraId="2EEDB1C5">
            <w:pPr>
              <w:pStyle w:val="style4098"/>
              <w:jc w:val="left"/>
              <w:rPr/>
            </w:pPr>
            <w:r>
              <w:t>Incus QEMU/KVM</w:t>
            </w:r>
          </w:p>
        </w:tc>
        <w:tc>
          <w:tcPr>
            <w:tcW w:w="0" w:type="auto"/>
            <w:tcBorders/>
          </w:tcPr>
          <w:p w14:paraId="E1CEA4FF">
            <w:pPr>
              <w:pStyle w:val="style4098"/>
              <w:jc w:val="left"/>
              <w:rPr/>
            </w:pPr>
            <w:r>
              <w:t>完整 VM、遗留应用迁移</w:t>
            </w:r>
          </w:p>
        </w:tc>
      </w:tr>
    </w:tbl>
    <w:p w14:paraId="6352657E">
      <w:pPr>
        <w:pStyle w:val="style66"/>
        <w:rPr/>
      </w:pPr>
      <w:r>
        <w:t>RuntimeClass 的</w:t>
      </w:r>
      <w:r>
        <w:t xml:space="preserve"> </w:t>
      </w:r>
      <w:r>
        <w:rPr>
          <w:rStyle w:val="style4120"/>
        </w:rPr>
        <w:t>scheduling</w:t>
      </w:r>
      <w:r>
        <w:t xml:space="preserve"> </w:t>
      </w:r>
      <w:r>
        <w:t>字段确保工作负载被调度到支持对应运行时的节点，使异构节点（部分仅支持 KVM、部分支持 Hyper-V、部分专用为沙箱节点）可在同一集群协同工作</w:t>
      </w:r>
      <w:r>
        <w:t xml:space="preserve"> </w:t>
      </w:r>
      <w:r>
        <w:rPr/>
        <w:fldChar w:fldCharType="begin"/>
      </w:r>
      <w:r>
        <w:instrText>NOTEREF _Ref_Footnote_7 \h \f</w:instrText>
      </w:r>
      <w:r>
        <w:rPr/>
        <w:fldChar w:fldCharType="separate"/>
      </w:r>
      <w:r>
        <w:rPr>
          <w:vertAlign w:val="superscript"/>
        </w:rPr>
        <w:t>7</w:t>
      </w:r>
      <w:r>
        <w:rPr/>
        <w:fldChar w:fldCharType="end"/>
      </w:r>
      <w:r>
        <w:t>。</w:t>
      </w:r>
    </w:p>
    <w:bookmarkStart w:id="14" w:name="数据流与控制流分离设计"/>
    <w:bookmarkEnd w:id="13"/>
    <w:p w14:paraId="D70B4884">
      <w:pPr>
        <w:pStyle w:val="style4103"/>
        <w:rPr/>
      </w:pPr>
      <w:r>
        <w:t>1.2.3 数据流与控制流分离设计</w:t>
      </w:r>
    </w:p>
    <w:p w14:paraId="51BAE9E2">
      <w:pPr>
        <w:pStyle w:val="style4097"/>
        <w:rPr/>
      </w:pPr>
      <w:r>
        <w:t>管理流量与实例流量在物理路径上严格分离。控制流（API 调用、状态同步、调度决策）通过 REST/gRPC 走标准网络栈，延迟要求 10–100 ms 级。数据流（实例网络 I/O、存储 I/O）通过 eBPF/XDP 加速路径，延迟为微秒级。</w:t>
      </w:r>
    </w:p>
    <w:p w14:paraId="60C77592">
      <w:pPr>
        <w:pStyle w:val="style66"/>
        <w:rPr/>
      </w:pPr>
      <w:r>
        <w:t>CubeSandbox MicroVM 的网络由 CubeVS（基于 eBPF/XDP 的虚拟交换机）处理：eBPF 程序挂载在 TAP 接口的 XDP 钩子处，在内核态完成包转发和过滤</w:t>
      </w:r>
      <w:r>
        <w:t xml:space="preserve"> </w:t>
      </w:r>
      <w:r>
        <w:rPr/>
        <w:fldChar w:fldCharType="begin"/>
      </w:r>
      <w:r>
        <w:instrText>NOTEREF _Ref_Footnote_3 \h \f</w:instrText>
      </w:r>
      <w:r>
        <w:rPr/>
        <w:fldChar w:fldCharType="separate"/>
      </w:r>
      <w:r>
        <w:rPr>
          <w:vertAlign w:val="superscript"/>
        </w:rPr>
        <w:t>3</w:t>
      </w:r>
      <w:r>
        <w:rPr/>
        <w:fldChar w:fldCharType="end"/>
      </w:r>
      <w:r>
        <w:t>。XDP 可实现单核 2{,}400 万包/秒（~24 Mpps）</w:t>
      </w:r>
      <w:r>
        <w:rPr>
          <w:vertAlign w:val="superscript"/>
        </w:rPr>
        <w:footnoteReference w:id="22"/>
      </w:r>
      <w:r>
        <w:t>，比传统 iptables（O(N) 查找，50–200 μs）提升一个数量级。Cilium 基于 eBPF 处理 Kubernetes Pod 网络，提供 O(1) 的 NetworkPolicy 执行和 2–5 μs 转发延迟</w:t>
      </w:r>
      <w:r>
        <w:t xml:space="preserve"> </w:t>
      </w:r>
      <w:r>
        <w:rPr/>
        <w:fldChar w:fldCharType="begin"/>
      </w:r>
      <w:r>
        <w:instrText>NOTEREF _Ref_Footnote_15 \h \f</w:instrText>
      </w:r>
      <w:r>
        <w:rPr/>
        <w:fldChar w:fldCharType="separate"/>
      </w:r>
      <w:r>
        <w:rPr>
          <w:vertAlign w:val="superscript"/>
        </w:rPr>
        <w:t>15</w:t>
      </w:r>
      <w:r>
        <w:rPr/>
        <w:fldChar w:fldCharType="end"/>
      </w:r>
      <w:r>
        <w:t>。存储 I/O 分层加速路径见第 5 章。</w:t>
      </w:r>
    </w:p>
    <w:bookmarkStart w:id="15" w:name="核心设计原则"/>
    <w:bookmarkEnd w:id="14"/>
    <w:bookmarkEnd w:id="11"/>
    <w:p w14:paraId="D47C8F8C">
      <w:pPr>
        <w:pStyle w:val="style4102"/>
        <w:rPr/>
      </w:pPr>
      <w:r>
        <w:t>1.3 核心设计原则</w:t>
      </w:r>
    </w:p>
    <w:bookmarkStart w:id="16" w:name="三运行时共存不合并原则"/>
    <w:p w14:paraId="AAC79B43">
      <w:pPr>
        <w:pStyle w:val="style4103"/>
        <w:rPr/>
      </w:pPr>
      <w:r>
        <w:t>1.3.1 三运行时共存不合并原则</w:t>
      </w:r>
    </w:p>
    <w:p w14:paraId="D0E7B1C6">
      <w:pPr>
        <w:pStyle w:val="style4097"/>
        <w:rPr/>
      </w:pPr>
      <w:r>
        <w:t>平台第一性原则是保留 CubeSandbox、Kata、Incus 三运行时的独立存在。CubeSandbox 的 &lt;60 ms 冷启动依赖资源池预置 + CoW 克隆</w:t>
      </w:r>
      <w:r>
        <w:t xml:space="preserve"> </w:t>
      </w:r>
      <w:r>
        <w:rPr/>
        <w:fldChar w:fldCharType="begin"/>
      </w:r>
      <w:r>
        <w:instrText>NOTEREF _Ref_Footnote_4 \h \f</w:instrText>
      </w:r>
      <w:r>
        <w:rPr/>
        <w:fldChar w:fldCharType="separate"/>
      </w:r>
      <w:r>
        <w:rPr>
          <w:vertAlign w:val="superscript"/>
        </w:rPr>
        <w:t>4</w:t>
      </w:r>
      <w:r>
        <w:rPr/>
        <w:fldChar w:fldCharType="end"/>
      </w:r>
      <w:r>
        <w:t>和裁剪设备模型（仅 6 种 virtio 设备）</w:t>
      </w:r>
      <w:r>
        <w:rPr/>
        <w:fldChar w:fldCharType="begin"/>
      </w:r>
      <w:r>
        <w:instrText>NOTEREF _Ref_Footnote_3 \h \f</w:instrText>
      </w:r>
      <w:r>
        <w:rPr/>
        <w:fldChar w:fldCharType="separate"/>
      </w:r>
      <w:r>
        <w:rPr>
          <w:vertAlign w:val="superscript"/>
        </w:rPr>
        <w:t>3</w:t>
      </w:r>
      <w:r>
        <w:rPr/>
        <w:fldChar w:fldCharType="end"/>
      </w:r>
      <w:r>
        <w:t>，无法支持 QEMU 完整设备集；Kata 的 OCI/CRI 兼容性依赖完整系统仿真</w:t>
      </w:r>
      <w:r>
        <w:t xml:space="preserve"> </w:t>
      </w:r>
      <w:r>
        <w:rPr/>
        <w:fldChar w:fldCharType="begin"/>
      </w:r>
      <w:r>
        <w:instrText>NOTEREF _Ref_Footnote_21 \h \f</w:instrText>
      </w:r>
      <w:r>
        <w:rPr/>
        <w:fldChar w:fldCharType="separate"/>
      </w:r>
      <w:r>
        <w:rPr>
          <w:vertAlign w:val="superscript"/>
        </w:rPr>
        <w:t>21</w:t>
      </w:r>
      <w:r>
        <w:rPr/>
        <w:fldChar w:fldCharType="end"/>
      </w:r>
      <w:r>
        <w:t>；Incus 的管理语义（实时迁移、CPU 热插拔）与 AI Agent 沙箱的瞬态生命周期截然不同</w:t>
      </w:r>
      <w:r>
        <w:t xml:space="preserve"> </w:t>
      </w:r>
      <w:r>
        <w:rPr/>
        <w:fldChar w:fldCharType="begin"/>
      </w:r>
      <w:r>
        <w:instrText>NOTEREF _Ref_Footnote_6 \h \f</w:instrText>
      </w:r>
      <w:r>
        <w:rPr/>
        <w:fldChar w:fldCharType="separate"/>
      </w:r>
      <w:r>
        <w:rPr>
          <w:vertAlign w:val="superscript"/>
        </w:rPr>
        <w:t>6</w:t>
      </w:r>
      <w:r>
        <w:rPr/>
        <w:fldChar w:fldCharType="end"/>
      </w:r>
      <w:r>
        <w:t>。三者通过 RuntimeClass 按工作负载自动选择最优路径，统一 Shim 层提供标准化的 containerd 集成面。</w:t>
      </w:r>
    </w:p>
    <w:bookmarkStart w:id="17" w:name="预置化为第一性原则"/>
    <w:bookmarkEnd w:id="16"/>
    <w:p w14:paraId="5283206B">
      <w:pPr>
        <w:pStyle w:val="style4103"/>
        <w:rPr/>
      </w:pPr>
      <w:r>
        <w:t>1.3.2 预置化为第一性原则</w:t>
      </w:r>
    </w:p>
    <w:p w14:paraId="5E6603CF">
      <w:pPr>
        <w:pStyle w:val="style4097"/>
        <w:rPr/>
      </w:pPr>
      <w:r>
        <w:t>CubeSandbox 的 &lt;60 ms 启动揭示了跨维度通用性能范式：将运行时初始化从”请求时串行”转变为”后台并行预置”</w:t>
      </w:r>
      <w:r>
        <w:t xml:space="preserve"> </w:t>
      </w:r>
      <w:r>
        <w:rPr/>
        <w:fldChar w:fldCharType="begin"/>
      </w:r>
      <w:r>
        <w:instrText>NOTEREF _Ref_Footnote_11 \h \f</w:instrText>
      </w:r>
      <w:r>
        <w:rPr/>
        <w:fldChar w:fldCharType="separate"/>
      </w:r>
      <w:r>
        <w:rPr>
          <w:vertAlign w:val="superscript"/>
        </w:rPr>
        <w:t>11</w:t>
      </w:r>
      <w:r>
        <w:rPr/>
        <w:fldChar w:fldCharType="end"/>
      </w:r>
      <w:r>
        <w:t>。该范式在存储（CoW 快照）、网络（eBPF 预注入）、调度（资源池装箱）三层同时生效——50 并发下平均延迟 67 ms，P95 = 90 ms，P99 = 137 ms</w:t>
      </w:r>
      <w:r>
        <w:t xml:space="preserve"> </w:t>
      </w:r>
      <w:r>
        <w:rPr/>
        <w:fldChar w:fldCharType="begin"/>
      </w:r>
      <w:r>
        <w:instrText>NOTEREF _Ref_Footnote_4 \h \f</w:instrText>
      </w:r>
      <w:r>
        <w:rPr/>
        <w:fldChar w:fldCharType="separate"/>
      </w:r>
      <w:r>
        <w:rPr>
          <w:vertAlign w:val="superscript"/>
        </w:rPr>
        <w:t>4</w:t>
      </w:r>
      <w:r>
        <w:rPr/>
        <w:fldChar w:fldCharType="end"/>
      </w:r>
      <w:r>
        <w:t>，呈亚线性扩展。Kata 的 VM Templating</w:t>
      </w:r>
      <w:r>
        <w:t xml:space="preserve"> </w:t>
      </w:r>
      <w:r>
        <w:rPr>
          <w:vertAlign w:val="superscript"/>
        </w:rPr>
        <w:footnoteReference w:id="23"/>
      </w:r>
      <w:r>
        <w:t>、RunD 的预修补进程（88 ms 启动，2{,}500+ 容器/节点）</w:t>
      </w:r>
      <w:r>
        <w:rPr/>
        <w:fldChar w:fldCharType="begin"/>
      </w:r>
      <w:r>
        <w:instrText>NOTEREF _Ref_Footnote_23 \h \f</w:instrText>
      </w:r>
      <w:r>
        <w:rPr/>
        <w:fldChar w:fldCharType="separate"/>
      </w:r>
      <w:r>
        <w:rPr>
          <w:vertAlign w:val="superscript"/>
        </w:rPr>
        <w:t>23</w:t>
      </w:r>
      <w:r>
        <w:rPr/>
        <w:fldChar w:fldCharType="end"/>
      </w:r>
      <w:r>
        <w:t>、以及存储层的 XFS reflink</w:t>
      </w:r>
      <w:r>
        <w:t xml:space="preserve"> </w:t>
      </w:r>
      <w:r>
        <w:rPr>
          <w:vertAlign w:val="superscript"/>
        </w:rPr>
        <w:footnoteReference w:id="24"/>
      </w:r>
      <w:r>
        <w:t>和 ZFS snapshot</w:t>
      </w:r>
      <w:r>
        <w:t xml:space="preserve"> </w:t>
      </w:r>
      <w:r>
        <w:rPr>
          <w:vertAlign w:val="superscript"/>
        </w:rPr>
        <w:footnoteReference w:id="25"/>
      </w:r>
      <w:r>
        <w:t>均采用同一范式。架构设计应将预置化贯穿所有层面，资源池跨运行时共享。</w:t>
      </w:r>
    </w:p>
    <w:bookmarkStart w:id="18" w:name="主后端优先策略"/>
    <w:bookmarkEnd w:id="17"/>
    <w:p w14:paraId="96E6957D">
      <w:pPr>
        <w:pStyle w:val="style4103"/>
        <w:rPr/>
      </w:pPr>
      <w:r>
        <w:t>1.3.3 主后端优先策略</w:t>
      </w:r>
    </w:p>
    <w:p w14:paraId="B80AD254">
      <w:pPr>
        <w:pStyle w:val="style4097"/>
        <w:rPr/>
      </w:pPr>
      <w:r>
        <w:t>多 Hypervisor 支持存在”抽象层膨胀”风险</w:t>
      </w:r>
      <w:r>
        <w:t xml:space="preserve"> </w:t>
      </w:r>
      <w:r>
        <w:rPr>
          <w:vertAlign w:val="superscript"/>
        </w:rPr>
        <w:footnoteReference w:id="26"/>
      </w:r>
      <w:r>
        <w:t>。oVirt 项目的教训表明，多层转换（engine → VDSM → libvirt）导致 bug 难以调试</w:t>
      </w:r>
      <w:r>
        <w:t xml:space="preserve"> </w:t>
      </w:r>
      <w:r>
        <w:rPr/>
        <w:fldChar w:fldCharType="begin"/>
      </w:r>
      <w:r>
        <w:instrText>NOTEREF _Ref_Footnote_26 \h \f</w:instrText>
      </w:r>
      <w:r>
        <w:rPr/>
        <w:fldChar w:fldCharType="separate"/>
      </w:r>
      <w:r>
        <w:rPr>
          <w:vertAlign w:val="superscript"/>
        </w:rPr>
        <w:t>26</w:t>
      </w:r>
      <w:r>
        <w:rPr/>
        <w:fldChar w:fldCharType="end"/>
      </w:r>
      <w:r>
        <w:t>；即使是 Kata 社区，Firecracker 后端也不支持热插拔和文件系统共享</w:t>
      </w:r>
      <w:r>
        <w:t xml:space="preserve"> </w:t>
      </w:r>
      <w:r>
        <w:rPr/>
        <w:fldChar w:fldCharType="begin"/>
      </w:r>
      <w:r>
        <w:instrText>NOTEREF _Ref_Footnote_9 \h \f</w:instrText>
      </w:r>
      <w:r>
        <w:rPr/>
        <w:fldChar w:fldCharType="separate"/>
      </w:r>
      <w:r>
        <w:rPr>
          <w:vertAlign w:val="superscript"/>
        </w:rPr>
        <w:t>9</w:t>
      </w:r>
      <w:r>
        <w:rPr/>
        <w:fldChar w:fldCharType="end"/>
      </w:r>
      <w:r>
        <w:t>。本平台采用三级后端策略：</w:t>
      </w:r>
    </w:p>
    <w:tbl>
      <w:tblPr>
        <w:tblStyle w:val="style4111"/>
        <w:tblW w:w="5000" w:type="pct"/>
        <w:tblLook w:val="0020" w:firstRow="1" w:lastRow="0" w:firstColumn="0" w:lastColumn="0" w:noHBand="0" w:noVBand="0"/>
      </w:tblPr>
      <w:tblGrid>
        <w:gridCol w:w="866"/>
        <w:gridCol w:w="1864"/>
        <w:gridCol w:w="3098"/>
        <w:gridCol w:w="1129"/>
        <w:gridCol w:w="963"/>
      </w:tblGrid>
      <w:tr w14:paraId="CA80818F">
        <w:trPr>
          <w:tblHeader/>
        </w:trPr>
        <w:tc>
          <w:tcPr>
            <w:tcW w:w="0" w:type="auto"/>
            <w:tcBorders/>
          </w:tcPr>
          <w:p w14:paraId="AE05B341">
            <w:pPr>
              <w:pStyle w:val="style4098"/>
              <w:jc w:val="left"/>
              <w:rPr/>
            </w:pPr>
            <w:r>
              <w:t>后端角色</w:t>
            </w:r>
          </w:p>
        </w:tc>
        <w:tc>
          <w:tcPr>
            <w:tcW w:w="0" w:type="auto"/>
            <w:tcBorders/>
          </w:tcPr>
          <w:p w14:paraId="3FCC0A62">
            <w:pPr>
              <w:pStyle w:val="style4098"/>
              <w:jc w:val="left"/>
              <w:rPr/>
            </w:pPr>
            <w:r>
              <w:t>VMM</w:t>
            </w:r>
          </w:p>
        </w:tc>
        <w:tc>
          <w:tcPr>
            <w:tcW w:w="0" w:type="auto"/>
            <w:tcBorders/>
          </w:tcPr>
          <w:p w14:paraId="848E9966">
            <w:pPr>
              <w:pStyle w:val="style4098"/>
              <w:jc w:val="left"/>
              <w:rPr/>
            </w:pPr>
            <w:r>
              <w:t>功能覆盖</w:t>
            </w:r>
          </w:p>
        </w:tc>
        <w:tc>
          <w:tcPr>
            <w:tcW w:w="0" w:type="auto"/>
            <w:tcBorders/>
          </w:tcPr>
          <w:p w14:paraId="196CD7FC">
            <w:pPr>
              <w:pStyle w:val="style4098"/>
              <w:jc w:val="left"/>
              <w:rPr/>
            </w:pPr>
            <w:r>
              <w:t>测试策略</w:t>
            </w:r>
          </w:p>
        </w:tc>
        <w:tc>
          <w:tcPr>
            <w:tcW w:w="0" w:type="auto"/>
            <w:tcBorders/>
          </w:tcPr>
          <w:p w14:paraId="DBB19263">
            <w:pPr>
              <w:pStyle w:val="style4098"/>
              <w:jc w:val="left"/>
              <w:rPr/>
            </w:pPr>
            <w:r>
              <w:t>投入比例</w:t>
            </w:r>
          </w:p>
        </w:tc>
      </w:tr>
      <w:tr w14:paraId="D699FA5C">
        <w:tblPrEx/>
        <w:trPr/>
        <w:tc>
          <w:tcPr>
            <w:tcW w:w="0" w:type="auto"/>
            <w:tcBorders/>
          </w:tcPr>
          <w:p w14:paraId="EAA0D912">
            <w:pPr>
              <w:pStyle w:val="style4098"/>
              <w:jc w:val="left"/>
              <w:rPr/>
            </w:pPr>
            <w:r>
              <w:rPr>
                <w:b/>
                <w:bCs/>
              </w:rPr>
              <w:t>主后端</w:t>
            </w:r>
          </w:p>
        </w:tc>
        <w:tc>
          <w:tcPr>
            <w:tcW w:w="0" w:type="auto"/>
            <w:tcBorders/>
          </w:tcPr>
          <w:p w14:paraId="1028373E">
            <w:pPr>
              <w:pStyle w:val="style4098"/>
              <w:jc w:val="left"/>
              <w:rPr/>
            </w:pPr>
            <w:r>
              <w:t>Cloud Hypervisor</w:t>
            </w:r>
          </w:p>
        </w:tc>
        <w:tc>
          <w:tcPr>
            <w:tcW w:w="0" w:type="auto"/>
            <w:tcBorders/>
          </w:tcPr>
          <w:p w14:paraId="784F05CB">
            <w:pPr>
              <w:pStyle w:val="style4098"/>
              <w:jc w:val="left"/>
              <w:rPr/>
            </w:pPr>
            <w:r>
              <w:t>热插拔/实时迁移/GPU 直通</w:t>
            </w:r>
          </w:p>
        </w:tc>
        <w:tc>
          <w:tcPr>
            <w:tcW w:w="0" w:type="auto"/>
            <w:tcBorders/>
          </w:tcPr>
          <w:p w14:paraId="157F731A">
            <w:pPr>
              <w:pStyle w:val="style4098"/>
              <w:jc w:val="left"/>
              <w:rPr/>
            </w:pPr>
            <w:r>
              <w:t>完整测试矩阵</w:t>
            </w:r>
          </w:p>
        </w:tc>
        <w:tc>
          <w:tcPr>
            <w:tcW w:w="0" w:type="auto"/>
            <w:tcBorders/>
          </w:tcPr>
          <w:p w14:paraId="182EA6ED">
            <w:pPr>
              <w:pStyle w:val="style4098"/>
              <w:jc w:val="left"/>
              <w:rPr/>
            </w:pPr>
            <w:r>
              <w:t>70%</w:t>
            </w:r>
          </w:p>
        </w:tc>
      </w:tr>
      <w:tr w14:paraId="AF8BCD70">
        <w:tblPrEx/>
        <w:trPr/>
        <w:tc>
          <w:tcPr>
            <w:tcW w:w="0" w:type="auto"/>
            <w:tcBorders/>
          </w:tcPr>
          <w:p w14:paraId="21A8BBF3">
            <w:pPr>
              <w:pStyle w:val="style4098"/>
              <w:jc w:val="left"/>
              <w:rPr/>
            </w:pPr>
            <w:r>
              <w:rPr>
                <w:b/>
                <w:bCs/>
              </w:rPr>
              <w:t>兼容后端</w:t>
            </w:r>
          </w:p>
        </w:tc>
        <w:tc>
          <w:tcPr>
            <w:tcW w:w="0" w:type="auto"/>
            <w:tcBorders/>
          </w:tcPr>
          <w:p w14:paraId="01D07FD9">
            <w:pPr>
              <w:pStyle w:val="style4098"/>
              <w:jc w:val="left"/>
              <w:rPr/>
            </w:pPr>
            <w:r>
              <w:t>QEMU/KVM</w:t>
            </w:r>
          </w:p>
        </w:tc>
        <w:tc>
          <w:tcPr>
            <w:tcW w:w="0" w:type="auto"/>
            <w:tcBorders/>
          </w:tcPr>
          <w:p w14:paraId="630B1611">
            <w:pPr>
              <w:pStyle w:val="style4098"/>
              <w:jc w:val="left"/>
              <w:rPr/>
            </w:pPr>
            <w:r>
              <w:t>遗留 VM、完整设备模型</w:t>
            </w:r>
          </w:p>
        </w:tc>
        <w:tc>
          <w:tcPr>
            <w:tcW w:w="0" w:type="auto"/>
            <w:tcBorders/>
          </w:tcPr>
          <w:p w14:paraId="CDEF18FB">
            <w:pPr>
              <w:pStyle w:val="style4098"/>
              <w:jc w:val="left"/>
              <w:rPr/>
            </w:pPr>
            <w:r>
              <w:t>功能子集测试</w:t>
            </w:r>
          </w:p>
        </w:tc>
        <w:tc>
          <w:tcPr>
            <w:tcW w:w="0" w:type="auto"/>
            <w:tcBorders/>
          </w:tcPr>
          <w:p w14:paraId="0F642B3B">
            <w:pPr>
              <w:pStyle w:val="style4098"/>
              <w:jc w:val="left"/>
              <w:rPr/>
            </w:pPr>
            <w:r>
              <w:t>25%</w:t>
            </w:r>
          </w:p>
        </w:tc>
      </w:tr>
      <w:tr w14:paraId="8DA47110">
        <w:tblPrEx/>
        <w:trPr/>
        <w:tc>
          <w:tcPr>
            <w:tcW w:w="0" w:type="auto"/>
            <w:tcBorders/>
          </w:tcPr>
          <w:p w14:paraId="2D3099CC">
            <w:pPr>
              <w:pStyle w:val="style4098"/>
              <w:jc w:val="left"/>
              <w:rPr/>
            </w:pPr>
            <w:r>
              <w:rPr>
                <w:b/>
                <w:bCs/>
              </w:rPr>
              <w:t>探索后端</w:t>
            </w:r>
          </w:p>
        </w:tc>
        <w:tc>
          <w:tcPr>
            <w:tcW w:w="0" w:type="auto"/>
            <w:tcBorders/>
          </w:tcPr>
          <w:p w14:paraId="572E5EAE">
            <w:pPr>
              <w:pStyle w:val="style4098"/>
              <w:jc w:val="left"/>
              <w:rPr/>
            </w:pPr>
            <w:r>
              <w:t>MSHV / Hyper-V</w:t>
            </w:r>
          </w:p>
        </w:tc>
        <w:tc>
          <w:tcPr>
            <w:tcW w:w="0" w:type="auto"/>
            <w:tcBorders/>
          </w:tcPr>
          <w:p w14:paraId="C0566BFE">
            <w:pPr>
              <w:pStyle w:val="style4098"/>
              <w:jc w:val="left"/>
              <w:rPr/>
            </w:pPr>
            <w:r>
              <w:t>Windows 宿主、Direct Virtualization</w:t>
            </w:r>
          </w:p>
        </w:tc>
        <w:tc>
          <w:tcPr>
            <w:tcW w:w="0" w:type="auto"/>
            <w:tcBorders/>
          </w:tcPr>
          <w:p w14:paraId="127176C4">
            <w:pPr>
              <w:pStyle w:val="style4098"/>
              <w:jc w:val="left"/>
              <w:rPr/>
            </w:pPr>
            <w:r>
              <w:t>核心功能测试</w:t>
            </w:r>
          </w:p>
        </w:tc>
        <w:tc>
          <w:tcPr>
            <w:tcW w:w="0" w:type="auto"/>
            <w:tcBorders/>
          </w:tcPr>
          <w:p w14:paraId="B6590370">
            <w:pPr>
              <w:pStyle w:val="style4098"/>
              <w:jc w:val="left"/>
              <w:rPr/>
            </w:pPr>
            <w:r>
              <w:t>5%</w:t>
            </w:r>
          </w:p>
        </w:tc>
      </w:tr>
    </w:tbl>
    <w:p w14:paraId="12CDF17C">
      <w:pPr>
        <w:pStyle w:val="style66"/>
        <w:rPr/>
      </w:pPr>
      <w:r>
        <w:t>Cloud Hypervisor 作为主后端基于：~50k 行 Rust 代码（QEMU 为 ~170 万行 C），内存安全消除整类漏洞</w:t>
      </w:r>
      <w:r>
        <w:t xml:space="preserve"> </w:t>
      </w:r>
      <w:r>
        <w:rPr>
          <w:vertAlign w:val="superscript"/>
        </w:rPr>
        <w:footnoteReference w:id="27"/>
      </w:r>
      <w:r>
        <w:t>，Linux 基金会托管</w:t>
      </w:r>
      <w:r>
        <w:t xml:space="preserve"> </w:t>
      </w:r>
      <w:r>
        <w:rPr/>
        <w:fldChar w:fldCharType="begin"/>
      </w:r>
      <w:r>
        <w:instrText>NOTEREF _Ref_Footnote_19 \h \f</w:instrText>
      </w:r>
      <w:r>
        <w:rPr/>
        <w:fldChar w:fldCharType="separate"/>
      </w:r>
      <w:r>
        <w:rPr>
          <w:vertAlign w:val="superscript"/>
        </w:rPr>
        <w:t>19</w:t>
      </w:r>
      <w:r>
        <w:rPr/>
        <w:fldChar w:fldCharType="end"/>
      </w:r>
      <w:r>
        <w:t>。MSHV 加速器在 QEMU 10.2 中引入，可避免嵌套虚拟化 20–40% 性能损耗</w:t>
      </w:r>
      <w:r>
        <w:t xml:space="preserve"> </w:t>
      </w:r>
      <w:r>
        <w:rPr>
          <w:vertAlign w:val="superscript"/>
        </w:rPr>
        <w:footnoteReference w:id="28"/>
      </w:r>
      <w:r>
        <w:t>，但 libvirt 补丁仍在进行中</w:t>
      </w:r>
      <w:r>
        <w:t xml:space="preserve"> </w:t>
      </w:r>
      <w:r>
        <w:rPr/>
        <w:fldChar w:fldCharType="begin"/>
      </w:r>
      <w:r>
        <w:instrText>NOTEREF _Ref_Footnote_20 \h \f</w:instrText>
      </w:r>
      <w:r>
        <w:rPr/>
        <w:fldChar w:fldCharType="separate"/>
      </w:r>
      <w:r>
        <w:rPr>
          <w:vertAlign w:val="superscript"/>
        </w:rPr>
        <w:t>20</w:t>
      </w:r>
      <w:r>
        <w:rPr/>
        <w:fldChar w:fldCharType="end"/>
      </w:r>
      <w:r>
        <w:t>，故定位为探索后端。</w:t>
      </w:r>
    </w:p>
    <w:bookmarkStart w:id="19" w:name="分层一致性显式设计"/>
    <w:bookmarkEnd w:id="18"/>
    <w:p w14:paraId="1E03CEA2">
      <w:pPr>
        <w:pStyle w:val="style4103"/>
        <w:rPr/>
      </w:pPr>
      <w:r>
        <w:t>1.3.4 分层一致性显式设计</w:t>
      </w:r>
    </w:p>
    <w:p w14:paraId="48A67E40">
      <w:pPr>
        <w:pStyle w:val="style4097"/>
        <w:rPr/>
      </w:pPr>
      <w:r>
        <w:t>存储、网络、安全均按层级定义明确语义保证，避免”一致性错觉”。存储按五级定义：L0 virtiofs（最终一致性）→ L1 ZFS/Btrfs（单机强一致）→ L2 Ceph RBD（跨节点线性一致）→ L3 CephFS（分布式强一致）→ L4 对象存储（最终一致性）。工作负载创建时需显式声明存储访问模式，跨层事务通过应用级补偿处理。</w:t>
      </w:r>
    </w:p>
    <w:p w14:paraId="DEF92367">
      <w:pPr>
        <w:pStyle w:val="style66"/>
        <w:rPr/>
      </w:pPr>
      <w:r>
        <w:t>网络按三层定义：OVN（基础设施 SDN 隔离）→ Cilium（Pod 级 eBPF，2–5 μs）→ CubeVS（MicroVM 级 XDP，24 Mpps/核</w:t>
      </w:r>
      <w:r>
        <w:t xml:space="preserve"> </w:t>
      </w:r>
      <w:r>
        <w:rPr/>
        <w:fldChar w:fldCharType="begin"/>
      </w:r>
      <w:r>
        <w:instrText>NOTEREF _Ref_Footnote_22 \h \f</w:instrText>
      </w:r>
      <w:r>
        <w:rPr/>
        <w:fldChar w:fldCharType="separate"/>
      </w:r>
      <w:r>
        <w:rPr>
          <w:vertAlign w:val="superscript"/>
        </w:rPr>
        <w:t>22</w:t>
      </w:r>
      <w:r>
        <w:rPr/>
        <w:fldChar w:fldCharType="end"/>
      </w:r>
      <w:r>
        <w:t>）。三层 eBPF 通过统一资源配额管理器协调 BPF Map 分配，避免并发冲突。</w:t>
      </w:r>
    </w:p>
    <w:bookmarkStart w:id="20" w:name="与-pve-架构对比"/>
    <w:bookmarkEnd w:id="19"/>
    <w:bookmarkEnd w:id="15"/>
    <w:p w14:paraId="2170D598">
      <w:pPr>
        <w:pStyle w:val="style4102"/>
        <w:rPr/>
      </w:pPr>
      <w:r>
        <w:t>1.4 与 PVE 架构对比</w:t>
      </w:r>
    </w:p>
    <w:bookmarkStart w:id="21" w:name="pve-架构回顾"/>
    <w:p w14:paraId="ADD8DD7C">
      <w:pPr>
        <w:pStyle w:val="style4103"/>
        <w:rPr/>
      </w:pPr>
      <w:r>
        <w:t>1.4.1 PVE 架构回顾</w:t>
      </w:r>
    </w:p>
    <w:p w14:paraId="F3A9CCBC">
      <w:pPr>
        <w:pStyle w:val="style4097"/>
        <w:rPr/>
      </w:pPr>
      <w:r>
        <w:t>Proxmox VE 采用分层架构</w:t>
      </w:r>
      <w:r>
        <w:t xml:space="preserve"> </w:t>
      </w:r>
      <w:r>
        <w:rPr>
          <w:vertAlign w:val="superscript"/>
        </w:rPr>
        <w:footnoteReference w:id="29"/>
      </w:r>
      <w:r>
        <w:t xml:space="preserve"> </w:t>
      </w:r>
      <w:r>
        <w:rPr>
          <w:vertAlign w:val="superscript"/>
        </w:rPr>
        <w:footnoteReference w:id="30"/>
      </w:r>
      <w:r>
        <w:t>：管理层（pveproxy + pvedaemon）、集群层（Corosync + pmxcfs + votequorum）</w:t>
      </w:r>
      <w:r>
        <w:rPr>
          <w:vertAlign w:val="superscript"/>
        </w:rPr>
        <w:footnoteReference w:id="31"/>
      </w:r>
      <w:r>
        <w:t>、虚拟化层（QEMU/KVM + LXC）</w:t>
      </w:r>
      <w:r>
        <w:rPr/>
        <w:fldChar w:fldCharType="begin"/>
      </w:r>
      <w:r>
        <w:instrText>NOTEREF _Ref_Footnote_10 \h \f</w:instrText>
      </w:r>
      <w:r>
        <w:rPr/>
        <w:fldChar w:fldCharType="separate"/>
      </w:r>
      <w:r>
        <w:rPr>
          <w:vertAlign w:val="superscript"/>
        </w:rPr>
        <w:t>10</w:t>
      </w:r>
      <w:r>
        <w:rPr/>
        <w:fldChar w:fldCharType="end"/>
      </w:r>
      <w:r>
        <w:t>、存储层（Ceph/ZFS/LVM/NFS）</w:t>
      </w:r>
      <w:r>
        <w:rPr/>
        <w:fldChar w:fldCharType="begin"/>
      </w:r>
      <w:r>
        <w:instrText>NOTEREF _Ref_Footnote_1 \h \f</w:instrText>
      </w:r>
      <w:r>
        <w:rPr/>
        <w:fldChar w:fldCharType="separate"/>
      </w:r>
      <w:r>
        <w:rPr>
          <w:vertAlign w:val="superscript"/>
        </w:rPr>
        <w:t>1</w:t>
      </w:r>
      <w:r>
        <w:rPr/>
        <w:fldChar w:fldCharType="end"/>
      </w:r>
      <w:r>
        <w:t>、网络层（Linux Bridge + SDN）</w:t>
      </w:r>
      <w:r>
        <w:rPr>
          <w:vertAlign w:val="superscript"/>
        </w:rPr>
        <w:footnoteReference w:id="32"/>
      </w:r>
      <w:r>
        <w:t>。PVE 的核心优势在于 15 年迭代的管理平面——ExtJS Web UI、HA 管理器、Ceph HCI 集成——使其成为中小企业虚拟化的首选开源方案。</w:t>
      </w:r>
    </w:p>
    <w:bookmarkStart w:id="22" w:name="本方案架构优势对比"/>
    <w:bookmarkEnd w:id="21"/>
    <w:p w14:paraId="366BF7D1">
      <w:pPr>
        <w:pStyle w:val="style4103"/>
        <w:rPr/>
      </w:pPr>
      <w:r>
        <w:t>1.4.2 本方案架构优势对比</w:t>
      </w:r>
    </w:p>
    <w:tbl>
      <w:tblPr>
        <w:tblStyle w:val="style4111"/>
        <w:tblW w:w="5000" w:type="pct"/>
        <w:tblLook w:val="0020" w:firstRow="1" w:lastRow="0" w:firstColumn="0" w:lastColumn="0" w:noHBand="0" w:noVBand="0"/>
      </w:tblPr>
      <w:tblGrid>
        <w:gridCol w:w="1704"/>
        <w:gridCol w:w="2747"/>
        <w:gridCol w:w="2610"/>
        <w:gridCol w:w="854"/>
      </w:tblGrid>
      <w:tr w14:paraId="438EDFD2">
        <w:trPr>
          <w:tblHeader/>
        </w:trPr>
        <w:tc>
          <w:tcPr>
            <w:tcW w:w="0" w:type="auto"/>
            <w:tcBorders/>
          </w:tcPr>
          <w:p w14:paraId="7E28C7CA">
            <w:pPr>
              <w:pStyle w:val="style4098"/>
              <w:jc w:val="left"/>
              <w:rPr/>
            </w:pPr>
            <w:r>
              <w:t>对比维度</w:t>
            </w:r>
          </w:p>
        </w:tc>
        <w:tc>
          <w:tcPr>
            <w:tcW w:w="0" w:type="auto"/>
            <w:tcBorders/>
          </w:tcPr>
          <w:p w14:paraId="25477925">
            <w:pPr>
              <w:pStyle w:val="style4098"/>
              <w:jc w:val="left"/>
              <w:rPr/>
            </w:pPr>
            <w:r>
              <w:t>PVE (Proxmox VE 8.x)</w:t>
            </w:r>
          </w:p>
        </w:tc>
        <w:tc>
          <w:tcPr>
            <w:tcW w:w="0" w:type="auto"/>
            <w:tcBorders/>
          </w:tcPr>
          <w:p w14:paraId="73BD10A1">
            <w:pPr>
              <w:pStyle w:val="style4098"/>
              <w:jc w:val="left"/>
              <w:rPr/>
            </w:pPr>
            <w:r>
              <w:t>CubeSandbox 混合平台</w:t>
            </w:r>
          </w:p>
        </w:tc>
        <w:tc>
          <w:tcPr>
            <w:tcW w:w="0" w:type="auto"/>
            <w:tcBorders/>
          </w:tcPr>
          <w:p w14:paraId="16B88D0E">
            <w:pPr>
              <w:pStyle w:val="style4098"/>
              <w:jc w:val="center"/>
              <w:rPr/>
            </w:pPr>
            <w:r>
              <w:t>优势归属</w:t>
            </w:r>
          </w:p>
        </w:tc>
      </w:tr>
      <w:tr w14:paraId="2349F508">
        <w:tblPrEx/>
        <w:trPr/>
        <w:tc>
          <w:tcPr>
            <w:tcW w:w="0" w:type="auto"/>
            <w:tcBorders/>
          </w:tcPr>
          <w:p w14:paraId="7F170160">
            <w:pPr>
              <w:pStyle w:val="style4098"/>
              <w:jc w:val="left"/>
              <w:rPr/>
            </w:pPr>
            <w:r>
              <w:rPr>
                <w:b/>
                <w:bCs/>
              </w:rPr>
              <w:t>VM 冷启动</w:t>
            </w:r>
          </w:p>
        </w:tc>
        <w:tc>
          <w:tcPr>
            <w:tcW w:w="0" w:type="auto"/>
            <w:tcBorders/>
          </w:tcPr>
          <w:p w14:paraId="7D6F2D6F">
            <w:pPr>
              <w:pStyle w:val="style4098"/>
              <w:jc w:val="left"/>
              <w:rPr/>
            </w:pPr>
            <w:r>
              <w:t>秒级–分钟级（QEMU 完整启动）</w:t>
            </w:r>
            <w:r>
              <w:rPr/>
              <w:fldChar w:fldCharType="begin"/>
            </w:r>
            <w:r>
              <w:instrText>NOTEREF _Ref_Footnote_1 \h \f</w:instrText>
            </w:r>
            <w:r>
              <w:rPr/>
              <w:fldChar w:fldCharType="separate"/>
            </w:r>
            <w:r>
              <w:rPr>
                <w:vertAlign w:val="superscript"/>
              </w:rPr>
              <w:t>1</w:t>
            </w:r>
            <w:r>
              <w:rPr/>
              <w:fldChar w:fldCharType="end"/>
            </w:r>
          </w:p>
        </w:tc>
        <w:tc>
          <w:tcPr>
            <w:tcW w:w="0" w:type="auto"/>
            <w:tcBorders/>
          </w:tcPr>
          <w:p w14:paraId="DC9F45EF">
            <w:pPr>
              <w:pStyle w:val="style4098"/>
              <w:jc w:val="left"/>
              <w:rPr/>
            </w:pPr>
            <w:r>
              <w:t>&lt;60 ms（MicroVM + 资源池预置）</w:t>
            </w:r>
            <w:r>
              <w:rPr/>
              <w:fldChar w:fldCharType="begin"/>
            </w:r>
            <w:r>
              <w:instrText>NOTEREF _Ref_Footnote_4 \h \f</w:instrText>
            </w:r>
            <w:r>
              <w:rPr/>
              <w:fldChar w:fldCharType="separate"/>
            </w:r>
            <w:r>
              <w:rPr>
                <w:vertAlign w:val="superscript"/>
              </w:rPr>
              <w:t>4</w:t>
            </w:r>
            <w:r>
              <w:rPr/>
              <w:fldChar w:fldCharType="end"/>
            </w:r>
          </w:p>
        </w:tc>
        <w:tc>
          <w:tcPr>
            <w:tcW w:w="0" w:type="auto"/>
            <w:tcBorders/>
          </w:tcPr>
          <w:p w14:paraId="1184364E">
            <w:pPr>
              <w:pStyle w:val="style4098"/>
              <w:jc w:val="center"/>
              <w:rPr/>
            </w:pPr>
            <w:r>
              <w:t>本方案</w:t>
            </w:r>
          </w:p>
        </w:tc>
      </w:tr>
      <w:tr w14:paraId="367F21F5">
        <w:tblPrEx/>
        <w:trPr/>
        <w:tc>
          <w:tcPr>
            <w:tcW w:w="0" w:type="auto"/>
            <w:tcBorders/>
          </w:tcPr>
          <w:p w14:paraId="45F19A7B">
            <w:pPr>
              <w:pStyle w:val="style4098"/>
              <w:jc w:val="left"/>
              <w:rPr/>
            </w:pPr>
            <w:r>
              <w:rPr>
                <w:b/>
                <w:bCs/>
              </w:rPr>
              <w:t>容器隔离级别</w:t>
            </w:r>
          </w:p>
        </w:tc>
        <w:tc>
          <w:tcPr>
            <w:tcW w:w="0" w:type="auto"/>
            <w:tcBorders/>
          </w:tcPr>
          <w:p w14:paraId="24AE15D5">
            <w:pPr>
              <w:pStyle w:val="style4098"/>
              <w:jc w:val="left"/>
              <w:rPr/>
            </w:pPr>
            <w:r>
              <w:t>LXC 共享内核（存在逃逸风险）</w:t>
            </w:r>
            <w:r>
              <w:rPr/>
              <w:fldChar w:fldCharType="begin"/>
            </w:r>
            <w:r>
              <w:instrText>NOTEREF _Ref_Footnote_10 \h \f</w:instrText>
            </w:r>
            <w:r>
              <w:rPr/>
              <w:fldChar w:fldCharType="separate"/>
            </w:r>
            <w:r>
              <w:rPr>
                <w:vertAlign w:val="superscript"/>
              </w:rPr>
              <w:t>10</w:t>
            </w:r>
            <w:r>
              <w:rPr/>
              <w:fldChar w:fldCharType="end"/>
            </w:r>
          </w:p>
        </w:tc>
        <w:tc>
          <w:tcPr>
            <w:tcW w:w="0" w:type="auto"/>
            <w:tcBorders/>
          </w:tcPr>
          <w:p w14:paraId="5B928E47">
            <w:pPr>
              <w:pStyle w:val="style4098"/>
              <w:jc w:val="left"/>
              <w:rPr/>
            </w:pPr>
            <w:r>
              <w:t>Kata MicroVM 硬件级隔离</w:t>
            </w:r>
            <w:r>
              <w:t xml:space="preserve"> </w:t>
            </w:r>
            <w:r>
              <w:rPr/>
              <w:fldChar w:fldCharType="begin"/>
            </w:r>
            <w:r>
              <w:instrText>NOTEREF _Ref_Footnote_9 \h \f</w:instrText>
            </w:r>
            <w:r>
              <w:rPr/>
              <w:fldChar w:fldCharType="separate"/>
            </w:r>
            <w:r>
              <w:rPr>
                <w:vertAlign w:val="superscript"/>
              </w:rPr>
              <w:t>9</w:t>
            </w:r>
            <w:r>
              <w:rPr/>
              <w:fldChar w:fldCharType="end"/>
            </w:r>
          </w:p>
        </w:tc>
        <w:tc>
          <w:tcPr>
            <w:tcW w:w="0" w:type="auto"/>
            <w:tcBorders/>
          </w:tcPr>
          <w:p w14:paraId="F9954B62">
            <w:pPr>
              <w:pStyle w:val="style4098"/>
              <w:jc w:val="center"/>
              <w:rPr/>
            </w:pPr>
            <w:r>
              <w:t>本方案</w:t>
            </w:r>
          </w:p>
        </w:tc>
      </w:tr>
      <w:tr w14:paraId="FC1341DB">
        <w:tblPrEx/>
        <w:trPr/>
        <w:tc>
          <w:tcPr>
            <w:tcW w:w="0" w:type="auto"/>
            <w:tcBorders/>
          </w:tcPr>
          <w:p w14:paraId="9C769B9F">
            <w:pPr>
              <w:pStyle w:val="style4098"/>
              <w:jc w:val="left"/>
              <w:rPr/>
            </w:pPr>
            <w:r>
              <w:rPr>
                <w:b/>
                <w:bCs/>
              </w:rPr>
              <w:t>Kubernetes 集成</w:t>
            </w:r>
          </w:p>
        </w:tc>
        <w:tc>
          <w:tcPr>
            <w:tcW w:w="0" w:type="auto"/>
            <w:tcBorders/>
          </w:tcPr>
          <w:p w14:paraId="83ED654B">
            <w:pPr>
              <w:pStyle w:val="style4098"/>
              <w:jc w:val="left"/>
              <w:rPr/>
            </w:pPr>
            <w:r>
              <w:t>需额外部署 K8s，无原生 CRI 支持</w:t>
            </w:r>
          </w:p>
        </w:tc>
        <w:tc>
          <w:tcPr>
            <w:tcW w:w="0" w:type="auto"/>
            <w:tcBorders/>
          </w:tcPr>
          <w:p w14:paraId="E1EB21AA">
            <w:pPr>
              <w:pStyle w:val="style4098"/>
              <w:jc w:val="left"/>
              <w:rPr/>
            </w:pPr>
            <w:r>
              <w:t>RuntimeClass 原生集成，OCI 兼容</w:t>
            </w:r>
            <w:r>
              <w:t xml:space="preserve"> </w:t>
            </w:r>
            <w:r>
              <w:rPr/>
              <w:fldChar w:fldCharType="begin"/>
            </w:r>
            <w:r>
              <w:instrText>NOTEREF _Ref_Footnote_7 \h \f</w:instrText>
            </w:r>
            <w:r>
              <w:rPr/>
              <w:fldChar w:fldCharType="separate"/>
            </w:r>
            <w:r>
              <w:rPr>
                <w:vertAlign w:val="superscript"/>
              </w:rPr>
              <w:t>7</w:t>
            </w:r>
            <w:r>
              <w:rPr/>
              <w:fldChar w:fldCharType="end"/>
            </w:r>
          </w:p>
        </w:tc>
        <w:tc>
          <w:tcPr>
            <w:tcW w:w="0" w:type="auto"/>
            <w:tcBorders/>
          </w:tcPr>
          <w:p w14:paraId="108ADCB2">
            <w:pPr>
              <w:pStyle w:val="style4098"/>
              <w:jc w:val="center"/>
              <w:rPr/>
            </w:pPr>
            <w:r>
              <w:t>本方案</w:t>
            </w:r>
          </w:p>
        </w:tc>
      </w:tr>
      <w:tr w14:paraId="248781D0">
        <w:tblPrEx/>
        <w:trPr/>
        <w:tc>
          <w:tcPr>
            <w:tcW w:w="0" w:type="auto"/>
            <w:tcBorders/>
          </w:tcPr>
          <w:p w14:paraId="F9D2A29D">
            <w:pPr>
              <w:pStyle w:val="style4098"/>
              <w:jc w:val="left"/>
              <w:rPr/>
            </w:pPr>
            <w:r>
              <w:rPr>
                <w:b/>
                <w:bCs/>
              </w:rPr>
              <w:t>网络性能</w:t>
            </w:r>
          </w:p>
        </w:tc>
        <w:tc>
          <w:tcPr>
            <w:tcW w:w="0" w:type="auto"/>
            <w:tcBorders/>
          </w:tcPr>
          <w:p w14:paraId="68B225D1">
            <w:pPr>
              <w:pStyle w:val="style4098"/>
              <w:jc w:val="left"/>
              <w:rPr/>
            </w:pPr>
            <w:r>
              <w:t>iptables（O(N) 查找，50–200 μs）</w:t>
            </w:r>
            <w:r>
              <w:rPr>
                <w:vertAlign w:val="superscript"/>
              </w:rPr>
              <w:footnoteReference w:id="33"/>
            </w:r>
          </w:p>
        </w:tc>
        <w:tc>
          <w:tcPr>
            <w:tcW w:w="0" w:type="auto"/>
            <w:tcBorders/>
          </w:tcPr>
          <w:p w14:paraId="2646E8EE">
            <w:pPr>
              <w:pStyle w:val="style4098"/>
              <w:jc w:val="left"/>
              <w:rPr/>
            </w:pPr>
            <w:r>
              <w:t>eBPF/XDP（O(1) 查找，2–5 μs）</w:t>
            </w:r>
            <w:r>
              <w:rPr/>
              <w:fldChar w:fldCharType="begin"/>
            </w:r>
            <w:r>
              <w:instrText>NOTEREF _Ref_Footnote_22 \h \f</w:instrText>
            </w:r>
            <w:r>
              <w:rPr/>
              <w:fldChar w:fldCharType="separate"/>
            </w:r>
            <w:r>
              <w:rPr>
                <w:vertAlign w:val="superscript"/>
              </w:rPr>
              <w:t>22</w:t>
            </w:r>
            <w:r>
              <w:rPr/>
              <w:fldChar w:fldCharType="end"/>
            </w:r>
          </w:p>
        </w:tc>
        <w:tc>
          <w:tcPr>
            <w:tcW w:w="0" w:type="auto"/>
            <w:tcBorders/>
          </w:tcPr>
          <w:p w14:paraId="0926DA34">
            <w:pPr>
              <w:pStyle w:val="style4098"/>
              <w:jc w:val="center"/>
              <w:rPr/>
            </w:pPr>
            <w:r>
              <w:t>本方案</w:t>
            </w:r>
          </w:p>
        </w:tc>
      </w:tr>
      <w:tr w14:paraId="1FB0A300">
        <w:tblPrEx/>
        <w:trPr/>
        <w:tc>
          <w:tcPr>
            <w:tcW w:w="0" w:type="auto"/>
            <w:tcBorders/>
          </w:tcPr>
          <w:p w14:paraId="1C788AC9">
            <w:pPr>
              <w:pStyle w:val="style4098"/>
              <w:jc w:val="left"/>
              <w:rPr/>
            </w:pPr>
            <w:r>
              <w:rPr>
                <w:b/>
                <w:bCs/>
              </w:rPr>
              <w:t>Hypervisor 支持</w:t>
            </w:r>
          </w:p>
        </w:tc>
        <w:tc>
          <w:tcPr>
            <w:tcW w:w="0" w:type="auto"/>
            <w:tcBorders/>
          </w:tcPr>
          <w:p w14:paraId="44D23ED1">
            <w:pPr>
              <w:pStyle w:val="style4098"/>
              <w:jc w:val="left"/>
              <w:rPr/>
            </w:pPr>
            <w:r>
              <w:t>仅 KVM/QEMU</w:t>
            </w:r>
          </w:p>
        </w:tc>
        <w:tc>
          <w:tcPr>
            <w:tcW w:w="0" w:type="auto"/>
            <w:tcBorders/>
          </w:tcPr>
          <w:p w14:paraId="F8F4B3A8">
            <w:pPr>
              <w:pStyle w:val="style4098"/>
              <w:jc w:val="left"/>
              <w:rPr/>
            </w:pPr>
            <w:r>
              <w:t>Hyper-V + KVM + QEMU 融合</w:t>
            </w:r>
            <w:r>
              <w:t xml:space="preserve"> </w:t>
            </w:r>
            <w:r>
              <w:rPr/>
              <w:fldChar w:fldCharType="begin"/>
            </w:r>
            <w:r>
              <w:instrText>NOTEREF _Ref_Footnote_20 \h \f</w:instrText>
            </w:r>
            <w:r>
              <w:rPr/>
              <w:fldChar w:fldCharType="separate"/>
            </w:r>
            <w:r>
              <w:rPr>
                <w:vertAlign w:val="superscript"/>
              </w:rPr>
              <w:t>20</w:t>
            </w:r>
            <w:r>
              <w:rPr/>
              <w:fldChar w:fldCharType="end"/>
            </w:r>
          </w:p>
        </w:tc>
        <w:tc>
          <w:tcPr>
            <w:tcW w:w="0" w:type="auto"/>
            <w:tcBorders/>
          </w:tcPr>
          <w:p w14:paraId="E72291BD">
            <w:pPr>
              <w:pStyle w:val="style4098"/>
              <w:jc w:val="center"/>
              <w:rPr/>
            </w:pPr>
            <w:r>
              <w:t>本方案</w:t>
            </w:r>
          </w:p>
        </w:tc>
      </w:tr>
      <w:tr w14:paraId="AE53184B">
        <w:tblPrEx/>
        <w:trPr/>
        <w:tc>
          <w:tcPr>
            <w:tcW w:w="0" w:type="auto"/>
            <w:tcBorders/>
          </w:tcPr>
          <w:p w14:paraId="DC210273">
            <w:pPr>
              <w:pStyle w:val="style4098"/>
              <w:jc w:val="left"/>
              <w:rPr/>
            </w:pPr>
            <w:r>
              <w:rPr>
                <w:b/>
                <w:bCs/>
              </w:rPr>
              <w:t>容器生态</w:t>
            </w:r>
          </w:p>
        </w:tc>
        <w:tc>
          <w:tcPr>
            <w:tcW w:w="0" w:type="auto"/>
            <w:tcBorders/>
          </w:tcPr>
          <w:p w14:paraId="51F138D5">
            <w:pPr>
              <w:pStyle w:val="style4098"/>
              <w:jc w:val="left"/>
              <w:rPr/>
            </w:pPr>
            <w:r>
              <w:t>LXC 模板（有限）</w:t>
            </w:r>
          </w:p>
        </w:tc>
        <w:tc>
          <w:tcPr>
            <w:tcW w:w="0" w:type="auto"/>
            <w:tcBorders/>
          </w:tcPr>
          <w:p w14:paraId="9BA19BF8">
            <w:pPr>
              <w:pStyle w:val="style4098"/>
              <w:jc w:val="left"/>
              <w:rPr/>
            </w:pPr>
            <w:r>
              <w:t>OCI 镜像生态（Docker Hub 兼容）</w:t>
            </w:r>
            <w:r>
              <w:rPr/>
              <w:fldChar w:fldCharType="begin"/>
            </w:r>
            <w:r>
              <w:instrText>NOTEREF _Ref_Footnote_21 \h \f</w:instrText>
            </w:r>
            <w:r>
              <w:rPr/>
              <w:fldChar w:fldCharType="separate"/>
            </w:r>
            <w:r>
              <w:rPr>
                <w:vertAlign w:val="superscript"/>
              </w:rPr>
              <w:t>21</w:t>
            </w:r>
            <w:r>
              <w:rPr/>
              <w:fldChar w:fldCharType="end"/>
            </w:r>
          </w:p>
        </w:tc>
        <w:tc>
          <w:tcPr>
            <w:tcW w:w="0" w:type="auto"/>
            <w:tcBorders/>
          </w:tcPr>
          <w:p w14:paraId="34E8D5ED">
            <w:pPr>
              <w:pStyle w:val="style4098"/>
              <w:jc w:val="center"/>
              <w:rPr/>
            </w:pPr>
            <w:r>
              <w:t>本方案</w:t>
            </w:r>
          </w:p>
        </w:tc>
      </w:tr>
      <w:tr w14:paraId="62D62521">
        <w:tblPrEx/>
        <w:trPr/>
        <w:tc>
          <w:tcPr>
            <w:tcW w:w="0" w:type="auto"/>
            <w:tcBorders/>
          </w:tcPr>
          <w:p w14:paraId="50BB4B2A">
            <w:pPr>
              <w:pStyle w:val="style4098"/>
              <w:jc w:val="left"/>
              <w:rPr/>
            </w:pPr>
            <w:r>
              <w:rPr>
                <w:b/>
                <w:bCs/>
              </w:rPr>
              <w:t>等保 2.0 合规</w:t>
            </w:r>
          </w:p>
        </w:tc>
        <w:tc>
          <w:tcPr>
            <w:tcW w:w="0" w:type="auto"/>
            <w:tcBorders/>
          </w:tcPr>
          <w:p w14:paraId="00D4BB52">
            <w:pPr>
              <w:pStyle w:val="style4098"/>
              <w:jc w:val="left"/>
              <w:rPr/>
            </w:pPr>
            <w:r>
              <w:t>VM 满足，LXC 容器不满足</w:t>
            </w:r>
          </w:p>
        </w:tc>
        <w:tc>
          <w:tcPr>
            <w:tcW w:w="0" w:type="auto"/>
            <w:tcBorders/>
          </w:tcPr>
          <w:p w14:paraId="5866A39D">
            <w:pPr>
              <w:pStyle w:val="style4098"/>
              <w:jc w:val="left"/>
              <w:rPr/>
            </w:pPr>
            <w:r>
              <w:t>MicroVM 全场景满足</w:t>
            </w:r>
            <w:r>
              <w:t xml:space="preserve"> </w:t>
            </w:r>
            <w:r>
              <w:rPr/>
              <w:fldChar w:fldCharType="begin"/>
            </w:r>
            <w:r>
              <w:instrText>NOTEREF _Ref_Footnote_13 \h \f</w:instrText>
            </w:r>
            <w:r>
              <w:rPr/>
              <w:fldChar w:fldCharType="separate"/>
            </w:r>
            <w:r>
              <w:rPr>
                <w:vertAlign w:val="superscript"/>
              </w:rPr>
              <w:t>13</w:t>
            </w:r>
            <w:r>
              <w:rPr/>
              <w:fldChar w:fldCharType="end"/>
            </w:r>
          </w:p>
        </w:tc>
        <w:tc>
          <w:tcPr>
            <w:tcW w:w="0" w:type="auto"/>
            <w:tcBorders/>
          </w:tcPr>
          <w:p w14:paraId="62C94326">
            <w:pPr>
              <w:pStyle w:val="style4098"/>
              <w:jc w:val="center"/>
              <w:rPr/>
            </w:pPr>
            <w:r>
              <w:t>本方案</w:t>
            </w:r>
          </w:p>
        </w:tc>
      </w:tr>
      <w:tr w14:paraId="05268838">
        <w:tblPrEx/>
        <w:trPr/>
        <w:tc>
          <w:tcPr>
            <w:tcW w:w="0" w:type="auto"/>
            <w:tcBorders/>
          </w:tcPr>
          <w:p w14:paraId="C25283E2">
            <w:pPr>
              <w:pStyle w:val="style4098"/>
              <w:jc w:val="left"/>
              <w:rPr/>
            </w:pPr>
            <w:r>
              <w:rPr>
                <w:b/>
                <w:bCs/>
              </w:rPr>
              <w:t>Web UI 成熟度</w:t>
            </w:r>
          </w:p>
        </w:tc>
        <w:tc>
          <w:tcPr>
            <w:tcW w:w="0" w:type="auto"/>
            <w:tcBorders/>
          </w:tcPr>
          <w:p w14:paraId="76C48E1C">
            <w:pPr>
              <w:pStyle w:val="style4098"/>
              <w:jc w:val="left"/>
              <w:rPr/>
            </w:pPr>
            <w:r>
              <w:t>ExtJS 完整界面，15 年迭代</w:t>
            </w:r>
            <w:r>
              <w:t xml:space="preserve"> </w:t>
            </w:r>
            <w:r>
              <w:rPr/>
              <w:fldChar w:fldCharType="begin"/>
            </w:r>
            <w:r>
              <w:instrText>NOTEREF _Ref_Footnote_30 \h \f</w:instrText>
            </w:r>
            <w:r>
              <w:rPr/>
              <w:fldChar w:fldCharType="separate"/>
            </w:r>
            <w:r>
              <w:rPr>
                <w:vertAlign w:val="superscript"/>
              </w:rPr>
              <w:t>30</w:t>
            </w:r>
            <w:r>
              <w:rPr/>
              <w:fldChar w:fldCharType="end"/>
            </w:r>
          </w:p>
        </w:tc>
        <w:tc>
          <w:tcPr>
            <w:tcW w:w="0" w:type="auto"/>
            <w:tcBorders/>
          </w:tcPr>
          <w:p w14:paraId="8F4A82E5">
            <w:pPr>
              <w:pStyle w:val="style4098"/>
              <w:jc w:val="left"/>
              <w:rPr/>
            </w:pPr>
            <w:r>
              <w:t>需自研，预计 6–9 个月</w:t>
            </w:r>
          </w:p>
        </w:tc>
        <w:tc>
          <w:tcPr>
            <w:tcW w:w="0" w:type="auto"/>
            <w:tcBorders/>
          </w:tcPr>
          <w:p w14:paraId="1978E048">
            <w:pPr>
              <w:pStyle w:val="style4098"/>
              <w:jc w:val="center"/>
              <w:rPr/>
            </w:pPr>
            <w:r>
              <w:t>PVE</w:t>
            </w:r>
          </w:p>
        </w:tc>
      </w:tr>
      <w:tr w14:paraId="D6DDBDB4">
        <w:tblPrEx/>
        <w:trPr/>
        <w:tc>
          <w:tcPr>
            <w:tcW w:w="0" w:type="auto"/>
            <w:tcBorders/>
          </w:tcPr>
          <w:p w14:paraId="5D5AF25C">
            <w:pPr>
              <w:pStyle w:val="style4098"/>
              <w:jc w:val="left"/>
              <w:rPr/>
            </w:pPr>
            <w:r>
              <w:rPr>
                <w:b/>
                <w:bCs/>
              </w:rPr>
              <w:t>集群 HA 成熟度</w:t>
            </w:r>
          </w:p>
        </w:tc>
        <w:tc>
          <w:tcPr>
            <w:tcW w:w="0" w:type="auto"/>
            <w:tcBorders/>
          </w:tcPr>
          <w:p w14:paraId="BA1C50E0">
            <w:pPr>
              <w:pStyle w:val="style4098"/>
              <w:jc w:val="left"/>
              <w:rPr/>
            </w:pPr>
            <w:r>
              <w:t>Corosync + pve-ha-manager，生产验证</w:t>
            </w:r>
            <w:r>
              <w:t xml:space="preserve"> </w:t>
            </w:r>
            <w:r>
              <w:rPr/>
              <w:fldChar w:fldCharType="begin"/>
            </w:r>
            <w:r>
              <w:instrText>NOTEREF _Ref_Footnote_31 \h \f</w:instrText>
            </w:r>
            <w:r>
              <w:rPr/>
              <w:fldChar w:fldCharType="separate"/>
            </w:r>
            <w:r>
              <w:rPr>
                <w:vertAlign w:val="superscript"/>
              </w:rPr>
              <w:t>31</w:t>
            </w:r>
            <w:r>
              <w:rPr/>
              <w:fldChar w:fldCharType="end"/>
            </w:r>
          </w:p>
        </w:tc>
        <w:tc>
          <w:tcPr>
            <w:tcW w:w="0" w:type="auto"/>
            <w:tcBorders/>
          </w:tcPr>
          <w:p w14:paraId="026FA4C4">
            <w:pPr>
              <w:pStyle w:val="style4098"/>
              <w:jc w:val="left"/>
              <w:rPr/>
            </w:pPr>
            <w:r>
              <w:t>依赖 K8s + 自研，需 6–12 个月</w:t>
            </w:r>
          </w:p>
        </w:tc>
        <w:tc>
          <w:tcPr>
            <w:tcW w:w="0" w:type="auto"/>
            <w:tcBorders/>
          </w:tcPr>
          <w:p w14:paraId="F1B40A7D">
            <w:pPr>
              <w:pStyle w:val="style4098"/>
              <w:jc w:val="center"/>
              <w:rPr/>
            </w:pPr>
            <w:r>
              <w:t>PVE</w:t>
            </w:r>
          </w:p>
        </w:tc>
      </w:tr>
      <w:tr w14:paraId="2A3EEC10">
        <w:tblPrEx/>
        <w:trPr/>
        <w:tc>
          <w:tcPr>
            <w:tcW w:w="0" w:type="auto"/>
            <w:tcBorders/>
          </w:tcPr>
          <w:p w14:paraId="EA158606">
            <w:pPr>
              <w:pStyle w:val="style4098"/>
              <w:jc w:val="left"/>
              <w:rPr/>
            </w:pPr>
            <w:r>
              <w:rPr>
                <w:b/>
                <w:bCs/>
              </w:rPr>
              <w:t>社区生态</w:t>
            </w:r>
          </w:p>
        </w:tc>
        <w:tc>
          <w:tcPr>
            <w:tcW w:w="0" w:type="auto"/>
            <w:tcBorders/>
          </w:tcPr>
          <w:p w14:paraId="5198F39E">
            <w:pPr>
              <w:pStyle w:val="style4098"/>
              <w:jc w:val="left"/>
              <w:rPr/>
            </w:pPr>
            <w:r>
              <w:t>15 年 + 活跃论坛 + 丰富文档</w:t>
            </w:r>
          </w:p>
        </w:tc>
        <w:tc>
          <w:tcPr>
            <w:tcW w:w="0" w:type="auto"/>
            <w:tcBorders/>
          </w:tcPr>
          <w:p w14:paraId="ADCD5C7C">
            <w:pPr>
              <w:pStyle w:val="style4098"/>
              <w:jc w:val="left"/>
              <w:rPr/>
            </w:pPr>
            <w:r>
              <w:t>2026 年 4 月开源，生态早期</w:t>
            </w:r>
            <w:r>
              <w:t xml:space="preserve"> </w:t>
            </w:r>
            <w:r>
              <w:rPr/>
              <w:fldChar w:fldCharType="begin"/>
            </w:r>
            <w:r>
              <w:instrText>NOTEREF _Ref_Footnote_12 \h \f</w:instrText>
            </w:r>
            <w:r>
              <w:rPr/>
              <w:fldChar w:fldCharType="separate"/>
            </w:r>
            <w:r>
              <w:rPr>
                <w:vertAlign w:val="superscript"/>
              </w:rPr>
              <w:t>12</w:t>
            </w:r>
            <w:r>
              <w:rPr/>
              <w:fldChar w:fldCharType="end"/>
            </w:r>
          </w:p>
        </w:tc>
        <w:tc>
          <w:tcPr>
            <w:tcW w:w="0" w:type="auto"/>
            <w:tcBorders/>
          </w:tcPr>
          <w:p w14:paraId="7CBCB786">
            <w:pPr>
              <w:pStyle w:val="style4098"/>
              <w:jc w:val="center"/>
              <w:rPr/>
            </w:pPr>
            <w:r>
              <w:t>PVE</w:t>
            </w:r>
          </w:p>
        </w:tc>
      </w:tr>
      <w:tr w14:paraId="84F5FD63">
        <w:tblPrEx/>
        <w:trPr/>
        <w:tc>
          <w:tcPr>
            <w:tcW w:w="0" w:type="auto"/>
            <w:tcBorders/>
          </w:tcPr>
          <w:p w14:paraId="61B933B5">
            <w:pPr>
              <w:pStyle w:val="style4098"/>
              <w:jc w:val="left"/>
              <w:rPr/>
            </w:pPr>
            <w:r>
              <w:rPr>
                <w:b/>
                <w:bCs/>
              </w:rPr>
              <w:t>实时迁移</w:t>
            </w:r>
          </w:p>
        </w:tc>
        <w:tc>
          <w:tcPr>
            <w:tcW w:w="0" w:type="auto"/>
            <w:tcBorders/>
          </w:tcPr>
          <w:p w14:paraId="3B4AE379">
            <w:pPr>
              <w:pStyle w:val="style4098"/>
              <w:jc w:val="left"/>
              <w:rPr/>
            </w:pPr>
            <w:r>
              <w:t>完整支持（在线/离线/远程）</w:t>
            </w:r>
            <w:r>
              <w:rPr>
                <w:vertAlign w:val="superscript"/>
              </w:rPr>
              <w:footnoteReference w:id="34"/>
            </w:r>
          </w:p>
        </w:tc>
        <w:tc>
          <w:tcPr>
            <w:tcW w:w="0" w:type="auto"/>
            <w:tcBorders/>
          </w:tcPr>
          <w:p w14:paraId="435483A8">
            <w:pPr>
              <w:pStyle w:val="style4098"/>
              <w:jc w:val="left"/>
              <w:rPr/>
            </w:pPr>
            <w:r>
              <w:t>Cloud HV 支持，需测试验证</w:t>
            </w:r>
          </w:p>
        </w:tc>
        <w:tc>
          <w:tcPr>
            <w:tcW w:w="0" w:type="auto"/>
            <w:tcBorders/>
          </w:tcPr>
          <w:p w14:paraId="B52D3F9D">
            <w:pPr>
              <w:pStyle w:val="style4098"/>
              <w:jc w:val="center"/>
              <w:rPr/>
            </w:pPr>
            <w:r>
              <w:t>PVE</w:t>
            </w:r>
          </w:p>
        </w:tc>
      </w:tr>
      <w:tr w14:paraId="6361A222">
        <w:tblPrEx/>
        <w:trPr/>
        <w:tc>
          <w:tcPr>
            <w:tcW w:w="0" w:type="auto"/>
            <w:tcBorders/>
          </w:tcPr>
          <w:p w14:paraId="5C3DE49E">
            <w:pPr>
              <w:pStyle w:val="style4098"/>
              <w:jc w:val="left"/>
              <w:rPr/>
            </w:pPr>
            <w:r>
              <w:rPr>
                <w:b/>
                <w:bCs/>
              </w:rPr>
              <w:t>RBAC 权限系统</w:t>
            </w:r>
          </w:p>
        </w:tc>
        <w:tc>
          <w:tcPr>
            <w:tcW w:w="0" w:type="auto"/>
            <w:tcBorders/>
          </w:tcPr>
          <w:p w14:paraId="D80BF582">
            <w:pPr>
              <w:pStyle w:val="style4098"/>
              <w:jc w:val="left"/>
              <w:rPr/>
            </w:pPr>
            <w:r>
              <w:t>完整（用户/组/角色/池）</w:t>
            </w:r>
            <w:r>
              <w:rPr>
                <w:vertAlign w:val="superscript"/>
              </w:rPr>
              <w:footnoteReference w:id="35"/>
            </w:r>
          </w:p>
        </w:tc>
        <w:tc>
          <w:tcPr>
            <w:tcW w:w="0" w:type="auto"/>
            <w:tcBorders/>
          </w:tcPr>
          <w:p w14:paraId="16525729">
            <w:pPr>
              <w:pStyle w:val="style4098"/>
              <w:jc w:val="left"/>
              <w:rPr/>
            </w:pPr>
            <w:r>
              <w:t>基于 K8s RBAC 扩展，3–6 个月</w:t>
            </w:r>
          </w:p>
        </w:tc>
        <w:tc>
          <w:tcPr>
            <w:tcW w:w="0" w:type="auto"/>
            <w:tcBorders/>
          </w:tcPr>
          <w:p w14:paraId="DB3052E7">
            <w:pPr>
              <w:pStyle w:val="style4098"/>
              <w:jc w:val="center"/>
              <w:rPr/>
            </w:pPr>
            <w:r>
              <w:t>PVE</w:t>
            </w:r>
          </w:p>
        </w:tc>
      </w:tr>
    </w:tbl>
    <w:p w14:paraId="DA5BDA11">
      <w:pPr>
        <w:pStyle w:val="style66"/>
        <w:rPr/>
      </w:pPr>
      <w:r>
        <w:t>上表从 12 个维度系统对比：本平台在 7 个维度领先（集中在 MicroVM 速度、eBPF 网络、安全容器隔离、云原生兼容性），PVE 在 5 个维度领先（集中在 Web UI、集群 HA、社区生态、实时迁移、RBAC）。这一结果直接指导研发资源分配：管理平面 40%+，集群 HA 25%，以尽快补齐核心差距。</w:t>
      </w:r>
    </w:p>
    <w:bookmarkStart w:id="23" w:name="能力差距分析"/>
    <w:bookmarkEnd w:id="22"/>
    <w:p w14:paraId="CBAFEB58">
      <w:pPr>
        <w:pStyle w:val="style4103"/>
        <w:rPr/>
      </w:pPr>
      <w:r>
        <w:t>1.4.3 能力差距分析</w:t>
      </w:r>
    </w:p>
    <w:p w14:paraId="E6E725FB">
      <w:pPr>
        <w:pStyle w:val="style4097"/>
        <w:rPr/>
      </w:pPr>
      <w:r>
        <w:t>三个差距领域需优先投入。</w:t>
      </w:r>
      <w:r>
        <w:rPr>
          <w:b/>
          <w:bCs/>
        </w:rPr>
        <w:t>Web UI（40% 研发资源）</w:t>
      </w:r>
      <w:r>
        <w:t>：PVE 的 ExtJS Web UI 经过 15 年迭代</w:t>
      </w:r>
      <w:r>
        <w:t xml:space="preserve"> </w:t>
      </w:r>
      <w:r>
        <w:rPr/>
        <w:fldChar w:fldCharType="begin"/>
      </w:r>
      <w:r>
        <w:instrText>NOTEREF _Ref_Footnote_30 \h \f</w:instrText>
      </w:r>
      <w:r>
        <w:rPr/>
        <w:fldChar w:fldCharType="separate"/>
      </w:r>
      <w:r>
        <w:rPr>
          <w:vertAlign w:val="superscript"/>
        </w:rPr>
        <w:t>30</w:t>
      </w:r>
      <w:r>
        <w:rPr/>
        <w:fldChar w:fldCharType="end"/>
      </w:r>
      <w:r>
        <w:t>，本平台需从零建设，建议采用 Vue/React 框架，优先实现 vConsole（noVNC/SPICE Web 控制台）、资源仪表盘、生命周期管理视图。集成 Grafana 实现实时监控</w:t>
      </w:r>
      <w:r>
        <w:t xml:space="preserve"> </w:t>
      </w:r>
      <w:r>
        <w:rPr>
          <w:vertAlign w:val="superscript"/>
        </w:rPr>
        <w:footnoteReference w:id="36"/>
      </w:r>
      <w:r>
        <w:t>。</w:t>
      </w:r>
    </w:p>
    <w:p w14:paraId="ACF9E297">
      <w:pPr>
        <w:pStyle w:val="style66"/>
        <w:rPr/>
      </w:pPr>
      <w:r>
        <w:rPr>
          <w:b/>
          <w:bCs/>
        </w:rPr>
        <w:t>集群 HA（25% 研发资源）</w:t>
      </w:r>
      <w:r>
        <w:t>：PVE 的 HA 管理器基于 Corosync 检测节点故障，通过资源代理自动重启 VM/CT</w:t>
      </w:r>
      <w:r>
        <w:t xml:space="preserve"> </w:t>
      </w:r>
      <w:r>
        <w:rPr/>
        <w:fldChar w:fldCharType="begin"/>
      </w:r>
      <w:r>
        <w:instrText>NOTEREF _Ref_Footnote_31 \h \f</w:instrText>
      </w:r>
      <w:r>
        <w:rPr/>
        <w:fldChar w:fldCharType="separate"/>
      </w:r>
      <w:r>
        <w:rPr>
          <w:vertAlign w:val="superscript"/>
        </w:rPr>
        <w:t>31</w:t>
      </w:r>
      <w:r>
        <w:rPr/>
        <w:fldChar w:fldCharType="end"/>
      </w:r>
      <w:r>
        <w:t>。本平台分阶段实现：第一阶段 Watchdog + 手动故障转移；第二阶段基于 K8s Pod 自动重建实现 VM 级恢复；第三阶段自研 HA 管理器，支持存储感知 HA（区分 Ceph 共享存储和 ZFS Replication 场景）。</w:t>
      </w:r>
    </w:p>
    <w:p w14:paraId="0BB82F03">
      <w:pPr>
        <w:pStyle w:val="style66"/>
        <w:rPr/>
      </w:pPr>
      <w:r>
        <w:rPr>
          <w:b/>
          <w:bCs/>
        </w:rPr>
        <w:t>RBAC 权限系统（P0 优先级）</w:t>
      </w:r>
      <w:r>
        <w:t>：PVE 提供完整的 RBAC，支持用户/组/角色/池/LDAP/AD 集成</w:t>
      </w:r>
      <w:r>
        <w:t xml:space="preserve"> </w:t>
      </w:r>
      <w:r>
        <w:rPr/>
        <w:fldChar w:fldCharType="begin"/>
      </w:r>
      <w:r>
        <w:instrText>NOTEREF _Ref_Footnote_35 \h \f</w:instrText>
      </w:r>
      <w:r>
        <w:rPr/>
        <w:fldChar w:fldCharType="separate"/>
      </w:r>
      <w:r>
        <w:rPr>
          <w:vertAlign w:val="superscript"/>
        </w:rPr>
        <w:t>35</w:t>
      </w:r>
      <w:r>
        <w:rPr/>
        <w:fldChar w:fldCharType="end"/>
      </w:r>
      <w:r>
        <w:t>。本平台基于 Kubernetes RBAC 扩展，集成 Incus project 级资源隔离，目标 3–6 个月实现等效功能。认证优先实现 OAuth2/LDAP，两因素认证（TOTP/WebAuthn）复用成熟开源方案。</w:t>
      </w:r>
    </w:p>
    <w:p w14:paraId="4A0DD36A">
      <w:pPr>
        <w:pStyle w:val="style66"/>
        <w:rPr/>
      </w:pPr>
      <w:r>
        <w:t>除上述三大差距外，SDN 网络（VXLAN/EVPN）、备份系统（增量去重）、Terraform/Ansible 生态工具等领域差距技术路径清晰、可渐进建设。本平台在 MicroVM 速度、安全容器隔离和云原生兼容性上的技术优势，是 PVE 难以短期追赶的差异化壁垒。</w:t>
      </w:r>
    </w:p>
    <w:p w14:paraId="A6F63C61">
      <w:pPr>
        <w:pStyle w:val="style0"/>
        <w:rPr/>
      </w:pPr>
      <w:r>
        <w:rPr/>
        <w:pict>
          <v:rect id="1029" stroked="t" style="margin-left:0.0pt;margin-top:0.0pt;width:0.0pt;height:1.5pt;mso-wrap-distance-left:0.0pt;mso-wrap-distance-right:0.0pt;visibility:visible;" o:hr="t" o:hralign="center" o:hrstd="t">
            <v:fill/>
          </v:rect>
        </w:pict>
      </w:r>
    </w:p>
    <w:bookmarkStart w:id="24" w:name="虚拟化层设计"/>
    <w:bookmarkEnd w:id="23"/>
    <w:bookmarkEnd w:id="20"/>
    <w:p w14:paraId="4D84F704">
      <w:pPr>
        <w:pStyle w:val="style4102"/>
        <w:rPr/>
      </w:pPr>
      <w:r>
        <w:t>2. 虚拟化层设计</w:t>
      </w:r>
    </w:p>
    <w:bookmarkStart w:id="25" w:name="混合-hypervisor-架构概述"/>
    <w:p w14:paraId="1BC1BBB9">
      <w:pPr>
        <w:pStyle w:val="style4103"/>
        <w:rPr/>
      </w:pPr>
      <w:r>
        <w:t>2.1 混合 Hypervisor 架构概述</w:t>
      </w:r>
    </w:p>
    <w:bookmarkStart w:id="26" w:name="有限多后端策略复杂度分析"/>
    <w:p w14:paraId="D09AE961">
      <w:pPr>
        <w:pStyle w:val="style4104"/>
        <w:rPr/>
      </w:pPr>
      <w:r>
        <w:t>2.1.1</w:t>
      </w:r>
      <w:r>
        <w:t xml:space="preserve"> </w:t>
      </w:r>
      <w:r>
        <w:t>“</w:t>
      </w:r>
      <w:r>
        <w:t>有限多后端</w:t>
      </w:r>
      <w:r>
        <w:t>”</w:t>
      </w:r>
      <w:r>
        <w:t>策略：复杂度分析</w:t>
      </w:r>
    </w:p>
    <w:p w14:paraId="61CA8D1B">
      <w:pPr>
        <w:pStyle w:val="style4097"/>
        <w:rPr/>
      </w:pPr>
      <w:r>
        <w:t>混合 Hypervisor 架构的核心挑战不在于单一后端的性能优化，而在于每增加一个后端所引入的系统性复杂度增长。本架构选择同时支持 Cloud Hypervisor（KVM 生态）、QEMU/KVM（完整虚拟化）和 MSHV/Hyper-V（Windows 生态）三种后端，该决策基于 Kata Containers 多后端模型的工程验证——Kata 已证明同一运行时可支持 QEMU、Cloud Hypervisor、Firecracker、Dragonball 等多种 VMM（Virtual Machine Monitor，虚拟机监视器）</w:t>
      </w:r>
      <w:r>
        <w:rPr>
          <w:vertAlign w:val="superscript"/>
        </w:rPr>
        <w:footnoteReference w:id="37"/>
      </w:r>
      <w:r>
        <w:t xml:space="preserve"> </w:t>
      </w:r>
      <w:r>
        <w:rPr/>
        <w:fldChar w:fldCharType="begin"/>
      </w:r>
      <w:r>
        <w:instrText>NOTEREF _Ref_Footnote_9 \h \f</w:instrText>
      </w:r>
      <w:r>
        <w:rPr/>
        <w:fldChar w:fldCharType="separate"/>
      </w:r>
      <w:r>
        <w:rPr>
          <w:vertAlign w:val="superscript"/>
        </w:rPr>
        <w:t>9</w:t>
      </w:r>
      <w:r>
        <w:rPr/>
        <w:fldChar w:fldCharType="end"/>
      </w:r>
      <w:r>
        <w:t>。然而，多后端带来的复杂度增长呈非线性特征，需从四个维度进行量化评估。</w:t>
      </w:r>
    </w:p>
    <w:p w14:paraId="AF886457">
      <w:pPr>
        <w:pStyle w:val="style66"/>
        <w:rPr/>
      </w:pPr>
      <w:r>
        <w:rPr>
          <w:b/>
          <w:bCs/>
        </w:rPr>
        <w:t>设备模型复杂度</w:t>
      </w:r>
      <w:r>
        <w:t>。每个后端拥有独立的设备模拟语义：Cloud Hypervisor 仅支持 virtio-pci 传输层的精简设备集（virtio-block、virtio-net、virtio-fs、virtio-console 等）</w:t>
      </w:r>
      <w:r>
        <w:rPr>
          <w:vertAlign w:val="superscript"/>
        </w:rPr>
        <w:footnoteReference w:id="38"/>
      </w:r>
      <w:r>
        <w:t>；QEMU 支持包括 legacy IDE、PCI 直通、USB 控制器在内的完整设备模型；Hyper-V 则采用 VSP/VSC（Virtualization Service Provider / Virtualization Service Client）半虚拟化架构，设备通过 VMBus（Virtual Machine Bus）通道通信</w:t>
      </w:r>
      <w:r>
        <w:rPr>
          <w:vertAlign w:val="superscript"/>
        </w:rPr>
        <w:footnoteReference w:id="39"/>
      </w:r>
      <w:r>
        <w:t xml:space="preserve"> </w:t>
      </w:r>
      <w:r>
        <w:rPr>
          <w:vertAlign w:val="superscript"/>
        </w:rPr>
        <w:footnoteReference w:id="40"/>
      </w:r>
      <w:r>
        <w:t>。三种设备模型之间的语义映射需要独立的适配层，且并非所有功能均可跨后端复现——例如 Firecracker 后端不支持热插拔和文件系统共享</w:t>
      </w:r>
      <w:r>
        <w:rPr/>
        <w:fldChar w:fldCharType="begin"/>
      </w:r>
      <w:r>
        <w:instrText>NOTEREF _Ref_Footnote_9 \h \f</w:instrText>
      </w:r>
      <w:r>
        <w:rPr/>
        <w:fldChar w:fldCharType="separate"/>
      </w:r>
      <w:r>
        <w:rPr>
          <w:vertAlign w:val="superscript"/>
        </w:rPr>
        <w:t>9</w:t>
      </w:r>
      <w:r>
        <w:rPr/>
        <w:fldChar w:fldCharType="end"/>
      </w:r>
      <w:r>
        <w:t>，VMBus 设备无法在 KVM 原生环境中运行。</w:t>
      </w:r>
    </w:p>
    <w:p w14:paraId="2B125C54">
      <w:pPr>
        <w:pStyle w:val="style66"/>
        <w:rPr/>
      </w:pPr>
      <w:r>
        <w:rPr>
          <w:b/>
          <w:bCs/>
        </w:rPr>
        <w:t>启动序列复杂度</w:t>
      </w:r>
      <w:r>
        <w:t>。不同后端的 VM 启动流程存在显著差异：Cloud Hypervisor 基于 Rust VMM crates 直接通过 KVM API 创建 VM，启动路径短（~100ms 到 userspace）</w:t>
      </w:r>
      <w:r>
        <w:rPr>
          <w:vertAlign w:val="superscript"/>
        </w:rPr>
        <w:footnoteReference w:id="41"/>
      </w:r>
      <w:r>
        <w:t>；QEMU 需经过 Q35 芯片组初始化、UEFI 固件执行、ACPI 表构建等完整 PC 兼容启动流程；Hyper-V 的第二代 VM 则通过 UEFI + Secure Boot 启动，依赖 VMMS（Virtual Machine Management Service）协调</w:t>
      </w:r>
      <w:r>
        <w:rPr>
          <w:vertAlign w:val="superscript"/>
        </w:rPr>
        <w:footnoteReference w:id="42"/>
      </w:r>
      <w:r>
        <w:t xml:space="preserve"> </w:t>
      </w:r>
      <w:r>
        <w:rPr>
          <w:vertAlign w:val="superscript"/>
        </w:rPr>
        <w:footnoteReference w:id="43"/>
      </w:r>
      <w:r>
        <w:t>。统一抽象层必须将三种启动序列归一化为相同的生命周期状态机（Created → Booting → Running → Paused → Stopped），同时保留各后端的启动阶段可见性以供调试。</w:t>
      </w:r>
    </w:p>
    <w:p w14:paraId="AF643686">
      <w:pPr>
        <w:pStyle w:val="style66"/>
        <w:rPr/>
      </w:pPr>
      <w:r>
        <w:rPr>
          <w:b/>
          <w:bCs/>
        </w:rPr>
        <w:t>热迁移语义差异</w:t>
      </w:r>
      <w:r>
        <w:t>。Cloud Hypervisor 支持基于 RAM 脏页跟踪的实时迁移</w:t>
      </w:r>
      <w:r>
        <w:rPr>
          <w:vertAlign w:val="superscript"/>
        </w:rPr>
        <w:footnoteReference w:id="44"/>
      </w:r>
      <w:r>
        <w:t>，QEMU 使用标准的 KVM 迁移协议（precopy → stop-and-copy → resume），Hyper-V 则提供三种实时迁移模式（共享实时迁移、无共享实时迁移、存储实时迁移）</w:t>
      </w:r>
      <w:r>
        <w:rPr>
          <w:vertAlign w:val="superscript"/>
        </w:rPr>
        <w:footnoteReference w:id="45"/>
      </w:r>
      <w:r>
        <w:t xml:space="preserve"> </w:t>
      </w:r>
      <w:r>
        <w:rPr>
          <w:vertAlign w:val="superscript"/>
        </w:rPr>
        <w:footnoteReference w:id="46"/>
      </w:r>
      <w:r>
        <w:t>。三种方案在迁移中断容忍度、网络带宽需求和存储一致性保证上均不相同。统一层只能暴露三种后端的”最小公共功能集”</w:t>
      </w:r>
      <w:r>
        <w:rPr/>
        <w:fldChar w:fldCharType="begin"/>
      </w:r>
      <w:r>
        <w:instrText>NOTEREF _Ref_Footnote_26 \h \f</w:instrText>
      </w:r>
      <w:r>
        <w:rPr/>
        <w:fldChar w:fldCharType="separate"/>
      </w:r>
      <w:r>
        <w:rPr>
          <w:vertAlign w:val="superscript"/>
        </w:rPr>
        <w:t>26</w:t>
      </w:r>
      <w:r>
        <w:rPr/>
        <w:fldChar w:fldCharType="end"/>
      </w:r>
      <w:r>
        <w:t>——即基础的起停迁移接口，高级迁移特性需通过后端特定配置透传。</w:t>
      </w:r>
    </w:p>
    <w:p w14:paraId="0DD10B6C">
      <w:pPr>
        <w:pStyle w:val="style66"/>
        <w:rPr/>
      </w:pPr>
      <w:r>
        <w:rPr>
          <w:b/>
          <w:bCs/>
        </w:rPr>
        <w:t>错误码映射开销</w:t>
      </w:r>
      <w:r>
        <w:t>。每个后端拥有独立的错误命名空间：KVM 通过 errno 和 KVM_EXIT_* 码报告错误，QEMU 使用 QMP（QEMU Monitor Protocol）错误对象，Hyper-V 依赖 HCS（Host Compute Service）的 HRESULT 错误码</w:t>
      </w:r>
      <w:r>
        <w:rPr>
          <w:vertAlign w:val="superscript"/>
        </w:rPr>
        <w:footnoteReference w:id="47"/>
      </w:r>
      <w:r>
        <w:t>。统一层需维护映射表将各后端错误转换为平台无关的状态码，该映射表需随后端版本更新同步维护。</w:t>
      </w:r>
    </w:p>
    <w:p w14:paraId="FD216275">
      <w:pPr>
        <w:pStyle w:val="style66"/>
        <w:rPr/>
      </w:pPr>
      <w:r>
        <w:t>基于以上分析，架构采用</w:t>
      </w:r>
      <w:r>
        <w:t xml:space="preserve"> </w:t>
      </w:r>
      <w:r>
        <w:rPr>
          <w:b/>
          <w:bCs/>
        </w:rPr>
        <w:t>“</w:t>
      </w:r>
      <w:r>
        <w:rPr>
          <w:b/>
          <w:bCs/>
        </w:rPr>
        <w:t>有限多后端</w:t>
      </w:r>
      <w:r>
        <w:rPr>
          <w:b/>
          <w:bCs/>
        </w:rPr>
        <w:t>”</w:t>
      </w:r>
      <w:r>
        <w:rPr>
          <w:b/>
          <w:bCs/>
        </w:rPr>
        <w:t>（Limited Multi-Backend）策略</w:t>
      </w:r>
      <w:r>
        <w:t>：明确划分各后端的功能角色和测试范围，避免试图让所有后端支持所有功能的”抽象层膨胀”反模式。oVirt 项目的教训表明，过度抽象的驱动层会导致 bug 难以调试且拖慢开发速度</w:t>
      </w:r>
      <w:r>
        <w:rPr/>
        <w:fldChar w:fldCharType="begin"/>
      </w:r>
      <w:r>
        <w:instrText>NOTEREF _Ref_Footnote_26 \h \f</w:instrText>
      </w:r>
      <w:r>
        <w:rPr/>
        <w:fldChar w:fldCharType="separate"/>
      </w:r>
      <w:r>
        <w:rPr>
          <w:vertAlign w:val="superscript"/>
        </w:rPr>
        <w:t>26</w:t>
      </w:r>
      <w:r>
        <w:rPr/>
        <w:fldChar w:fldCharType="end"/>
      </w:r>
      <w:r>
        <w:t>。</w:t>
      </w:r>
    </w:p>
    <w:bookmarkStart w:id="27" w:name="三后端角色定义"/>
    <w:bookmarkEnd w:id="26"/>
    <w:p w14:paraId="0A4041EE">
      <w:pPr>
        <w:pStyle w:val="style4104"/>
        <w:rPr/>
      </w:pPr>
      <w:r>
        <w:t>2.1.2 三后端角色定义</w:t>
      </w:r>
    </w:p>
    <w:tbl>
      <w:tblPr>
        <w:tblStyle w:val="style4111"/>
        <w:tblW w:w="5000" w:type="pct"/>
        <w:tblLook w:val="0020" w:firstRow="1" w:lastRow="0" w:firstColumn="0" w:lastColumn="0" w:noHBand="0" w:noVBand="0"/>
      </w:tblPr>
      <w:tblGrid>
        <w:gridCol w:w="1877"/>
        <w:gridCol w:w="1717"/>
        <w:gridCol w:w="1211"/>
        <w:gridCol w:w="1000"/>
        <w:gridCol w:w="2112"/>
      </w:tblGrid>
      <w:tr w14:paraId="3778FDF1">
        <w:trPr>
          <w:tblHeader/>
        </w:trPr>
        <w:tc>
          <w:tcPr>
            <w:tcW w:w="0" w:type="auto"/>
            <w:tcBorders/>
          </w:tcPr>
          <w:p w14:paraId="9B9418E3">
            <w:pPr>
              <w:pStyle w:val="style4098"/>
              <w:jc w:val="left"/>
              <w:rPr/>
            </w:pPr>
            <w:r>
              <w:t>后端角色</w:t>
            </w:r>
          </w:p>
        </w:tc>
        <w:tc>
          <w:tcPr>
            <w:tcW w:w="0" w:type="auto"/>
            <w:tcBorders/>
          </w:tcPr>
          <w:p w14:paraId="B990663E">
            <w:pPr>
              <w:pStyle w:val="style4098"/>
              <w:jc w:val="left"/>
              <w:rPr/>
            </w:pPr>
            <w:r>
              <w:t>VMM 选型</w:t>
            </w:r>
          </w:p>
        </w:tc>
        <w:tc>
          <w:tcPr>
            <w:tcW w:w="0" w:type="auto"/>
            <w:tcBorders/>
          </w:tcPr>
          <w:p w14:paraId="8500C8E2">
            <w:pPr>
              <w:pStyle w:val="style4098"/>
              <w:jc w:val="left"/>
              <w:rPr/>
            </w:pPr>
            <w:r>
              <w:t>功能覆盖范围</w:t>
            </w:r>
          </w:p>
        </w:tc>
        <w:tc>
          <w:tcPr>
            <w:tcW w:w="0" w:type="auto"/>
            <w:tcBorders/>
          </w:tcPr>
          <w:p w14:paraId="8D204307">
            <w:pPr>
              <w:pStyle w:val="style4098"/>
              <w:jc w:val="left"/>
              <w:rPr/>
            </w:pPr>
            <w:r>
              <w:t>测试策略</w:t>
            </w:r>
          </w:p>
        </w:tc>
        <w:tc>
          <w:tcPr>
            <w:tcW w:w="0" w:type="auto"/>
            <w:tcBorders/>
          </w:tcPr>
          <w:p w14:paraId="2394D7CD">
            <w:pPr>
              <w:pStyle w:val="style4098"/>
              <w:jc w:val="left"/>
              <w:rPr/>
            </w:pPr>
            <w:r>
              <w:t>目标场景</w:t>
            </w:r>
          </w:p>
        </w:tc>
      </w:tr>
      <w:tr w14:paraId="29CBA00F">
        <w:tblPrEx/>
        <w:trPr/>
        <w:tc>
          <w:tcPr>
            <w:tcW w:w="0" w:type="auto"/>
            <w:tcBorders/>
          </w:tcPr>
          <w:p w14:paraId="FC2A910F">
            <w:pPr>
              <w:pStyle w:val="style4098"/>
              <w:jc w:val="left"/>
              <w:rPr/>
            </w:pPr>
            <w:r>
              <w:t>主后端（Primary）</w:t>
            </w:r>
          </w:p>
        </w:tc>
        <w:tc>
          <w:tcPr>
            <w:tcW w:w="0" w:type="auto"/>
            <w:tcBorders/>
          </w:tcPr>
          <w:p w14:paraId="CC00B83C">
            <w:pPr>
              <w:pStyle w:val="style4098"/>
              <w:jc w:val="left"/>
              <w:rPr/>
            </w:pPr>
            <w:r>
              <w:t>Cloud Hypervisor (Rust VMM)</w:t>
            </w:r>
          </w:p>
        </w:tc>
        <w:tc>
          <w:tcPr>
            <w:tcW w:w="0" w:type="auto"/>
            <w:tcBorders/>
          </w:tcPr>
          <w:p w14:paraId="992D937B">
            <w:pPr>
              <w:pStyle w:val="style4098"/>
              <w:jc w:val="left"/>
              <w:rPr/>
            </w:pPr>
            <w:r>
              <w:t>完整功能：热插拔、实时迁移、VFIO GPU 直通、CPU/内存动态调整</w:t>
            </w:r>
          </w:p>
        </w:tc>
        <w:tc>
          <w:tcPr>
            <w:tcW w:w="0" w:type="auto"/>
            <w:tcBorders/>
          </w:tcPr>
          <w:p w14:paraId="30432975">
            <w:pPr>
              <w:pStyle w:val="style4098"/>
              <w:jc w:val="left"/>
              <w:rPr/>
            </w:pPr>
            <w:r>
              <w:t>完整测试矩阵，CI/CD 全量回归</w:t>
            </w:r>
          </w:p>
        </w:tc>
        <w:tc>
          <w:tcPr>
            <w:tcW w:w="0" w:type="auto"/>
            <w:tcBorders/>
          </w:tcPr>
          <w:p w14:paraId="812EA4D9">
            <w:pPr>
              <w:pStyle w:val="style4098"/>
              <w:jc w:val="left"/>
              <w:rPr/>
            </w:pPr>
            <w:r>
              <w:t>AI Agent 沙箱、高密度容器、生产默认</w:t>
            </w:r>
          </w:p>
        </w:tc>
      </w:tr>
      <w:tr w14:paraId="536CF90A">
        <w:tblPrEx/>
        <w:trPr/>
        <w:tc>
          <w:tcPr>
            <w:tcW w:w="0" w:type="auto"/>
            <w:tcBorders/>
          </w:tcPr>
          <w:p w14:paraId="E1955FCB">
            <w:pPr>
              <w:pStyle w:val="style4098"/>
              <w:jc w:val="left"/>
              <w:rPr/>
            </w:pPr>
            <w:r>
              <w:t>兼容后端（Compatible）</w:t>
            </w:r>
          </w:p>
        </w:tc>
        <w:tc>
          <w:tcPr>
            <w:tcW w:w="0" w:type="auto"/>
            <w:tcBorders/>
          </w:tcPr>
          <w:p w14:paraId="A346586F">
            <w:pPr>
              <w:pStyle w:val="style4098"/>
              <w:jc w:val="left"/>
              <w:rPr/>
            </w:pPr>
            <w:r>
              <w:t>QEMU/KVM</w:t>
            </w:r>
          </w:p>
        </w:tc>
        <w:tc>
          <w:tcPr>
            <w:tcW w:w="0" w:type="auto"/>
            <w:tcBorders/>
          </w:tcPr>
          <w:p w14:paraId="424961E8">
            <w:pPr>
              <w:pStyle w:val="style4098"/>
              <w:jc w:val="left"/>
              <w:rPr/>
            </w:pPr>
            <w:r>
              <w:t>功能子集：标准 virtio 设备、Q35 芯片组、UEFI 启动、传统设备兼容</w:t>
            </w:r>
          </w:p>
        </w:tc>
        <w:tc>
          <w:tcPr>
            <w:tcW w:w="0" w:type="auto"/>
            <w:tcBorders/>
          </w:tcPr>
          <w:p w14:paraId="17C6923F">
            <w:pPr>
              <w:pStyle w:val="style4098"/>
              <w:jc w:val="left"/>
              <w:rPr/>
            </w:pPr>
            <w:r>
              <w:t>功能子集测试，重点验证启动和 I/O 路径</w:t>
            </w:r>
          </w:p>
        </w:tc>
        <w:tc>
          <w:tcPr>
            <w:tcW w:w="0" w:type="auto"/>
            <w:tcBorders/>
          </w:tcPr>
          <w:p w14:paraId="0AB37917">
            <w:pPr>
              <w:pStyle w:val="style4098"/>
              <w:jc w:val="left"/>
              <w:rPr/>
            </w:pPr>
            <w:r>
              <w:t>遗留 VM 迁移、完整设备模型需求、Windows/Linux 双启动</w:t>
            </w:r>
          </w:p>
        </w:tc>
      </w:tr>
      <w:tr w14:paraId="FF8C4BF7">
        <w:tblPrEx/>
        <w:trPr/>
        <w:tc>
          <w:tcPr>
            <w:tcW w:w="0" w:type="auto"/>
            <w:tcBorders/>
          </w:tcPr>
          <w:p w14:paraId="E905194C">
            <w:pPr>
              <w:pStyle w:val="style4098"/>
              <w:jc w:val="left"/>
              <w:rPr/>
            </w:pPr>
            <w:r>
              <w:t>探索后端（Exploratory）</w:t>
            </w:r>
          </w:p>
        </w:tc>
        <w:tc>
          <w:tcPr>
            <w:tcW w:w="0" w:type="auto"/>
            <w:tcBorders/>
          </w:tcPr>
          <w:p w14:paraId="627556A3">
            <w:pPr>
              <w:pStyle w:val="style4098"/>
              <w:jc w:val="left"/>
              <w:rPr/>
            </w:pPr>
            <w:r>
              <w:t>MSHV/Hyper-V</w:t>
            </w:r>
          </w:p>
        </w:tc>
        <w:tc>
          <w:tcPr>
            <w:tcW w:w="0" w:type="auto"/>
            <w:tcBorders/>
          </w:tcPr>
          <w:p w14:paraId="3DCDA99A">
            <w:pPr>
              <w:pStyle w:val="style4098"/>
              <w:jc w:val="left"/>
              <w:rPr/>
            </w:pPr>
            <w:r>
              <w:t>核心功能：VM 生命周期、VMBus 设备、第二代 VM</w:t>
            </w:r>
          </w:p>
        </w:tc>
        <w:tc>
          <w:tcPr>
            <w:tcW w:w="0" w:type="auto"/>
            <w:tcBorders/>
          </w:tcPr>
          <w:p w14:paraId="A31B4844">
            <w:pPr>
              <w:pStyle w:val="style4098"/>
              <w:jc w:val="left"/>
              <w:rPr/>
            </w:pPr>
            <w:r>
              <w:t>仅核心功能测试，手动验证</w:t>
            </w:r>
          </w:p>
        </w:tc>
        <w:tc>
          <w:tcPr>
            <w:tcW w:w="0" w:type="auto"/>
            <w:tcBorders/>
          </w:tcPr>
          <w:p w14:paraId="983E7050">
            <w:pPr>
              <w:pStyle w:val="style4098"/>
              <w:jc w:val="left"/>
              <w:rPr/>
            </w:pPr>
            <w:r>
              <w:t>Windows 宿主环境、.NET/SQL Server 工作负载、Azure Stack HCI 兼容</w:t>
            </w:r>
          </w:p>
        </w:tc>
      </w:tr>
    </w:tbl>
    <w:p w14:paraId="311A83F0">
      <w:pPr>
        <w:pStyle w:val="style66"/>
        <w:rPr/>
      </w:pPr>
      <w:r>
        <w:t>上表定义了三种后端在 CubeSandbox 架构中的精确角色边界。</w:t>
      </w:r>
      <w:r>
        <w:rPr>
          <w:b/>
          <w:bCs/>
        </w:rPr>
        <w:t>主后端</w:t>
      </w:r>
      <w:r>
        <w:t xml:space="preserve"> </w:t>
      </w:r>
      <w:r>
        <w:t>Cloud Hypervisor 承担生产工作负载的默认执行环境，其基于 Rust-VMM crates 构建，代码量约 50,000 行（相比 QEMU 的约 170 万行 C 代码）</w:t>
      </w:r>
      <w:r>
        <w:rPr/>
        <w:fldChar w:fldCharType="begin"/>
      </w:r>
      <w:r>
        <w:instrText>NOTEREF _Ref_Footnote_41 \h \f</w:instrText>
      </w:r>
      <w:r>
        <w:rPr/>
        <w:fldChar w:fldCharType="separate"/>
      </w:r>
      <w:r>
        <w:rPr>
          <w:vertAlign w:val="superscript"/>
        </w:rPr>
        <w:t>41</w:t>
      </w:r>
      <w:r>
        <w:rPr/>
        <w:fldChar w:fldCharType="end"/>
      </w:r>
      <w:r>
        <w:t>，攻击面显著缩小。腾讯云生产环境验证表明，基于该后端的 CubeHypervisor 可实现单节点 2,000+ 沙箱、&lt;60ms 冷启动和 &lt;5MB 增量内存开销</w:t>
      </w:r>
      <w:r>
        <w:rPr/>
        <w:fldChar w:fldCharType="begin"/>
      </w:r>
      <w:r>
        <w:instrText>NOTEREF _Ref_Footnote_11 \h \f</w:instrText>
      </w:r>
      <w:r>
        <w:rPr/>
        <w:fldChar w:fldCharType="separate"/>
      </w:r>
      <w:r>
        <w:rPr>
          <w:vertAlign w:val="superscript"/>
        </w:rPr>
        <w:t>11</w:t>
      </w:r>
      <w:r>
        <w:rPr/>
        <w:fldChar w:fldCharType="end"/>
      </w:r>
      <w:r>
        <w:t xml:space="preserve"> </w:t>
      </w:r>
      <w:r>
        <w:rPr/>
        <w:fldChar w:fldCharType="begin"/>
      </w:r>
      <w:r>
        <w:instrText>NOTEREF _Ref_Footnote_4 \h \f</w:instrText>
      </w:r>
      <w:r>
        <w:rPr/>
        <w:fldChar w:fldCharType="separate"/>
      </w:r>
      <w:r>
        <w:rPr>
          <w:vertAlign w:val="superscript"/>
        </w:rPr>
        <w:t>4</w:t>
      </w:r>
      <w:r>
        <w:rPr/>
        <w:fldChar w:fldCharType="end"/>
      </w:r>
      <w:r>
        <w:t>。</w:t>
      </w:r>
      <w:r>
        <w:rPr>
          <w:b/>
          <w:bCs/>
        </w:rPr>
        <w:t>兼容后端</w:t>
      </w:r>
      <w:r>
        <w:t xml:space="preserve"> </w:t>
      </w:r>
      <w:r>
        <w:t>QEMU/KVM 负责处理 Cloud Hypervisor 不支持的传统工作负载——需要 legacy 设备模拟、完整 ACPI 表或特定芯片组兼容性的场景。</w:t>
      </w:r>
      <w:r>
        <w:rPr>
          <w:b/>
          <w:bCs/>
        </w:rPr>
        <w:t>探索后端</w:t>
      </w:r>
      <w:r>
        <w:t xml:space="preserve"> </w:t>
      </w:r>
      <w:r>
        <w:t>MSHV/Hyper-V 当前定位为实验性功能，主要面向需要在 Windows Server 宿主机上运行沙箱的混合云场景，其成熟度依赖 QEMU 10.2+ 的</w:t>
      </w:r>
      <w:r>
        <w:t xml:space="preserve"> </w:t>
      </w:r>
      <w:r>
        <w:rPr>
          <w:rStyle w:val="style4120"/>
        </w:rPr>
        <w:t>-accel mshv</w:t>
      </w:r>
      <w:r>
        <w:t xml:space="preserve"> </w:t>
      </w:r>
      <w:r>
        <w:t>支持和上游 libvirt 补丁进度</w:t>
      </w:r>
      <w:r>
        <w:rPr>
          <w:vertAlign w:val="superscript"/>
        </w:rPr>
        <w:footnoteReference w:id="48"/>
      </w:r>
      <w:r>
        <w:t xml:space="preserve"> </w:t>
      </w:r>
      <w:r>
        <w:rPr/>
        <w:fldChar w:fldCharType="begin"/>
      </w:r>
      <w:r>
        <w:instrText>NOTEREF _Ref_Footnote_20 \h \f</w:instrText>
      </w:r>
      <w:r>
        <w:rPr/>
        <w:fldChar w:fldCharType="separate"/>
      </w:r>
      <w:r>
        <w:rPr>
          <w:vertAlign w:val="superscript"/>
        </w:rPr>
        <w:t>20</w:t>
      </w:r>
      <w:r>
        <w:rPr/>
        <w:fldChar w:fldCharType="end"/>
      </w:r>
      <w:r>
        <w:t>。</w:t>
      </w:r>
    </w:p>
    <w:p w14:paraId="DC799589">
      <w:pPr>
        <w:pStyle w:val="style66"/>
        <w:rPr/>
      </w:pPr>
      <w:r>
        <w:t>三种后端的测试矩阵存在明确分层：主后端执行完整的 CI/CD 回归测试（覆盖设备热插拔、迁移、快照等全部功能路径），兼容后端执行功能子集测试（聚焦 VM 起停、基本 I/O 和网络连通性），探索后端仅执行手动核心功能验证（VM 创建、启动、删除）。这种分层策略将测试资源集中在生产默认路径上，同时保持对其他后端的兼容性监控。</w:t>
      </w:r>
    </w:p>
    <w:bookmarkStart w:id="28" w:name="统一抽象层选型containerd-shim-v2"/>
    <w:bookmarkEnd w:id="27"/>
    <w:p w14:paraId="2172D97E">
      <w:pPr>
        <w:pStyle w:val="style4104"/>
        <w:rPr/>
      </w:pPr>
      <w:r>
        <w:t>2.1.3 统一抽象层选型：containerd Shim v2</w:t>
      </w:r>
    </w:p>
    <w:p w14:paraId="4E79A2C1">
      <w:pPr>
        <w:pStyle w:val="style4097"/>
        <w:rPr/>
      </w:pPr>
      <w:r>
        <w:t>混合虚拟化架构需要统一抽象层屏蔽底层 Hypervisor 差异。业界最成熟的方案是 libvirt——其基于驱动的架构（driver-based architecture）支持 QEMU/KVM、Xen、Hyper-V、LXC 等多种虚拟化技术，采用”最小公共功能集”原则确保 API 跨平台兼容性</w:t>
      </w:r>
      <w:r>
        <w:rPr>
          <w:vertAlign w:val="superscript"/>
        </w:rPr>
        <w:footnoteReference w:id="49"/>
      </w:r>
      <w:r>
        <w:t xml:space="preserve"> </w:t>
      </w:r>
      <w:r>
        <w:rPr>
          <w:vertAlign w:val="superscript"/>
        </w:rPr>
        <w:footnoteReference w:id="50"/>
      </w:r>
      <w:r>
        <w:t>。然而，经过对 oVirt 项目教训的分析</w:t>
      </w:r>
      <w:r>
        <w:rPr/>
        <w:fldChar w:fldCharType="begin"/>
      </w:r>
      <w:r>
        <w:instrText>NOTEREF _Ref_Footnote_26 \h \f</w:instrText>
      </w:r>
      <w:r>
        <w:rPr/>
        <w:fldChar w:fldCharType="separate"/>
      </w:r>
      <w:r>
        <w:rPr>
          <w:vertAlign w:val="superscript"/>
        </w:rPr>
        <w:t>26</w:t>
      </w:r>
      <w:r>
        <w:rPr/>
        <w:fldChar w:fldCharType="end"/>
      </w:r>
      <w:r>
        <w:t>，架构选择</w:t>
      </w:r>
      <w:r>
        <w:t xml:space="preserve"> </w:t>
      </w:r>
      <w:r>
        <w:rPr>
          <w:b/>
          <w:bCs/>
        </w:rPr>
        <w:t>containerd Shim v2 替代 libvirt</w:t>
      </w:r>
      <w:r>
        <w:t xml:space="preserve"> </w:t>
      </w:r>
      <w:r>
        <w:t>作为统一抽象层，理由如下。</w:t>
      </w:r>
    </w:p>
    <w:p w14:paraId="8280872F">
      <w:pPr>
        <w:pStyle w:val="style66"/>
        <w:rPr/>
      </w:pPr>
      <w:r>
        <w:t>libvirt 的抽象层引入额外的中间层转换开销：ovirt-engine（Java）→ VDSM（Python）→ libvirt（C）的三层转换导致流程更容易出 bug 且难以调试</w:t>
      </w:r>
      <w:r>
        <w:rPr/>
        <w:fldChar w:fldCharType="begin"/>
      </w:r>
      <w:r>
        <w:instrText>NOTEREF _Ref_Footnote_26 \h \f</w:instrText>
      </w:r>
      <w:r>
        <w:rPr/>
        <w:fldChar w:fldCharType="separate"/>
      </w:r>
      <w:r>
        <w:rPr>
          <w:vertAlign w:val="superscript"/>
        </w:rPr>
        <w:t>26</w:t>
      </w:r>
      <w:r>
        <w:rPr/>
        <w:fldChar w:fldCharType="end"/>
      </w:r>
      <w:r>
        <w:t>。对于 CubeSandbox 的 Rust + Go 技术栈，引入 libvirt（C 语言）意味着额外的 FFI（Foreign Function Interface）绑定和语言边界上下文切换。相比之下，containerd Shim v2 是云原生生态的标准运行时接口，CubeShim 已通过</w:t>
      </w:r>
      <w:r>
        <w:t xml:space="preserve"> </w:t>
      </w:r>
      <w:r>
        <w:rPr>
          <w:rStyle w:val="style4120"/>
        </w:rPr>
        <w:t>containerd-shim-rs</w:t>
      </w:r>
      <w:r>
        <w:t xml:space="preserve"> </w:t>
      </w:r>
      <w:r>
        <w:t>crate 在 Rust 中完整实现 Shim v2 API</w:t>
      </w:r>
      <w:r>
        <w:rPr/>
        <w:fldChar w:fldCharType="begin"/>
      </w:r>
      <w:r>
        <w:instrText>NOTEREF _Ref_Footnote_8 \h \f</w:instrText>
      </w:r>
      <w:r>
        <w:rPr/>
        <w:fldChar w:fldCharType="separate"/>
      </w:r>
      <w:r>
        <w:rPr>
          <w:vertAlign w:val="superscript"/>
        </w:rPr>
        <w:t>8</w:t>
      </w:r>
      <w:r>
        <w:rPr/>
        <w:fldChar w:fldCharType="end"/>
      </w:r>
      <w:r>
        <w:t>，与 CubeHypervisor 同属 Rust 生态，零 FFI 开销。</w:t>
      </w:r>
    </w:p>
    <w:p w14:paraId="5DB317B6">
      <w:pPr>
        <w:pStyle w:val="style66"/>
        <w:rPr/>
      </w:pPr>
      <w:r>
        <w:t>Shim v2 的设计本身即面向多后端场景：每个后端对应一个独立的 shim 二进制（</w:t>
      </w:r>
      <w:r>
        <w:rPr>
          <w:rStyle w:val="style4120"/>
        </w:rPr>
        <w:t>containerd-shim-kata-v2</w:t>
      </w:r>
      <w:r>
        <w:t>、</w:t>
      </w:r>
      <w:r>
        <w:rPr>
          <w:rStyle w:val="style4120"/>
        </w:rPr>
        <w:t>containerd-shim-cube-v2</w:t>
      </w:r>
      <w:r>
        <w:t xml:space="preserve"> </w:t>
      </w:r>
      <w:r>
        <w:t>等），通过 RuntimeClass 在 Kubernetes 层面进行调度选择</w:t>
      </w:r>
      <w:r>
        <w:rPr>
          <w:vertAlign w:val="superscript"/>
        </w:rPr>
        <w:footnoteReference w:id="51"/>
      </w:r>
      <w:r>
        <w:t>。这种”每个后端一个 shim”的模型天然适配”有限多后端”策略——三个后端各自拥有独立的 shim 实现，通过统一的上层接口（OCI Runtime Spec + ttrpc over vsock）与 containerd 通信</w:t>
      </w:r>
      <w:r>
        <w:rPr/>
        <w:fldChar w:fldCharType="begin"/>
      </w:r>
      <w:r>
        <w:instrText>NOTEREF _Ref_Footnote_8 \h \f</w:instrText>
      </w:r>
      <w:r>
        <w:rPr/>
        <w:fldChar w:fldCharType="separate"/>
      </w:r>
      <w:r>
        <w:rPr>
          <w:vertAlign w:val="superscript"/>
        </w:rPr>
        <w:t>8</w:t>
      </w:r>
      <w:r>
        <w:rPr/>
        <w:fldChar w:fldCharType="end"/>
      </w:r>
      <w:r>
        <w:t xml:space="preserve"> </w:t>
      </w:r>
      <w:r>
        <w:rPr>
          <w:vertAlign w:val="superscript"/>
        </w:rPr>
        <w:footnoteReference w:id="52"/>
      </w:r>
      <w:r>
        <w:t>。后端切换由上层编排系统通过 RuntimeClass 配置完成，无需在运行时层进行复杂的多后端动态路由。</w:t>
      </w:r>
    </w:p>
    <w:p w14:paraId="C37B153E">
      <w:pPr>
        <w:pStyle w:val="style4118"/>
        <w:rPr/>
      </w:pPr>
      <w:r>
        <w:rPr/>
        <w:drawing>
          <wp:inline distL="0" distT="0" distB="0" distR="0">
            <wp:extent cx="5334000" cy="3795715"/>
            <wp:effectExtent l="0" t="0" r="0" b="0"/>
            <wp:docPr id="1030" name="Picture" descr="混合 Hypervisor 架构总览"/>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r:embed="rId4" cstate="print"/>
                    <a:srcRect l="0" t="0" r="0" b="0"/>
                    <a:stretch/>
                  </pic:blipFill>
                  <pic:spPr>
                    <a:xfrm rot="0">
                      <a:off x="0" y="0"/>
                      <a:ext cx="5334000" cy="3795715"/>
                    </a:xfrm>
                    <a:prstGeom prst="rect"/>
                    <a:ln>
                      <a:noFill/>
                    </a:ln>
                  </pic:spPr>
                </pic:pic>
              </a:graphicData>
            </a:graphic>
          </wp:inline>
        </w:drawing>
      </w:r>
    </w:p>
    <w:p w14:paraId="1BC91976">
      <w:pPr>
        <w:pStyle w:val="style4116"/>
        <w:rPr/>
      </w:pPr>
      <w:r>
        <w:t>混合 Hypervisor 架构总览</w:t>
      </w:r>
    </w:p>
    <w:p w14:paraId="A88C23A9">
      <w:pPr>
        <w:pStyle w:val="style66"/>
        <w:rPr/>
      </w:pPr>
      <w:r>
        <w:t>上图展示了 CubeSandbox 混合 Hypervisor 架构的五层设计。编排层（Kubernetes / Containerd / Incus API）通过 RuntimeClass 将工作负载路由至对应的 shim 实现；统一抽象层（containerd Shim v2）提供后端透明的 OCI 兼容接口；后端驱动层执行实际的 VM 生命周期管理；Hypervisor 层通过</w:t>
      </w:r>
      <w:r>
        <w:t xml:space="preserve"> </w:t>
      </w:r>
      <w:r>
        <w:rPr>
          <w:rStyle w:val="style4120"/>
        </w:rPr>
        <w:t>/dev/kvm</w:t>
      </w:r>
      <w:r>
        <w:t xml:space="preserve"> </w:t>
      </w:r>
      <w:r>
        <w:t>或</w:t>
      </w:r>
      <w:r>
        <w:t xml:space="preserve"> </w:t>
      </w:r>
      <w:r>
        <w:rPr>
          <w:rStyle w:val="style4120"/>
        </w:rPr>
        <w:t>/dev/mshv</w:t>
      </w:r>
      <w:r>
        <w:t xml:space="preserve"> </w:t>
      </w:r>
      <w:r>
        <w:t>ioctl 接口与硬件虚拟化扩展交互。这种设计将后端选择延迟至调度时而非运行时，避免了动态后端切换的复杂度。</w:t>
      </w:r>
    </w:p>
    <w:bookmarkStart w:id="29" w:name="kvmqemu-后端设计"/>
    <w:bookmarkEnd w:id="28"/>
    <w:bookmarkEnd w:id="25"/>
    <w:p w14:paraId="0B264867">
      <w:pPr>
        <w:pStyle w:val="style4103"/>
        <w:rPr/>
      </w:pPr>
      <w:r>
        <w:t>2.2 KVM/QEMU 后端设计</w:t>
      </w:r>
    </w:p>
    <w:bookmarkStart w:id="30" w:name="kvm-内核模块架构"/>
    <w:p w14:paraId="B9057B8D">
      <w:pPr>
        <w:pStyle w:val="style4104"/>
        <w:rPr/>
      </w:pPr>
      <w:r>
        <w:t>2.2.1 KVM 内核模块架构</w:t>
      </w:r>
    </w:p>
    <w:p w14:paraId="C05B906C">
      <w:pPr>
        <w:pStyle w:val="style4097"/>
        <w:rPr/>
      </w:pPr>
      <w:r>
        <w:t>KVM（Kernel-based Virtual Machine，基于内核的虚拟机）是 Linux 内核的硬件辅助虚拟化基础设施，自 2006 年合并入 Linux 2.6.20 主线以来，已成为云服务器虚拟化的事实标准。KVM 以内核模块形式（</w:t>
      </w:r>
      <w:r>
        <w:rPr>
          <w:rStyle w:val="style4120"/>
        </w:rPr>
        <w:t>kvm.ko</w:t>
      </w:r>
      <w:r>
        <w:t>、</w:t>
      </w:r>
      <w:r>
        <w:rPr>
          <w:rStyle w:val="style4120"/>
        </w:rPr>
        <w:t>kvm-intel.ko</w:t>
      </w:r>
      <w:r>
        <w:t xml:space="preserve"> </w:t>
      </w:r>
      <w:r>
        <w:t>或</w:t>
      </w:r>
      <w:r>
        <w:t xml:space="preserve"> </w:t>
      </w:r>
      <w:r>
        <w:rPr>
          <w:rStyle w:val="style4120"/>
        </w:rPr>
        <w:t>kvm-amd.ko</w:t>
      </w:r>
      <w:r>
        <w:t>）提供</w:t>
      </w:r>
      <w:r>
        <w:t xml:space="preserve"> </w:t>
      </w:r>
      <w:r>
        <w:rPr>
          <w:rStyle w:val="style4120"/>
        </w:rPr>
        <w:t>/dev/kvm</w:t>
      </w:r>
      <w:r>
        <w:t xml:space="preserve"> </w:t>
      </w:r>
      <w:r>
        <w:t>字符设备接口，用户空间 VMM 通过 ioctl 系统调用与内核交互</w:t>
      </w:r>
      <w:r>
        <w:rPr>
          <w:vertAlign w:val="superscript"/>
        </w:rPr>
        <w:footnoteReference w:id="53"/>
      </w:r>
      <w:r>
        <w:t>。</w:t>
      </w:r>
    </w:p>
    <w:p w14:paraId="CAC24D8B">
      <w:pPr>
        <w:pStyle w:val="style66"/>
        <w:rPr/>
      </w:pPr>
      <w:r>
        <w:t>KVM 的核心架构包含四个子系统。VM 创建子系统通过</w:t>
      </w:r>
      <w:r>
        <w:t xml:space="preserve"> </w:t>
      </w:r>
      <w:r>
        <w:rPr>
          <w:rStyle w:val="style4120"/>
        </w:rPr>
        <w:t>KVM_CREATE_VM</w:t>
      </w:r>
      <w:r>
        <w:t xml:space="preserve"> </w:t>
      </w:r>
      <w:r>
        <w:t>ioctl 创建 VM 实例，返回 VM 文件描述符；该描述符后续用于管理 VM 的全局属性（内存布局、CPUID 配置、MSR 过滤器）。vCPU（virtual CPU，虚拟 CPU）管理子系统通过</w:t>
      </w:r>
      <w:r>
        <w:t xml:space="preserve"> </w:t>
      </w:r>
      <w:r>
        <w:rPr>
          <w:rStyle w:val="style4120"/>
        </w:rPr>
        <w:t>KVM_CREATE_VCPU</w:t>
      </w:r>
      <w:r>
        <w:t xml:space="preserve"> </w:t>
      </w:r>
      <w:r>
        <w:t>为 VM 创建虚拟处理器，每个 vCPU 拥有独立的文件描述符，支持</w:t>
      </w:r>
      <w:r>
        <w:t xml:space="preserve"> </w:t>
      </w:r>
      <w:r>
        <w:rPr>
          <w:rStyle w:val="style4120"/>
        </w:rPr>
        <w:t>KVM_RUN</w:t>
      </w:r>
      <w:r>
        <w:t xml:space="preserve"> </w:t>
      </w:r>
      <w:r>
        <w:t>ioctl 进入 guest 执行模式。vCPU 调度由 Linux 标准调度器完成，KVM 本身不实现专用调度器，这使其能复用内核的 CFS（Completely Fair Scheduler）和实时调度策略。内存管理子系统通过</w:t>
      </w:r>
      <w:r>
        <w:t xml:space="preserve"> </w:t>
      </w:r>
      <w:r>
        <w:rPr>
          <w:rStyle w:val="style4120"/>
        </w:rPr>
        <w:t>KVM_SET_USER_MEMORY_REGION</w:t>
      </w:r>
      <w:r>
        <w:t xml:space="preserve"> </w:t>
      </w:r>
      <w:r>
        <w:t>将主机用户空间内存映射为 guest 物理内存，结合 EPT（Extended Page Table，扩展页表）实现硬件辅助的两级地址转换（GVA → GPA → HPA），避免了纯软件影子页表的开销。中断虚拟化子系统支持 PIC/APIC/IOAPIC 的硬件虚拟化，通过</w:t>
      </w:r>
      <w:r>
        <w:t xml:space="preserve"> </w:t>
      </w:r>
      <w:r>
        <w:rPr>
          <w:rStyle w:val="style4120"/>
        </w:rPr>
        <w:t>KVM_IRQFD</w:t>
      </w:r>
      <w:r>
        <w:t xml:space="preserve"> </w:t>
      </w:r>
      <w:r>
        <w:t>机制将外部中断直接投递至 guest，无需 VMM 介入。</w:t>
      </w:r>
    </w:p>
    <w:p w14:paraId="DC33C3D6">
      <w:pPr>
        <w:pStyle w:val="style66"/>
        <w:rPr/>
      </w:pPr>
      <w:r>
        <w:t>Cloud Hypervisor 基于 KVM 构建，通过 Rust-VMM 生态的</w:t>
      </w:r>
      <w:r>
        <w:t xml:space="preserve"> </w:t>
      </w:r>
      <w:r>
        <w:rPr>
          <w:rStyle w:val="style4120"/>
        </w:rPr>
        <w:t>kvm-ioctls</w:t>
      </w:r>
      <w:r>
        <w:t>、</w:t>
      </w:r>
      <w:r>
        <w:rPr>
          <w:rStyle w:val="style4120"/>
        </w:rPr>
        <w:t>kvm-bindings</w:t>
      </w:r>
      <w:r>
        <w:t xml:space="preserve"> </w:t>
      </w:r>
      <w:r>
        <w:t>等 crates 封装</w:t>
      </w:r>
      <w:r>
        <w:t xml:space="preserve"> </w:t>
      </w:r>
      <w:r>
        <w:rPr>
          <w:rStyle w:val="style4120"/>
        </w:rPr>
        <w:t>/dev/kvm</w:t>
      </w:r>
      <w:r>
        <w:t xml:space="preserve"> </w:t>
      </w:r>
      <w:r>
        <w:t>接口</w:t>
      </w:r>
      <w:r>
        <w:rPr/>
        <w:fldChar w:fldCharType="begin"/>
      </w:r>
      <w:r>
        <w:instrText>NOTEREF _Ref_Footnote_19 \h \f</w:instrText>
      </w:r>
      <w:r>
        <w:rPr/>
        <w:fldChar w:fldCharType="separate"/>
      </w:r>
      <w:r>
        <w:rPr>
          <w:vertAlign w:val="superscript"/>
        </w:rPr>
        <w:t>19</w:t>
      </w:r>
      <w:r>
        <w:rPr/>
        <w:fldChar w:fldCharType="end"/>
      </w:r>
      <w:r>
        <w:t>。这种设计使 Cloud Hypervisor 直接运行于 KVM 之上，无额外中间层——相比 QEMU 通过 libvirt 再调用 KVM 的路径减少两次抽象层转换。</w:t>
      </w:r>
    </w:p>
    <w:bookmarkStart w:id="31" w:name="qemu-机器模型配置"/>
    <w:bookmarkEnd w:id="30"/>
    <w:p w14:paraId="89196C94">
      <w:pPr>
        <w:pStyle w:val="style4104"/>
        <w:rPr/>
      </w:pPr>
      <w:r>
        <w:t>2.2.2 QEMU 机器模型配置</w:t>
      </w:r>
    </w:p>
    <w:p w14:paraId="DD612D22">
      <w:pPr>
        <w:pStyle w:val="style4097"/>
        <w:rPr/>
      </w:pPr>
      <w:r>
        <w:t>QEMU（Quick Emulator）作为兼容后端，提供完整的 PC 兼容机器模型。配置基于 Q35 芯片组（Intel Q35 Express Chipset），相比传统的 i440FX 提供更现代的 PCI Express 拓扑和 IOMMU 支持。启动流程采用 UEFI（Unified Extensible Firmware Interface）固件（OVMF：Open Virtual Machine Firmware），替代传统 BIOS 以支持 Secure Boot 和大于 2TB 的磁盘</w:t>
      </w:r>
      <w:r>
        <w:rPr/>
        <w:fldChar w:fldCharType="begin"/>
      </w:r>
      <w:r>
        <w:instrText>NOTEREF _Ref_Footnote_42 \h \f</w:instrText>
      </w:r>
      <w:r>
        <w:rPr/>
        <w:fldChar w:fldCharType="separate"/>
      </w:r>
      <w:r>
        <w:rPr>
          <w:vertAlign w:val="superscript"/>
        </w:rPr>
        <w:t>42</w:t>
      </w:r>
      <w:r>
        <w:rPr/>
        <w:fldChar w:fldCharType="end"/>
      </w:r>
      <w:r>
        <w:t>。</w:t>
      </w:r>
    </w:p>
    <w:p w14:paraId="61341BC9">
      <w:pPr>
        <w:pStyle w:val="style66"/>
        <w:rPr/>
      </w:pPr>
      <w:r>
        <w:t>VirtIO（Virtual I/O）设备模型是 QEMU 与 Cloud Hypervisor 共享的核心 I/O 虚拟化框架。VirtIO 采用前后端分离架构：前端驱动位于 guest 内核（</w:t>
      </w:r>
      <w:r>
        <w:rPr>
          <w:rStyle w:val="style4120"/>
        </w:rPr>
        <w:t>virtio_net</w:t>
      </w:r>
      <w:r>
        <w:t>、</w:t>
      </w:r>
      <w:r>
        <w:rPr>
          <w:rStyle w:val="style4120"/>
        </w:rPr>
        <w:t>virtio_blk</w:t>
      </w:r>
      <w:r>
        <w:t>、</w:t>
      </w:r>
      <w:r>
        <w:rPr>
          <w:rStyle w:val="style4120"/>
        </w:rPr>
        <w:t>virtio_fs</w:t>
      </w:r>
      <w:r>
        <w:t xml:space="preserve"> </w:t>
      </w:r>
      <w:r>
        <w:t>等），后端实现在 host 用户空间（QEMU 或独立 vhost 进程）。数据传输通过共享内存 ring buffer 完成，配合</w:t>
      </w:r>
      <w:r>
        <w:t xml:space="preserve"> </w:t>
      </w:r>
      <w:r>
        <w:rPr>
          <w:rStyle w:val="style4120"/>
        </w:rPr>
        <w:t>VIRTIO_F_RING_EVENT_IDX</w:t>
      </w:r>
      <w:r>
        <w:t xml:space="preserve"> </w:t>
      </w:r>
      <w:r>
        <w:t>特性减少中断注入频率。对于高性能场景，vhost-net 将网络包处理从 QEMU 用户空间卸载至内核态，跳过 VMM 进程直接在内核空间完成 TAP 设备与 virtio ring 之间的数据包转发</w:t>
      </w:r>
      <w:r>
        <w:rPr>
          <w:vertAlign w:val="superscript"/>
        </w:rPr>
        <w:footnoteReference w:id="54"/>
      </w:r>
      <w:r>
        <w:t>；vhost-user 则进一步将后端进程移至独立进程（如 DPDK 或自定义网络栈），通过 Unix domain socket 与 VMM 通信。</w:t>
      </w:r>
    </w:p>
    <w:p w14:paraId="AB3C0E66">
      <w:pPr>
        <w:pStyle w:val="style66"/>
        <w:rPr/>
      </w:pPr>
      <w:r>
        <w:t>热插拔支持是 QEMU 后端相对于 Cloud Hypervisor 的关键差异化能力。QEMU 支持 virtio-blk、virtio-scsi、VFIO、CPU 和内存设备的热插拔</w:t>
      </w:r>
      <w:r>
        <w:rPr/>
        <w:fldChar w:fldCharType="begin"/>
      </w:r>
      <w:r>
        <w:instrText>NOTEREF _Ref_Footnote_9 \h \f</w:instrText>
      </w:r>
      <w:r>
        <w:rPr/>
        <w:fldChar w:fldCharType="separate"/>
      </w:r>
      <w:r>
        <w:rPr>
          <w:vertAlign w:val="superscript"/>
        </w:rPr>
        <w:t>9</w:t>
      </w:r>
      <w:r>
        <w:rPr/>
        <w:fldChar w:fldCharType="end"/>
      </w:r>
      <w:r>
        <w:t>，使运行中的 VM 可以动态扩展资源而无需重启。该能力对于需要在线扩容的企业 VM 工作负载至关重要，但 CubeSandbox 的 AI Agent 场景（短生命周期、一次性资源分配）对此需求较低，这也是主后端选择 Cloud Hypervisor 的原因之一。</w:t>
      </w:r>
    </w:p>
    <w:bookmarkStart w:id="32" w:name="Xda107013690321b6930e2ae9c70550eb8ec74d7"/>
    <w:bookmarkEnd w:id="31"/>
    <w:p w14:paraId="62108D7E">
      <w:pPr>
        <w:pStyle w:val="style4104"/>
        <w:rPr/>
      </w:pPr>
      <w:r>
        <w:t>2.2.3 CubeHypervisor 实现：基于 Cloud Hypervisor 的 MicroVM 管理器</w:t>
      </w:r>
    </w:p>
    <w:p w14:paraId="A397D70C">
      <w:pPr>
        <w:pStyle w:val="style4097"/>
        <w:rPr/>
      </w:pPr>
      <w:r>
        <w:t>CubeHypervisor 是 CubeSandbox 的核心虚拟化组件，基于 Cloud Hypervisor 进行深度定制。Cloud Hypervisor 由 Intel 主导、Linux 基金会托管，是针对云原生工作负载优化的 Rust VMM</w:t>
      </w:r>
      <w:r>
        <w:rPr/>
        <w:fldChar w:fldCharType="begin"/>
      </w:r>
      <w:r>
        <w:instrText>NOTEREF _Ref_Footnote_19 \h \f</w:instrText>
      </w:r>
      <w:r>
        <w:rPr/>
        <w:fldChar w:fldCharType="separate"/>
      </w:r>
      <w:r>
        <w:rPr>
          <w:vertAlign w:val="superscript"/>
        </w:rPr>
        <w:t>19</w:t>
      </w:r>
      <w:r>
        <w:rPr/>
        <w:fldChar w:fldCharType="end"/>
      </w:r>
      <w:r>
        <w:t>。CubeHypervisor 保留了 Cloud Hypervisor 的架构基础（Rust-VMM crates + KVM），在设备模型和启动路径上进行了面向 AI Agent 场景的裁剪。</w:t>
      </w:r>
    </w:p>
    <w:p w14:paraId="403CCAB4">
      <w:pPr>
        <w:pStyle w:val="style66"/>
        <w:rPr/>
      </w:pPr>
      <w:r>
        <w:rPr>
          <w:b/>
          <w:bCs/>
        </w:rPr>
        <w:t>设备模型裁剪</w:t>
      </w:r>
      <w:r>
        <w:t>。标准 Cloud Hypervisor 支持多种 virtio 设备，包括 USB 控制器、PCI 桥接器、TPM（Trusted Platform Module）设备、virtio-iommu、virtio-pmem 等</w:t>
      </w:r>
      <w:r>
        <w:rPr/>
        <w:fldChar w:fldCharType="begin"/>
      </w:r>
      <w:r>
        <w:instrText>NOTEREF _Ref_Footnote_38 \h \f</w:instrText>
      </w:r>
      <w:r>
        <w:rPr/>
        <w:fldChar w:fldCharType="separate"/>
      </w:r>
      <w:r>
        <w:rPr>
          <w:vertAlign w:val="superscript"/>
        </w:rPr>
        <w:t>38</w:t>
      </w:r>
      <w:r>
        <w:rPr/>
        <w:fldChar w:fldCharType="end"/>
      </w:r>
      <w:r>
        <w:t>。CubeHypervisor 将设备集裁剪至 AI Agent 场景所需的最小集合，仅保留 vCPU、Memory、virtio-blk、virtio-net、virtio-fs 和 virtio-console 六项核心设备</w:t>
      </w:r>
      <w:r>
        <w:rPr/>
        <w:fldChar w:fldCharType="begin"/>
      </w:r>
      <w:r>
        <w:instrText>NOTEREF _Ref_Footnote_3 \h \f</w:instrText>
      </w:r>
      <w:r>
        <w:rPr/>
        <w:fldChar w:fldCharType="separate"/>
      </w:r>
      <w:r>
        <w:rPr>
          <w:vertAlign w:val="superscript"/>
        </w:rPr>
        <w:t>3</w:t>
      </w:r>
      <w:r>
        <w:rPr/>
        <w:fldChar w:fldCharType="end"/>
      </w:r>
      <w:r>
        <w:t>。裁剪移除了 USB 控制器（AI Agent 无 USB 外设需求）、PCI 桥接器（单功能 VM 无需复杂 PCI 拓扑）、TPM 设备（信任根由宿主机提供）、virtio-rng（随机数通过宿主机熵池透传）和 virtio-vsock（通信通过 virtio-console 替代）。该裁剪使 VM 内存占用降至 &lt;5MB 增量开销（基于 CoW 内存共享）</w:t>
      </w:r>
      <w:r>
        <w:rPr>
          <w:vertAlign w:val="superscript"/>
        </w:rPr>
        <w:footnoteReference w:id="55"/>
      </w:r>
      <w:r>
        <w:t>。</w:t>
      </w:r>
    </w:p>
    <w:p w14:paraId="D91852B0">
      <w:pPr>
        <w:pStyle w:val="style66"/>
        <w:rPr/>
      </w:pPr>
      <w:r>
        <w:rPr>
          <w:b/>
          <w:bCs/>
        </w:rPr>
        <w:t>vsock 通信机制</w:t>
      </w:r>
      <w:r>
        <w:t>。CubeShim 通过 ttrpc（tiny gRPC，containerd 优化的轻量级 RPC 协议）与 VM 内的 cube-agent 通信，传输层使用 vsock（virtual socket）而非传统 TCP/IP 网络</w:t>
      </w:r>
      <w:r>
        <w:rPr/>
        <w:fldChar w:fldCharType="begin"/>
      </w:r>
      <w:r>
        <w:instrText>NOTEREF _Ref_Footnote_8 \h \f</w:instrText>
      </w:r>
      <w:r>
        <w:rPr/>
        <w:fldChar w:fldCharType="separate"/>
      </w:r>
      <w:r>
        <w:rPr>
          <w:vertAlign w:val="superscript"/>
        </w:rPr>
        <w:t>8</w:t>
      </w:r>
      <w:r>
        <w:rPr/>
        <w:fldChar w:fldCharType="end"/>
      </w:r>
      <w:r>
        <w:t>。vsock 提供 host 与 guest 之间的直接通信通道，绕过物理网络栈，具有更低延迟和更高安全性——vsock 数据包不经过宿主机的物理网卡，因此无法被外部网络捕获。CubeShim 与 kata-agent 的通信模式类似</w:t>
      </w:r>
      <w:r>
        <w:rPr>
          <w:vertAlign w:val="superscript"/>
        </w:rPr>
        <w:footnoteReference w:id="56"/>
      </w:r>
      <w:r>
        <w:t>，均遵循 containerd → shim → VMM → agent 的调用链，但 CubeShim 使用 Rust 实现（Kata shim 使用 Go），消除了 GC（Garbage Collection，垃圾回收）暂停对延迟敏感场景的影响。</w:t>
      </w:r>
    </w:p>
    <w:p w14:paraId="FB45DA04">
      <w:pPr>
        <w:pStyle w:val="style66"/>
        <w:rPr/>
      </w:pPr>
      <w:r>
        <w:rPr>
          <w:b/>
          <w:bCs/>
        </w:rPr>
        <w:t>PVM 部署模式</w:t>
      </w:r>
      <w:r>
        <w:t>。CubeSandbox v0.2.0 引入 PVM（Pagetable-based Virtual Machine）模式，支持在禁止嵌套虚拟化的云服务器上运行安全沙箱</w:t>
      </w:r>
      <w:r>
        <w:rPr>
          <w:vertAlign w:val="superscript"/>
        </w:rPr>
        <w:footnoteReference w:id="57"/>
      </w:r>
      <w:r>
        <w:t>。PVM 基于影子页表设计处理特权级切换和内存虚拟化，不需要 Intel VT-x / AMD-V 暴露给 guest，对宿主 hypervisor 完全透明。该模式定位于”兼容性选项”——当硬件虚拟化扩展不可用时作为降级方案，而非性能最优路径。</w:t>
      </w:r>
    </w:p>
    <w:bookmarkStart w:id="33" w:name="kata-qemu-集成路径"/>
    <w:bookmarkEnd w:id="32"/>
    <w:p w14:paraId="57A88A41">
      <w:pPr>
        <w:pStyle w:val="style4104"/>
        <w:rPr/>
      </w:pPr>
      <w:r>
        <w:t>2.2.4 Kata + QEMU 集成路径</w:t>
      </w:r>
    </w:p>
    <w:p w14:paraId="A3686701">
      <w:pPr>
        <w:pStyle w:val="style4097"/>
        <w:rPr/>
      </w:pPr>
      <w:r>
        <w:t>Kata Containers 通过 QEMU/KVM 后端运行容器的调用链为：</w:t>
      </w:r>
      <w:r>
        <w:rPr>
          <w:rStyle w:val="style4120"/>
        </w:rPr>
        <w:t>containerd</w:t>
      </w:r>
      <w:r>
        <w:t xml:space="preserve"> </w:t>
      </w:r>
      <w:r>
        <w:t>→</w:t>
      </w:r>
      <w:r>
        <w:t xml:space="preserve"> </w:t>
      </w:r>
      <w:r>
        <w:rPr>
          <w:rStyle w:val="style4120"/>
        </w:rPr>
        <w:t>containerd-shim-kata-v2</w:t>
      </w:r>
      <w:r>
        <w:t xml:space="preserve"> </w:t>
      </w:r>
      <w:r>
        <w:t>→</w:t>
      </w:r>
      <w:r>
        <w:t xml:space="preserve"> </w:t>
      </w:r>
      <w:r>
        <w:rPr>
          <w:rStyle w:val="style4120"/>
        </w:rPr>
        <w:t>kata-runtime</w:t>
      </w:r>
      <w:r>
        <w:t xml:space="preserve"> </w:t>
      </w:r>
      <w:r>
        <w:t>→</w:t>
      </w:r>
      <w:r>
        <w:t xml:space="preserve"> </w:t>
      </w:r>
      <w:r>
        <w:rPr>
          <w:rStyle w:val="style4120"/>
        </w:rPr>
        <w:t>qemu-system-x86_64</w:t>
      </w:r>
      <w:r>
        <w:t xml:space="preserve"> </w:t>
      </w:r>
      <w:r>
        <w:t>→</w:t>
      </w:r>
      <w:r>
        <w:t xml:space="preserve"> </w:t>
      </w:r>
      <w:r>
        <w:rPr>
          <w:rStyle w:val="style4120"/>
        </w:rPr>
        <w:t>kata-agent</w:t>
      </w:r>
      <w:r>
        <w:t>。CubeSandbox 保留该调用链作为兼容路径，与主后端（CubeHypervisor）形成互补。</w:t>
      </w:r>
    </w:p>
    <w:p w14:paraId="AA5C5316">
      <w:pPr>
        <w:pStyle w:val="style66"/>
        <w:rPr/>
      </w:pPr>
      <w:r>
        <w:t>配置映射通过 RuntimeClass 实现。Kubernetes 中定义两个 RuntimeClass 分别对应两条路径：</w:t>
      </w:r>
    </w:p>
    <w:p w14:paraId="813F9A54">
      <w:pPr>
        <w:pStyle w:val="style4123"/>
        <w:rPr/>
      </w:pPr>
      <w:r>
        <w:rPr>
          <w:rStyle w:val="style4136"/>
        </w:rPr>
        <w:t># CubeSandbox 主后端</w:t>
      </w:r>
      <w:r>
        <w:br/>
      </w:r>
      <w:r>
        <w:rPr>
          <w:rStyle w:val="style4141"/>
        </w:rPr>
        <w:t>runtimeClassName</w:t>
      </w:r>
      <w:r>
        <w:rPr>
          <w:rStyle w:val="style4124"/>
        </w:rPr>
        <w:t>:</w:t>
      </w:r>
      <w:r>
        <w:rPr>
          <w:rStyle w:val="style4148"/>
        </w:rPr>
        <w:t xml:space="preserve"> cube</w:t>
      </w:r>
      <w:r>
        <w:br/>
      </w:r>
      <w:r>
        <w:rPr>
          <w:rStyle w:val="style4136"/>
        </w:rPr>
        <w:t># → containerd-shim-cube-v2 → CubeHypervisor → cube-agent</w:t>
      </w:r>
      <w:r>
        <w:br/>
      </w:r>
      <w:r>
        <w:br/>
      </w:r>
      <w:r>
        <w:rPr>
          <w:rStyle w:val="style4136"/>
        </w:rPr>
        <w:t xml:space="preserve"># Kata QEMU 兼容后端  </w:t>
      </w:r>
      <w:r>
        <w:br/>
      </w:r>
      <w:r>
        <w:rPr>
          <w:rStyle w:val="style4141"/>
        </w:rPr>
        <w:t>runtimeClassName</w:t>
      </w:r>
      <w:r>
        <w:rPr>
          <w:rStyle w:val="style4124"/>
        </w:rPr>
        <w:t>:</w:t>
      </w:r>
      <w:r>
        <w:rPr>
          <w:rStyle w:val="style4148"/>
        </w:rPr>
        <w:t xml:space="preserve"> kata-qemu</w:t>
      </w:r>
      <w:r>
        <w:br/>
      </w:r>
      <w:r>
        <w:rPr>
          <w:rStyle w:val="style4136"/>
        </w:rPr>
        <w:t># → containerd-shim-kata-v2 → qemu-system-x86_64 → kata-agent</w:t>
      </w:r>
    </w:p>
    <w:p w14:paraId="5EB5ED6A">
      <w:pPr>
        <w:pStyle w:val="style4097"/>
        <w:rPr/>
      </w:pPr>
      <w:r>
        <w:t>Containerd 配置文件中将</w:t>
      </w:r>
      <w:r>
        <w:t xml:space="preserve"> </w:t>
      </w:r>
      <w:r>
        <w:rPr>
          <w:rStyle w:val="style4120"/>
        </w:rPr>
        <w:t>cube</w:t>
      </w:r>
      <w:r>
        <w:t xml:space="preserve"> </w:t>
      </w:r>
      <w:r>
        <w:t>和</w:t>
      </w:r>
      <w:r>
        <w:t xml:space="preserve"> </w:t>
      </w:r>
      <w:r>
        <w:rPr>
          <w:rStyle w:val="style4120"/>
        </w:rPr>
        <w:t>kata</w:t>
      </w:r>
      <w:r>
        <w:t xml:space="preserve"> </w:t>
      </w:r>
      <w:r>
        <w:t>注册为独立的运行时处理程序</w:t>
      </w:r>
      <w:r>
        <w:rPr/>
        <w:fldChar w:fldCharType="begin"/>
      </w:r>
      <w:r>
        <w:instrText>NOTEREF _Ref_Footnote_8 \h \f</w:instrText>
      </w:r>
      <w:r>
        <w:rPr/>
        <w:fldChar w:fldCharType="separate"/>
      </w:r>
      <w:r>
        <w:rPr>
          <w:vertAlign w:val="superscript"/>
        </w:rPr>
        <w:t>8</w:t>
      </w:r>
      <w:r>
        <w:rPr/>
        <w:fldChar w:fldCharType="end"/>
      </w:r>
      <w:r>
        <w:t>：</w:t>
      </w:r>
    </w:p>
    <w:p w14:paraId="7D655366">
      <w:pPr>
        <w:pStyle w:val="style4123"/>
        <w:rPr/>
      </w:pPr>
      <w:r>
        <w:rPr>
          <w:rStyle w:val="style4124"/>
        </w:rPr>
        <w:t>[</w:t>
      </w:r>
      <w:r>
        <w:rPr>
          <w:rStyle w:val="style4125"/>
        </w:rPr>
        <w:t>plugins</w:t>
      </w:r>
      <w:r>
        <w:rPr>
          <w:rStyle w:val="style4124"/>
        </w:rPr>
        <w:t>.</w:t>
      </w:r>
      <w:r>
        <w:rPr>
          <w:rStyle w:val="style4125"/>
        </w:rPr>
        <w:t>io</w:t>
      </w:r>
      <w:r>
        <w:rPr>
          <w:rStyle w:val="style4124"/>
        </w:rPr>
        <w:t>.</w:t>
      </w:r>
      <w:r>
        <w:rPr>
          <w:rStyle w:val="style4125"/>
        </w:rPr>
        <w:t>containerd</w:t>
      </w:r>
      <w:r>
        <w:rPr>
          <w:rStyle w:val="style4124"/>
        </w:rPr>
        <w:t>.</w:t>
      </w:r>
      <w:r>
        <w:rPr>
          <w:rStyle w:val="style4125"/>
        </w:rPr>
        <w:t>grpc</w:t>
      </w:r>
      <w:r>
        <w:rPr>
          <w:rStyle w:val="style4124"/>
        </w:rPr>
        <w:t>.</w:t>
      </w:r>
      <w:r>
        <w:rPr>
          <w:rStyle w:val="style4125"/>
        </w:rPr>
        <w:t>v1</w:t>
      </w:r>
      <w:r>
        <w:rPr>
          <w:rStyle w:val="style4124"/>
        </w:rPr>
        <w:t>.</w:t>
      </w:r>
      <w:r>
        <w:rPr>
          <w:rStyle w:val="style4125"/>
        </w:rPr>
        <w:t>cri</w:t>
      </w:r>
      <w:r>
        <w:rPr>
          <w:rStyle w:val="style4124"/>
        </w:rPr>
        <w:t>.</w:t>
      </w:r>
      <w:r>
        <w:rPr>
          <w:rStyle w:val="style4125"/>
        </w:rPr>
        <w:t>containerd</w:t>
      </w:r>
      <w:r>
        <w:rPr>
          <w:rStyle w:val="style4124"/>
        </w:rPr>
        <w:t>.</w:t>
      </w:r>
      <w:r>
        <w:rPr>
          <w:rStyle w:val="style4125"/>
        </w:rPr>
        <w:t>runtimes</w:t>
      </w:r>
      <w:r>
        <w:rPr>
          <w:rStyle w:val="style4124"/>
        </w:rPr>
        <w:t>]</w:t>
      </w:r>
      <w:r>
        <w:br/>
      </w:r>
      <w:r>
        <w:rPr>
          <w:rStyle w:val="style4154"/>
        </w:rPr>
        <w:t xml:space="preserve">  </w:t>
      </w:r>
      <w:r>
        <w:rPr>
          <w:rStyle w:val="style4124"/>
        </w:rPr>
        <w:t>[</w:t>
      </w:r>
      <w:r>
        <w:rPr>
          <w:rStyle w:val="style4125"/>
        </w:rPr>
        <w:t>plugins</w:t>
      </w:r>
      <w:r>
        <w:rPr>
          <w:rStyle w:val="style4124"/>
        </w:rPr>
        <w:t>.</w:t>
      </w:r>
      <w:r>
        <w:rPr>
          <w:rStyle w:val="style4125"/>
        </w:rPr>
        <w:t>io</w:t>
      </w:r>
      <w:r>
        <w:rPr>
          <w:rStyle w:val="style4124"/>
        </w:rPr>
        <w:t>.</w:t>
      </w:r>
      <w:r>
        <w:rPr>
          <w:rStyle w:val="style4125"/>
        </w:rPr>
        <w:t>containerd</w:t>
      </w:r>
      <w:r>
        <w:rPr>
          <w:rStyle w:val="style4124"/>
        </w:rPr>
        <w:t>.</w:t>
      </w:r>
      <w:r>
        <w:rPr>
          <w:rStyle w:val="style4125"/>
        </w:rPr>
        <w:t>grpc</w:t>
      </w:r>
      <w:r>
        <w:rPr>
          <w:rStyle w:val="style4124"/>
        </w:rPr>
        <w:t>.</w:t>
      </w:r>
      <w:r>
        <w:rPr>
          <w:rStyle w:val="style4125"/>
        </w:rPr>
        <w:t>v1</w:t>
      </w:r>
      <w:r>
        <w:rPr>
          <w:rStyle w:val="style4124"/>
        </w:rPr>
        <w:t>.</w:t>
      </w:r>
      <w:r>
        <w:rPr>
          <w:rStyle w:val="style4125"/>
        </w:rPr>
        <w:t>cri</w:t>
      </w:r>
      <w:r>
        <w:rPr>
          <w:rStyle w:val="style4124"/>
        </w:rPr>
        <w:t>.</w:t>
      </w:r>
      <w:r>
        <w:rPr>
          <w:rStyle w:val="style4125"/>
        </w:rPr>
        <w:t>containerd</w:t>
      </w:r>
      <w:r>
        <w:rPr>
          <w:rStyle w:val="style4124"/>
        </w:rPr>
        <w:t>.</w:t>
      </w:r>
      <w:r>
        <w:rPr>
          <w:rStyle w:val="style4125"/>
        </w:rPr>
        <w:t>runtimes</w:t>
      </w:r>
      <w:r>
        <w:rPr>
          <w:rStyle w:val="style4124"/>
        </w:rPr>
        <w:t>.</w:t>
      </w:r>
      <w:r>
        <w:rPr>
          <w:rStyle w:val="style4125"/>
        </w:rPr>
        <w:t>cube</w:t>
      </w:r>
      <w:r>
        <w:rPr>
          <w:rStyle w:val="style4124"/>
        </w:rPr>
        <w:t>]</w:t>
      </w:r>
      <w:r>
        <w:br/>
      </w:r>
      <w:r>
        <w:rPr>
          <w:rStyle w:val="style4154"/>
        </w:rPr>
        <w:t xml:space="preserve">    </w:t>
      </w:r>
      <w:r>
        <w:rPr>
          <w:rStyle w:val="style4125"/>
        </w:rPr>
        <w:t>runtime_type</w:t>
      </w:r>
      <w:r>
        <w:rPr>
          <w:rStyle w:val="style4154"/>
        </w:rPr>
        <w:t xml:space="preserve"> </w:t>
      </w:r>
      <w:r>
        <w:rPr>
          <w:rStyle w:val="style4144"/>
        </w:rPr>
        <w:t>=</w:t>
      </w:r>
      <w:r>
        <w:rPr>
          <w:rStyle w:val="style4154"/>
        </w:rPr>
        <w:t xml:space="preserve"> </w:t>
      </w:r>
      <w:r>
        <w:rPr>
          <w:rStyle w:val="style4132"/>
        </w:rPr>
        <w:t>"io.containerd.cube.v2"</w:t>
      </w:r>
      <w:r>
        <w:br/>
      </w:r>
      <w:r>
        <w:rPr>
          <w:rStyle w:val="style4154"/>
        </w:rPr>
        <w:t xml:space="preserve">  </w:t>
      </w:r>
      <w:r>
        <w:rPr>
          <w:rStyle w:val="style4124"/>
        </w:rPr>
        <w:t>[</w:t>
      </w:r>
      <w:r>
        <w:rPr>
          <w:rStyle w:val="style4125"/>
        </w:rPr>
        <w:t>plugins</w:t>
      </w:r>
      <w:r>
        <w:rPr>
          <w:rStyle w:val="style4124"/>
        </w:rPr>
        <w:t>.</w:t>
      </w:r>
      <w:r>
        <w:rPr>
          <w:rStyle w:val="style4125"/>
        </w:rPr>
        <w:t>io</w:t>
      </w:r>
      <w:r>
        <w:rPr>
          <w:rStyle w:val="style4124"/>
        </w:rPr>
        <w:t>.</w:t>
      </w:r>
      <w:r>
        <w:rPr>
          <w:rStyle w:val="style4125"/>
        </w:rPr>
        <w:t>containerd</w:t>
      </w:r>
      <w:r>
        <w:rPr>
          <w:rStyle w:val="style4124"/>
        </w:rPr>
        <w:t>.</w:t>
      </w:r>
      <w:r>
        <w:rPr>
          <w:rStyle w:val="style4125"/>
        </w:rPr>
        <w:t>grpc</w:t>
      </w:r>
      <w:r>
        <w:rPr>
          <w:rStyle w:val="style4124"/>
        </w:rPr>
        <w:t>.</w:t>
      </w:r>
      <w:r>
        <w:rPr>
          <w:rStyle w:val="style4125"/>
        </w:rPr>
        <w:t>v1</w:t>
      </w:r>
      <w:r>
        <w:rPr>
          <w:rStyle w:val="style4124"/>
        </w:rPr>
        <w:t>.</w:t>
      </w:r>
      <w:r>
        <w:rPr>
          <w:rStyle w:val="style4125"/>
        </w:rPr>
        <w:t>cri</w:t>
      </w:r>
      <w:r>
        <w:rPr>
          <w:rStyle w:val="style4124"/>
        </w:rPr>
        <w:t>.</w:t>
      </w:r>
      <w:r>
        <w:rPr>
          <w:rStyle w:val="style4125"/>
        </w:rPr>
        <w:t>containerd</w:t>
      </w:r>
      <w:r>
        <w:rPr>
          <w:rStyle w:val="style4124"/>
        </w:rPr>
        <w:t>.</w:t>
      </w:r>
      <w:r>
        <w:rPr>
          <w:rStyle w:val="style4125"/>
        </w:rPr>
        <w:t>runtimes</w:t>
      </w:r>
      <w:r>
        <w:rPr>
          <w:rStyle w:val="style4124"/>
        </w:rPr>
        <w:t>.</w:t>
      </w:r>
      <w:r>
        <w:rPr>
          <w:rStyle w:val="style4125"/>
        </w:rPr>
        <w:t>kata</w:t>
      </w:r>
      <w:r>
        <w:rPr>
          <w:rStyle w:val="style4124"/>
        </w:rPr>
        <w:t>]</w:t>
      </w:r>
      <w:r>
        <w:br/>
      </w:r>
      <w:r>
        <w:rPr>
          <w:rStyle w:val="style4154"/>
        </w:rPr>
        <w:t xml:space="preserve">    </w:t>
      </w:r>
      <w:r>
        <w:rPr>
          <w:rStyle w:val="style4125"/>
        </w:rPr>
        <w:t>runtime_type</w:t>
      </w:r>
      <w:r>
        <w:rPr>
          <w:rStyle w:val="style4154"/>
        </w:rPr>
        <w:t xml:space="preserve"> </w:t>
      </w:r>
      <w:r>
        <w:rPr>
          <w:rStyle w:val="style4144"/>
        </w:rPr>
        <w:t>=</w:t>
      </w:r>
      <w:r>
        <w:rPr>
          <w:rStyle w:val="style4154"/>
        </w:rPr>
        <w:t xml:space="preserve"> </w:t>
      </w:r>
      <w:r>
        <w:rPr>
          <w:rStyle w:val="style4132"/>
        </w:rPr>
        <w:t>"io.containerd.kata.v2"</w:t>
      </w:r>
      <w:r>
        <w:br/>
      </w:r>
      <w:r>
        <w:rPr>
          <w:rStyle w:val="style4154"/>
        </w:rPr>
        <w:t xml:space="preserve">    </w:t>
      </w:r>
      <w:r>
        <w:rPr>
          <w:rStyle w:val="style4125"/>
        </w:rPr>
        <w:t>options</w:t>
      </w:r>
      <w:r>
        <w:rPr>
          <w:rStyle w:val="style4153"/>
        </w:rPr>
        <w:t>.ConfigPath</w:t>
      </w:r>
      <w:r>
        <w:rPr>
          <w:rStyle w:val="style4154"/>
        </w:rPr>
        <w:t xml:space="preserve"> </w:t>
      </w:r>
      <w:r>
        <w:rPr>
          <w:rStyle w:val="style4144"/>
        </w:rPr>
        <w:t>=</w:t>
      </w:r>
      <w:r>
        <w:rPr>
          <w:rStyle w:val="style4154"/>
        </w:rPr>
        <w:t xml:space="preserve"> </w:t>
      </w:r>
      <w:r>
        <w:rPr>
          <w:rStyle w:val="style4132"/>
        </w:rPr>
        <w:t>"/etc/kata-containers/configuration.toml"</w:t>
      </w:r>
    </w:p>
    <w:tbl>
      <w:tblPr>
        <w:tblStyle w:val="style4111"/>
        <w:tblW w:w="5000" w:type="pct"/>
        <w:tblLook w:val="0020" w:firstRow="1" w:lastRow="0" w:firstColumn="0" w:lastColumn="0" w:noHBand="0" w:noVBand="0"/>
      </w:tblPr>
      <w:tblGrid>
        <w:gridCol w:w="1010"/>
        <w:gridCol w:w="2377"/>
        <w:gridCol w:w="2083"/>
        <w:gridCol w:w="2447"/>
      </w:tblGrid>
      <w:tr w14:paraId="8A4AFFE6">
        <w:trPr>
          <w:tblHeader/>
        </w:trPr>
        <w:tc>
          <w:tcPr>
            <w:tcW w:w="0" w:type="auto"/>
            <w:tcBorders/>
          </w:tcPr>
          <w:p w14:paraId="420EADA7">
            <w:pPr>
              <w:pStyle w:val="style4098"/>
              <w:jc w:val="left"/>
              <w:rPr/>
            </w:pPr>
            <w:r>
              <w:t>特性维度</w:t>
            </w:r>
          </w:p>
        </w:tc>
        <w:tc>
          <w:tcPr>
            <w:tcW w:w="0" w:type="auto"/>
            <w:tcBorders/>
          </w:tcPr>
          <w:p w14:paraId="73A5F7BF">
            <w:pPr>
              <w:pStyle w:val="style4098"/>
              <w:jc w:val="left"/>
              <w:rPr/>
            </w:pPr>
            <w:r>
              <w:t>CubeHypervisor (主后端)</w:t>
            </w:r>
          </w:p>
        </w:tc>
        <w:tc>
          <w:tcPr>
            <w:tcW w:w="0" w:type="auto"/>
            <w:tcBorders/>
          </w:tcPr>
          <w:p w14:paraId="A95A2690">
            <w:pPr>
              <w:pStyle w:val="style4098"/>
              <w:jc w:val="left"/>
              <w:rPr/>
            </w:pPr>
            <w:r>
              <w:t>QEMU/KVM (兼容后端)</w:t>
            </w:r>
          </w:p>
        </w:tc>
        <w:tc>
          <w:tcPr>
            <w:tcW w:w="0" w:type="auto"/>
            <w:tcBorders/>
          </w:tcPr>
          <w:p w14:paraId="8B1C25A7">
            <w:pPr>
              <w:pStyle w:val="style4098"/>
              <w:jc w:val="left"/>
              <w:rPr/>
            </w:pPr>
            <w:r>
              <w:t>差异分析</w:t>
            </w:r>
          </w:p>
        </w:tc>
      </w:tr>
      <w:tr w14:paraId="D5E0F41C">
        <w:tblPrEx/>
        <w:trPr/>
        <w:tc>
          <w:tcPr>
            <w:tcW w:w="0" w:type="auto"/>
            <w:tcBorders/>
          </w:tcPr>
          <w:p w14:paraId="496FCF5C">
            <w:pPr>
              <w:pStyle w:val="style4098"/>
              <w:jc w:val="left"/>
              <w:rPr/>
            </w:pPr>
            <w:r>
              <w:t>代码规模</w:t>
            </w:r>
          </w:p>
        </w:tc>
        <w:tc>
          <w:tcPr>
            <w:tcW w:w="0" w:type="auto"/>
            <w:tcBorders/>
          </w:tcPr>
          <w:p w14:paraId="DDF7D2EF">
            <w:pPr>
              <w:pStyle w:val="style4098"/>
              <w:jc w:val="left"/>
              <w:rPr/>
            </w:pPr>
            <w:r>
              <w:t>~50k 行 Rust</w:t>
            </w:r>
            <w:r>
              <w:t xml:space="preserve"> </w:t>
            </w:r>
            <w:r>
              <w:rPr/>
              <w:fldChar w:fldCharType="begin"/>
            </w:r>
            <w:r>
              <w:instrText>NOTEREF _Ref_Footnote_41 \h \f</w:instrText>
            </w:r>
            <w:r>
              <w:rPr/>
              <w:fldChar w:fldCharType="separate"/>
            </w:r>
            <w:r>
              <w:rPr>
                <w:vertAlign w:val="superscript"/>
              </w:rPr>
              <w:t>41</w:t>
            </w:r>
            <w:r>
              <w:rPr/>
              <w:fldChar w:fldCharType="end"/>
            </w:r>
          </w:p>
        </w:tc>
        <w:tc>
          <w:tcPr>
            <w:tcW w:w="0" w:type="auto"/>
            <w:tcBorders/>
          </w:tcPr>
          <w:p w14:paraId="EC013018">
            <w:pPr>
              <w:pStyle w:val="style4098"/>
              <w:jc w:val="left"/>
              <w:rPr/>
            </w:pPr>
            <w:r>
              <w:t>~170 万行 C</w:t>
            </w:r>
            <w:r>
              <w:t xml:space="preserve"> </w:t>
            </w:r>
            <w:r>
              <w:rPr/>
              <w:fldChar w:fldCharType="begin"/>
            </w:r>
            <w:r>
              <w:instrText>NOTEREF _Ref_Footnote_7 \h \f</w:instrText>
            </w:r>
            <w:r>
              <w:rPr/>
              <w:fldChar w:fldCharType="separate"/>
            </w:r>
            <w:r>
              <w:rPr>
                <w:vertAlign w:val="superscript"/>
              </w:rPr>
              <w:t>7</w:t>
            </w:r>
            <w:r>
              <w:rPr/>
              <w:fldChar w:fldCharType="end"/>
            </w:r>
          </w:p>
        </w:tc>
        <w:tc>
          <w:tcPr>
            <w:tcW w:w="0" w:type="auto"/>
            <w:tcBorders/>
          </w:tcPr>
          <w:p w14:paraId="66B2C127">
            <w:pPr>
              <w:pStyle w:val="style4098"/>
              <w:jc w:val="left"/>
              <w:rPr/>
            </w:pPr>
            <w:r>
              <w:t>Cloud Hypervisor 攻击面显著更小</w:t>
            </w:r>
          </w:p>
        </w:tc>
      </w:tr>
      <w:tr w14:paraId="74E452AE">
        <w:tblPrEx/>
        <w:trPr/>
        <w:tc>
          <w:tcPr>
            <w:tcW w:w="0" w:type="auto"/>
            <w:tcBorders/>
          </w:tcPr>
          <w:p w14:paraId="7E85F7C5">
            <w:pPr>
              <w:pStyle w:val="style4098"/>
              <w:jc w:val="left"/>
              <w:rPr/>
            </w:pPr>
            <w:r>
              <w:t>冷启动延迟</w:t>
            </w:r>
          </w:p>
        </w:tc>
        <w:tc>
          <w:tcPr>
            <w:tcW w:w="0" w:type="auto"/>
            <w:tcBorders/>
          </w:tcPr>
          <w:p w14:paraId="90750624">
            <w:pPr>
              <w:pStyle w:val="style4098"/>
              <w:jc w:val="left"/>
              <w:rPr/>
            </w:pPr>
            <w:r>
              <w:t>&lt;60ms（含资源池预置）</w:t>
            </w:r>
            <w:r>
              <w:rPr/>
              <w:fldChar w:fldCharType="begin"/>
            </w:r>
            <w:r>
              <w:instrText>NOTEREF _Ref_Footnote_4 \h \f</w:instrText>
            </w:r>
            <w:r>
              <w:rPr/>
              <w:fldChar w:fldCharType="separate"/>
            </w:r>
            <w:r>
              <w:rPr>
                <w:vertAlign w:val="superscript"/>
              </w:rPr>
              <w:t>4</w:t>
            </w:r>
            <w:r>
              <w:rPr/>
              <w:fldChar w:fldCharType="end"/>
            </w:r>
          </w:p>
        </w:tc>
        <w:tc>
          <w:tcPr>
            <w:tcW w:w="0" w:type="auto"/>
            <w:tcBorders/>
          </w:tcPr>
          <w:p w14:paraId="8CFC7254">
            <w:pPr>
              <w:pStyle w:val="style4098"/>
              <w:jc w:val="left"/>
              <w:rPr/>
            </w:pPr>
            <w:r>
              <w:t>500ms–1s（裸启动）</w:t>
            </w:r>
            <w:r>
              <w:rPr>
                <w:vertAlign w:val="superscript"/>
              </w:rPr>
              <w:footnoteReference w:id="58"/>
            </w:r>
          </w:p>
        </w:tc>
        <w:tc>
          <w:tcPr>
            <w:tcW w:w="0" w:type="auto"/>
            <w:tcBorders/>
          </w:tcPr>
          <w:p w14:paraId="CC94FAD6">
            <w:pPr>
              <w:pStyle w:val="style4098"/>
              <w:jc w:val="left"/>
              <w:rPr/>
            </w:pPr>
            <w:r>
              <w:t>数量级差异，取决于快照克隆优化</w:t>
            </w:r>
          </w:p>
        </w:tc>
      </w:tr>
      <w:tr w14:paraId="8998947F">
        <w:tblPrEx/>
        <w:trPr/>
        <w:tc>
          <w:tcPr>
            <w:tcW w:w="0" w:type="auto"/>
            <w:tcBorders/>
          </w:tcPr>
          <w:p w14:paraId="0FB22B59">
            <w:pPr>
              <w:pStyle w:val="style4098"/>
              <w:jc w:val="left"/>
              <w:rPr/>
            </w:pPr>
            <w:r>
              <w:t>内存开销</w:t>
            </w:r>
          </w:p>
        </w:tc>
        <w:tc>
          <w:tcPr>
            <w:tcW w:w="0" w:type="auto"/>
            <w:tcBorders/>
          </w:tcPr>
          <w:p w14:paraId="9C58C672">
            <w:pPr>
              <w:pStyle w:val="style4098"/>
              <w:jc w:val="left"/>
              <w:rPr/>
            </w:pPr>
            <w:r>
              <w:t>&lt;5MB/实例（增量）</w:t>
            </w:r>
            <w:r>
              <w:rPr/>
              <w:fldChar w:fldCharType="begin"/>
            </w:r>
            <w:r>
              <w:instrText>NOTEREF _Ref_Footnote_55 \h \f</w:instrText>
            </w:r>
            <w:r>
              <w:rPr/>
              <w:fldChar w:fldCharType="separate"/>
            </w:r>
            <w:r>
              <w:rPr>
                <w:vertAlign w:val="superscript"/>
              </w:rPr>
              <w:t>55</w:t>
            </w:r>
            <w:r>
              <w:rPr/>
              <w:fldChar w:fldCharType="end"/>
            </w:r>
          </w:p>
        </w:tc>
        <w:tc>
          <w:tcPr>
            <w:tcW w:w="0" w:type="auto"/>
            <w:tcBorders/>
          </w:tcPr>
          <w:p w14:paraId="EE86CF71">
            <w:pPr>
              <w:pStyle w:val="style4098"/>
              <w:jc w:val="left"/>
              <w:rPr/>
            </w:pPr>
            <w:r>
              <w:t>128–256MB/实例</w:t>
            </w:r>
            <w:r>
              <w:t xml:space="preserve"> </w:t>
            </w:r>
            <w:r>
              <w:rPr>
                <w:vertAlign w:val="superscript"/>
              </w:rPr>
              <w:footnoteReference w:id="59"/>
            </w:r>
          </w:p>
        </w:tc>
        <w:tc>
          <w:tcPr>
            <w:tcW w:w="0" w:type="auto"/>
            <w:tcBorders/>
          </w:tcPr>
          <w:p w14:paraId="77B291BF">
            <w:pPr>
              <w:pStyle w:val="style4098"/>
              <w:jc w:val="left"/>
              <w:rPr/>
            </w:pPr>
            <w:r>
              <w:t>CoW 共享 vs 全内存分配</w:t>
            </w:r>
          </w:p>
        </w:tc>
      </w:tr>
      <w:tr w14:paraId="CCAFDC6A">
        <w:tblPrEx/>
        <w:trPr/>
        <w:tc>
          <w:tcPr>
            <w:tcW w:w="0" w:type="auto"/>
            <w:tcBorders/>
          </w:tcPr>
          <w:p w14:paraId="34C58B7F">
            <w:pPr>
              <w:pStyle w:val="style4098"/>
              <w:jc w:val="left"/>
              <w:rPr/>
            </w:pPr>
            <w:r>
              <w:t>设备模型</w:t>
            </w:r>
          </w:p>
        </w:tc>
        <w:tc>
          <w:tcPr>
            <w:tcW w:w="0" w:type="auto"/>
            <w:tcBorders/>
          </w:tcPr>
          <w:p w14:paraId="72FCB551">
            <w:pPr>
              <w:pStyle w:val="style4098"/>
              <w:jc w:val="left"/>
              <w:rPr/>
            </w:pPr>
            <w:r>
              <w:t>6 核心 virtio 设备</w:t>
            </w:r>
            <w:r>
              <w:t xml:space="preserve"> </w:t>
            </w:r>
            <w:r>
              <w:rPr/>
              <w:fldChar w:fldCharType="begin"/>
            </w:r>
            <w:r>
              <w:instrText>NOTEREF _Ref_Footnote_3 \h \f</w:instrText>
            </w:r>
            <w:r>
              <w:rPr/>
              <w:fldChar w:fldCharType="separate"/>
            </w:r>
            <w:r>
              <w:rPr>
                <w:vertAlign w:val="superscript"/>
              </w:rPr>
              <w:t>3</w:t>
            </w:r>
            <w:r>
              <w:rPr/>
              <w:fldChar w:fldCharType="end"/>
            </w:r>
          </w:p>
        </w:tc>
        <w:tc>
          <w:tcPr>
            <w:tcW w:w="0" w:type="auto"/>
            <w:tcBorders/>
          </w:tcPr>
          <w:p w14:paraId="3F15EA61">
            <w:pPr>
              <w:pStyle w:val="style4098"/>
              <w:jc w:val="left"/>
              <w:rPr/>
            </w:pPr>
            <w:r>
              <w:t>完整 PC 兼容设备</w:t>
            </w:r>
          </w:p>
        </w:tc>
        <w:tc>
          <w:tcPr>
            <w:tcW w:w="0" w:type="auto"/>
            <w:tcBorders/>
          </w:tcPr>
          <w:p w14:paraId="25D81A9F">
            <w:pPr>
              <w:pStyle w:val="style4098"/>
              <w:jc w:val="left"/>
              <w:rPr/>
            </w:pPr>
            <w:r>
              <w:t>功能完整度 vs 精简攻击面</w:t>
            </w:r>
          </w:p>
        </w:tc>
      </w:tr>
      <w:tr w14:paraId="25AFEB86">
        <w:tblPrEx/>
        <w:trPr/>
        <w:tc>
          <w:tcPr>
            <w:tcW w:w="0" w:type="auto"/>
            <w:tcBorders/>
          </w:tcPr>
          <w:p w14:paraId="FE0078E3">
            <w:pPr>
              <w:pStyle w:val="style4098"/>
              <w:jc w:val="left"/>
              <w:rPr/>
            </w:pPr>
            <w:r>
              <w:t>热插拔</w:t>
            </w:r>
          </w:p>
        </w:tc>
        <w:tc>
          <w:tcPr>
            <w:tcW w:w="0" w:type="auto"/>
            <w:tcBorders/>
          </w:tcPr>
          <w:p w14:paraId="D0F1AA88">
            <w:pPr>
              <w:pStyle w:val="style4098"/>
              <w:jc w:val="left"/>
              <w:rPr/>
            </w:pPr>
            <w:r>
              <w:t>不支持（设计取舍）</w:t>
            </w:r>
          </w:p>
        </w:tc>
        <w:tc>
          <w:tcPr>
            <w:tcW w:w="0" w:type="auto"/>
            <w:tcBorders/>
          </w:tcPr>
          <w:p w14:paraId="1B3C2B83">
            <w:pPr>
              <w:pStyle w:val="style4098"/>
              <w:jc w:val="left"/>
              <w:rPr/>
            </w:pPr>
            <w:r>
              <w:t>CPU/内存/设备全支持</w:t>
            </w:r>
            <w:r>
              <w:t xml:space="preserve"> </w:t>
            </w:r>
            <w:r>
              <w:rPr/>
              <w:fldChar w:fldCharType="begin"/>
            </w:r>
            <w:r>
              <w:instrText>NOTEREF _Ref_Footnote_9 \h \f</w:instrText>
            </w:r>
            <w:r>
              <w:rPr/>
              <w:fldChar w:fldCharType="separate"/>
            </w:r>
            <w:r>
              <w:rPr>
                <w:vertAlign w:val="superscript"/>
              </w:rPr>
              <w:t>9</w:t>
            </w:r>
            <w:r>
              <w:rPr/>
              <w:fldChar w:fldCharType="end"/>
            </w:r>
          </w:p>
        </w:tc>
        <w:tc>
          <w:tcPr>
            <w:tcW w:w="0" w:type="auto"/>
            <w:tcBorders/>
          </w:tcPr>
          <w:p w14:paraId="E0A0C8F3">
            <w:pPr>
              <w:pStyle w:val="style4098"/>
              <w:jc w:val="left"/>
              <w:rPr/>
            </w:pPr>
            <w:r>
              <w:t>场景导向：AI Agent 无需热插拔</w:t>
            </w:r>
          </w:p>
        </w:tc>
      </w:tr>
      <w:tr w14:paraId="5849117B">
        <w:tblPrEx/>
        <w:trPr/>
        <w:tc>
          <w:tcPr>
            <w:tcW w:w="0" w:type="auto"/>
            <w:tcBorders/>
          </w:tcPr>
          <w:p w14:paraId="9338D832">
            <w:pPr>
              <w:pStyle w:val="style4098"/>
              <w:jc w:val="left"/>
              <w:rPr/>
            </w:pPr>
            <w:r>
              <w:t>实时迁移</w:t>
            </w:r>
          </w:p>
        </w:tc>
        <w:tc>
          <w:tcPr>
            <w:tcW w:w="0" w:type="auto"/>
            <w:tcBorders/>
          </w:tcPr>
          <w:p w14:paraId="FDBFA863">
            <w:pPr>
              <w:pStyle w:val="style4098"/>
              <w:jc w:val="left"/>
              <w:rPr/>
            </w:pPr>
            <w:r>
              <w:t>不支持</w:t>
            </w:r>
          </w:p>
        </w:tc>
        <w:tc>
          <w:tcPr>
            <w:tcW w:w="0" w:type="auto"/>
            <w:tcBorders/>
          </w:tcPr>
          <w:p w14:paraId="21DD2FB7">
            <w:pPr>
              <w:pStyle w:val="style4098"/>
              <w:jc w:val="left"/>
              <w:rPr/>
            </w:pPr>
            <w:r>
              <w:t>完整支持</w:t>
            </w:r>
          </w:p>
        </w:tc>
        <w:tc>
          <w:tcPr>
            <w:tcW w:w="0" w:type="auto"/>
            <w:tcBorders/>
          </w:tcPr>
          <w:p w14:paraId="9DCA3ED2">
            <w:pPr>
              <w:pStyle w:val="style4098"/>
              <w:jc w:val="left"/>
              <w:rPr/>
            </w:pPr>
            <w:r>
              <w:t>长期演进方向</w:t>
            </w:r>
          </w:p>
        </w:tc>
      </w:tr>
      <w:tr w14:paraId="7D73FA0B">
        <w:tblPrEx/>
        <w:trPr/>
        <w:tc>
          <w:tcPr>
            <w:tcW w:w="0" w:type="auto"/>
            <w:tcBorders/>
          </w:tcPr>
          <w:p w14:paraId="F90ECE15">
            <w:pPr>
              <w:pStyle w:val="style4098"/>
              <w:jc w:val="left"/>
              <w:rPr/>
            </w:pPr>
            <w:r>
              <w:t>GPU 直通</w:t>
            </w:r>
          </w:p>
        </w:tc>
        <w:tc>
          <w:tcPr>
            <w:tcW w:w="0" w:type="auto"/>
            <w:tcBorders/>
          </w:tcPr>
          <w:p w14:paraId="598023E0">
            <w:pPr>
              <w:pStyle w:val="style4098"/>
              <w:jc w:val="left"/>
              <w:rPr/>
            </w:pPr>
            <w:r>
              <w:t>设计提案阶段</w:t>
            </w:r>
            <w:r>
              <w:t xml:space="preserve"> </w:t>
            </w:r>
            <w:r>
              <w:rPr>
                <w:vertAlign w:val="superscript"/>
              </w:rPr>
              <w:footnoteReference w:id="60"/>
            </w:r>
          </w:p>
        </w:tc>
        <w:tc>
          <w:tcPr>
            <w:tcW w:w="0" w:type="auto"/>
            <w:tcBorders/>
          </w:tcPr>
          <w:p w14:paraId="82087BE2">
            <w:pPr>
              <w:pStyle w:val="style4098"/>
              <w:jc w:val="left"/>
              <w:rPr/>
            </w:pPr>
            <w:r>
              <w:t>VFIO 完整支持</w:t>
            </w:r>
            <w:r>
              <w:t xml:space="preserve"> </w:t>
            </w:r>
            <w:r>
              <w:rPr/>
              <w:fldChar w:fldCharType="begin"/>
            </w:r>
            <w:r>
              <w:instrText>NOTEREF _Ref_Footnote_39 \h \f</w:instrText>
            </w:r>
            <w:r>
              <w:rPr/>
              <w:fldChar w:fldCharType="separate"/>
            </w:r>
            <w:r>
              <w:rPr>
                <w:vertAlign w:val="superscript"/>
              </w:rPr>
              <w:t>39</w:t>
            </w:r>
            <w:r>
              <w:rPr/>
              <w:fldChar w:fldCharType="end"/>
            </w:r>
          </w:p>
        </w:tc>
        <w:tc>
          <w:tcPr>
            <w:tcW w:w="0" w:type="auto"/>
            <w:tcBorders/>
          </w:tcPr>
          <w:p w14:paraId="B584C80D">
            <w:pPr>
              <w:pStyle w:val="style4098"/>
              <w:jc w:val="left"/>
              <w:rPr/>
            </w:pPr>
            <w:r>
              <w:t>Kata 生态更成熟</w:t>
            </w:r>
          </w:p>
        </w:tc>
      </w:tr>
      <w:tr w14:paraId="97B6C63F">
        <w:tblPrEx/>
        <w:trPr/>
        <w:tc>
          <w:tcPr>
            <w:tcW w:w="0" w:type="auto"/>
            <w:tcBorders/>
          </w:tcPr>
          <w:p w14:paraId="0E5B9CA7">
            <w:pPr>
              <w:pStyle w:val="style4098"/>
              <w:jc w:val="left"/>
              <w:rPr/>
            </w:pPr>
            <w:r>
              <w:t>生产验证</w:t>
            </w:r>
          </w:p>
        </w:tc>
        <w:tc>
          <w:tcPr>
            <w:tcW w:w="0" w:type="auto"/>
            <w:tcBorders/>
          </w:tcPr>
          <w:p w14:paraId="288FBDEA">
            <w:pPr>
              <w:pStyle w:val="style4098"/>
              <w:jc w:val="left"/>
              <w:rPr/>
            </w:pPr>
            <w:r>
              <w:t>腾讯云百亿级调用</w:t>
            </w:r>
            <w:r>
              <w:t xml:space="preserve"> </w:t>
            </w:r>
            <w:r>
              <w:rPr/>
              <w:fldChar w:fldCharType="begin"/>
            </w:r>
            <w:r>
              <w:instrText>NOTEREF _Ref_Footnote_11 \h \f</w:instrText>
            </w:r>
            <w:r>
              <w:rPr/>
              <w:fldChar w:fldCharType="separate"/>
            </w:r>
            <w:r>
              <w:rPr>
                <w:vertAlign w:val="superscript"/>
              </w:rPr>
              <w:t>11</w:t>
            </w:r>
            <w:r>
              <w:rPr/>
              <w:fldChar w:fldCharType="end"/>
            </w:r>
          </w:p>
        </w:tc>
        <w:tc>
          <w:tcPr>
            <w:tcW w:w="0" w:type="auto"/>
            <w:tcBorders/>
          </w:tcPr>
          <w:p w14:paraId="8C2C5674">
            <w:pPr>
              <w:pStyle w:val="style4098"/>
              <w:jc w:val="left"/>
              <w:rPr/>
            </w:pPr>
            <w:r>
              <w:t>多厂商广泛部署</w:t>
            </w:r>
          </w:p>
        </w:tc>
        <w:tc>
          <w:tcPr>
            <w:tcW w:w="0" w:type="auto"/>
            <w:tcBorders/>
          </w:tcPr>
          <w:p w14:paraId="C9E4CD8A">
            <w:pPr>
              <w:pStyle w:val="style4098"/>
              <w:jc w:val="left"/>
              <w:rPr/>
            </w:pPr>
            <w:r>
              <w:t>两条路径均有生产背书</w:t>
            </w:r>
          </w:p>
        </w:tc>
      </w:tr>
    </w:tbl>
    <w:p w14:paraId="20718248">
      <w:pPr>
        <w:pStyle w:val="style66"/>
        <w:rPr/>
      </w:pPr>
      <w:r>
        <w:t>上表量化对比了 CubeHypervisor 与 QEMU/KVM 两条后端路径的关键差异。</w:t>
      </w:r>
      <w:r>
        <w:rPr>
          <w:b/>
          <w:bCs/>
        </w:rPr>
        <w:t>主后端</w:t>
      </w:r>
      <w:r>
        <w:t xml:space="preserve"> </w:t>
      </w:r>
      <w:r>
        <w:t>的优势在于极致的速度和资源效率——&lt;60ms 冷启动和 &lt;5MB 内存开销使单节点可承载 2,000+ 沙箱实例</w:t>
      </w:r>
      <w:r>
        <w:rPr/>
        <w:fldChar w:fldCharType="begin"/>
      </w:r>
      <w:r>
        <w:instrText>NOTEREF _Ref_Footnote_11 \h \f</w:instrText>
      </w:r>
      <w:r>
        <w:rPr/>
        <w:fldChar w:fldCharType="separate"/>
      </w:r>
      <w:r>
        <w:rPr>
          <w:vertAlign w:val="superscript"/>
        </w:rPr>
        <w:t>11</w:t>
      </w:r>
      <w:r>
        <w:rPr/>
        <w:fldChar w:fldCharType="end"/>
      </w:r>
      <w:r>
        <w:t>，这对 AI Agent 的高并发场景至关重要。</w:t>
      </w:r>
      <w:r>
        <w:rPr>
          <w:b/>
          <w:bCs/>
        </w:rPr>
        <w:t>兼容后端</w:t>
      </w:r>
      <w:r>
        <w:t xml:space="preserve"> </w:t>
      </w:r>
      <w:r>
        <w:t>的价值在于功能完整性——当工作负载需要 legacy 设备、GPU 直通或实时迁移时，QEMU/KVM 提供经过广泛验证的成熟路径。架构不追求在两个后端之间实现功能对等，而是明确区分适用场景：AI Agent 代码执行默认走 CubeHypervisor 快速路径，传统 VM 和特殊设备需求走 QEMU/KVM 兼容路径。</w:t>
      </w:r>
    </w:p>
    <w:bookmarkStart w:id="34" w:name="hyper-v-后端设计"/>
    <w:bookmarkEnd w:id="33"/>
    <w:bookmarkEnd w:id="29"/>
    <w:p w14:paraId="5C24CA7A">
      <w:pPr>
        <w:pStyle w:val="style4103"/>
        <w:rPr/>
      </w:pPr>
      <w:r>
        <w:t>2.3 Hyper-V 后端设计</w:t>
      </w:r>
    </w:p>
    <w:bookmarkStart w:id="35" w:name="hyper-v-架构集成"/>
    <w:p w14:paraId="12076A35">
      <w:pPr>
        <w:pStyle w:val="style4104"/>
        <w:rPr/>
      </w:pPr>
      <w:r>
        <w:t>2.3.1 Hyper-V 架构集成</w:t>
      </w:r>
    </w:p>
    <w:p w14:paraId="76B83FBF">
      <w:pPr>
        <w:pStyle w:val="style4097"/>
        <w:rPr/>
      </w:pPr>
      <w:r>
        <w:t>Hyper-V 采用 Type-1 裸金属（Bare-Metal）架构，其 Hypervisor 层直接运行于物理硬件之上，具有极小的代码量和精简的设计</w:t>
      </w:r>
      <w:r>
        <w:rPr/>
        <w:fldChar w:fldCharType="begin"/>
      </w:r>
      <w:r>
        <w:instrText>NOTEREF _Ref_Footnote_39 \h \f</w:instrText>
      </w:r>
      <w:r>
        <w:rPr/>
        <w:fldChar w:fldCharType="separate"/>
      </w:r>
      <w:r>
        <w:rPr>
          <w:vertAlign w:val="superscript"/>
        </w:rPr>
        <w:t>39</w:t>
      </w:r>
      <w:r>
        <w:rPr/>
        <w:fldChar w:fldCharType="end"/>
      </w:r>
      <w:r>
        <w:t xml:space="preserve"> </w:t>
      </w:r>
      <w:r>
        <w:rPr/>
        <w:fldChar w:fldCharType="begin"/>
      </w:r>
      <w:r>
        <w:instrText>NOTEREF _Ref_Footnote_47 \h \f</w:instrText>
      </w:r>
      <w:r>
        <w:rPr/>
        <w:fldChar w:fldCharType="separate"/>
      </w:r>
      <w:r>
        <w:rPr>
          <w:vertAlign w:val="superscript"/>
        </w:rPr>
        <w:t>47</w:t>
      </w:r>
      <w:r>
        <w:rPr/>
        <w:fldChar w:fldCharType="end"/>
      </w:r>
      <w:r>
        <w:t>。与 Type-2 虚拟机监视器（如 VMware Workstation、VirtualBox）不同，Hyper-V 的 Hypervisor 不依赖完整的宿主操作系统，代码库中不包含任何第三方设备驱动，显著降低了攻击面。</w:t>
      </w:r>
    </w:p>
    <w:p w14:paraId="FECA169D">
      <w:pPr>
        <w:pStyle w:val="style66"/>
        <w:rPr/>
      </w:pPr>
      <w:r>
        <w:t>Hyper-V 架构的核心组件包括以下六个部分。</w:t>
      </w:r>
      <w:r>
        <w:rPr>
          <w:b/>
          <w:bCs/>
        </w:rPr>
        <w:t>Hypervisor 层</w:t>
      </w:r>
      <w:r>
        <w:t>：核心虚拟化层，管理 CPU/内存调度、中断虚拟化，以微内核形式直接运行于硬件之上。</w:t>
      </w:r>
      <w:r>
        <w:rPr>
          <w:b/>
          <w:bCs/>
        </w:rPr>
        <w:t>Root Partition（根分区）</w:t>
      </w:r>
      <w:r>
        <w:t>：运行管理操作系统（Windows），管理整个虚拟化环境，承载 VSP（Virtualization Service Provider）和 VMMS（Virtual Machine Management Service）。</w:t>
      </w:r>
      <w:r>
        <w:rPr>
          <w:b/>
          <w:bCs/>
        </w:rPr>
        <w:t>Child Partition（子分区）</w:t>
      </w:r>
      <w:r>
        <w:t>：承载来宾操作系统和应用程序，每个子分区拥有独立的虚拟化视图。</w:t>
      </w:r>
      <w:r>
        <w:rPr>
          <w:b/>
          <w:bCs/>
        </w:rPr>
        <w:t>VMBus</w:t>
      </w:r>
      <w:r>
        <w:t>：基于通道（channel-based）的消息传递机制，结合 IOMMU（Input/Output Memory Management Unit）实现高效的虚拟地址空间转换，是 Root Partition 与 Child Partition 之间的高速通信总线</w:t>
      </w:r>
      <w:r>
        <w:rPr/>
        <w:fldChar w:fldCharType="begin"/>
      </w:r>
      <w:r>
        <w:instrText>NOTEREF _Ref_Footnote_40 \h \f</w:instrText>
      </w:r>
      <w:r>
        <w:rPr/>
        <w:fldChar w:fldCharType="separate"/>
      </w:r>
      <w:r>
        <w:rPr>
          <w:vertAlign w:val="superscript"/>
        </w:rPr>
        <w:t>40</w:t>
      </w:r>
      <w:r>
        <w:rPr/>
        <w:fldChar w:fldCharType="end"/>
      </w:r>
      <w:r>
        <w:t>。</w:t>
      </w:r>
      <w:r>
        <w:rPr>
          <w:b/>
          <w:bCs/>
        </w:rPr>
        <w:t>VSP/VSC 架构</w:t>
      </w:r>
      <w:r>
        <w:t>：VSP 运行于 Root Partition，直接访问物理硬件；VSC 运行于 Child Partition，作为来宾 OS 的合成设备驱动；两者通过 VMBus 通信完成 I/O 请求转发</w:t>
      </w:r>
      <w:r>
        <w:rPr/>
        <w:fldChar w:fldCharType="begin"/>
      </w:r>
      <w:r>
        <w:instrText>NOTEREF _Ref_Footnote_39 \h \f</w:instrText>
      </w:r>
      <w:r>
        <w:rPr/>
        <w:fldChar w:fldCharType="separate"/>
      </w:r>
      <w:r>
        <w:rPr>
          <w:vertAlign w:val="superscript"/>
        </w:rPr>
        <w:t>39</w:t>
      </w:r>
      <w:r>
        <w:rPr/>
        <w:fldChar w:fldCharType="end"/>
      </w:r>
      <w:r>
        <w:t>。</w:t>
      </w:r>
      <w:r>
        <w:rPr>
          <w:b/>
          <w:bCs/>
        </w:rPr>
        <w:t>VID（Virtualization Infrastructure Driver）</w:t>
      </w:r>
      <w:r>
        <w:t>：管理 VM 内存分配，支持动态内存和 NUMA spanning。</w:t>
      </w:r>
    </w:p>
    <w:p w14:paraId="7FBE6226">
      <w:pPr>
        <w:pStyle w:val="style66"/>
        <w:rPr/>
      </w:pPr>
      <w:r>
        <w:t>Hyper-V 的第二代 VM（Generation 2 VM）于 Windows Server 2012 R2 引入，是架构层面的重大改进</w:t>
      </w:r>
      <w:r>
        <w:rPr/>
        <w:fldChar w:fldCharType="begin"/>
      </w:r>
      <w:r>
        <w:instrText>NOTEREF _Ref_Footnote_42 \h \f</w:instrText>
      </w:r>
      <w:r>
        <w:rPr/>
        <w:fldChar w:fldCharType="separate"/>
      </w:r>
      <w:r>
        <w:rPr>
          <w:vertAlign w:val="superscript"/>
        </w:rPr>
        <w:t>42</w:t>
      </w:r>
      <w:r>
        <w:rPr/>
        <w:fldChar w:fldCharType="end"/>
      </w:r>
      <w:r>
        <w:t xml:space="preserve"> </w:t>
      </w:r>
      <w:r>
        <w:rPr/>
        <w:fldChar w:fldCharType="begin"/>
      </w:r>
      <w:r>
        <w:instrText>NOTEREF _Ref_Footnote_43 \h \f</w:instrText>
      </w:r>
      <w:r>
        <w:rPr/>
        <w:fldChar w:fldCharType="separate"/>
      </w:r>
      <w:r>
        <w:rPr>
          <w:vertAlign w:val="superscript"/>
        </w:rPr>
        <w:t>43</w:t>
      </w:r>
      <w:r>
        <w:rPr/>
        <w:fldChar w:fldCharType="end"/>
      </w:r>
      <w:r>
        <w:t>。Gen 2 VM 采用 UEFI 固件替代传统 BIOS，支持 Secure Boot（确保引导加载程序具有有效数字签名）和 vTPM 2.0（支持 BitLocker 磁盘加密）</w:t>
      </w:r>
      <w:r>
        <w:rPr>
          <w:vertAlign w:val="superscript"/>
        </w:rPr>
        <w:footnoteReference w:id="61"/>
      </w:r>
      <w:r>
        <w:t xml:space="preserve"> </w:t>
      </w:r>
      <w:r>
        <w:rPr>
          <w:vertAlign w:val="superscript"/>
        </w:rPr>
        <w:footnoteReference w:id="62"/>
      </w:r>
      <w:r>
        <w:t>。仅 Gen 2 VM 支持 Shielded VM 功能——这是 Hyper-V 提供的最高级别 VM 保护，可防御恶意管理员攻击</w:t>
      </w:r>
      <w:r>
        <w:rPr>
          <w:vertAlign w:val="superscript"/>
        </w:rPr>
        <w:footnoteReference w:id="63"/>
      </w:r>
      <w:r>
        <w:t>。第二代 VM 同时将存储控制器从 IDE（模拟）升级为 SCSI（合成），网络从传统网卡升级为合成网卡，启动速度显著快于第一代 VM。</w:t>
      </w:r>
    </w:p>
    <w:p w14:paraId="18D51589">
      <w:pPr>
        <w:pStyle w:val="style4118"/>
        <w:rPr/>
      </w:pPr>
      <w:r>
        <w:rPr/>
        <w:drawing>
          <wp:inline distL="0" distT="0" distB="0" distR="0">
            <wp:extent cx="5334000" cy="3795715"/>
            <wp:effectExtent l="0" t="0" r="0" b="0"/>
            <wp:docPr id="1031" name="Picture" descr="Hyper-V 集成架构与三阶段实施路径"/>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a:blip r:embed="rId5" cstate="print"/>
                    <a:srcRect l="0" t="0" r="0" b="0"/>
                    <a:stretch/>
                  </pic:blipFill>
                  <pic:spPr>
                    <a:xfrm rot="0">
                      <a:off x="0" y="0"/>
                      <a:ext cx="5334000" cy="3795715"/>
                    </a:xfrm>
                    <a:prstGeom prst="rect"/>
                    <a:ln>
                      <a:noFill/>
                    </a:ln>
                  </pic:spPr>
                </pic:pic>
              </a:graphicData>
            </a:graphic>
          </wp:inline>
        </w:drawing>
      </w:r>
    </w:p>
    <w:p w14:paraId="1BE48C9B">
      <w:pPr>
        <w:pStyle w:val="style4116"/>
        <w:rPr/>
      </w:pPr>
      <w:r>
        <w:t>Hyper-V 集成架构与三阶段实施路径</w:t>
      </w:r>
    </w:p>
    <w:p w14:paraId="F5552D07">
      <w:pPr>
        <w:pStyle w:val="style66"/>
        <w:rPr/>
      </w:pPr>
      <w:r>
        <w:t>上图左侧展示了 Hyper-V Type-1 架构的核心组件关系：Hypervisor 微内核直接管理硬件资源，Root Partition 承载管理服务（VSP + VMMS），Child Partition 通过 VMBus 与 Root Partition 通信，VSC 驱动将来宾 OS 的 I/O 请求转发至 VSP 处理。右侧展示了从嵌套虚拟化到 Direct Virtualization 的三阶段演进路径。</w:t>
      </w:r>
    </w:p>
    <w:bookmarkStart w:id="36" w:name="三阶段实施路径"/>
    <w:bookmarkEnd w:id="35"/>
    <w:p w14:paraId="5FD26A01">
      <w:pPr>
        <w:pStyle w:val="style4104"/>
        <w:rPr/>
      </w:pPr>
      <w:r>
        <w:t>2.3.2 三阶段实施路径</w:t>
      </w:r>
    </w:p>
    <w:p w14:paraId="AE7110E1">
      <w:pPr>
        <w:pStyle w:val="style4097"/>
        <w:rPr/>
      </w:pPr>
      <w:r>
        <w:t>Hyper-V 后端在 CubeSandbox 架构中定位为”探索后端”，其实施遵循渐进式三阶段路径，每阶段的性能目标和风险等级经过明确界定。</w:t>
      </w:r>
    </w:p>
    <w:p w14:paraId="D8D63D98">
      <w:pPr>
        <w:pStyle w:val="style66"/>
        <w:rPr/>
      </w:pPr>
      <w:r>
        <w:rPr>
          <w:b/>
          <w:bCs/>
        </w:rPr>
        <w:t>Phase 1：嵌套虚拟化（短期，当前可行）</w:t>
      </w:r>
      <w:r>
        <w:t>。在 Hyper-V 宿主机上创建 Linux VM，启用嵌套虚拟化（</w:t>
      </w:r>
      <w:r>
        <w:rPr>
          <w:rStyle w:val="style4120"/>
        </w:rPr>
        <w:t>Set-VMProcessor -ExposeVirtualizationExtensions $true</w:t>
      </w:r>
      <w:r>
        <w:rPr>
          <w:vertAlign w:val="superscript"/>
        </w:rPr>
        <w:footnoteReference w:id="64"/>
      </w:r>
      <w:r>
        <w:t>），在 Linux VM 内运行 KVM/QEMU 以承载 CubeSandbox 工作负载。该方案的性能预期为裸机的 75–85%，主要开销来源包括：vCPU 调度和上下文切换的多层传递、EPT（Extended Page Table）嵌套页表翻译增加的内存访问延迟、I/O 请求通过多层 Hypervisor 传递的放大效应、以及嵌套场景下 TLB（Translation Lookaside Buffer）刷新导致的 miss 率上升</w:t>
      </w:r>
      <w:r>
        <w:rPr>
          <w:vertAlign w:val="superscript"/>
        </w:rPr>
        <w:footnoteReference w:id="65"/>
      </w:r>
      <w:r>
        <w:t>。Phase 1 的风险等级为低——嵌套虚拟化是成熟技术，Windows Server 2016+ 和 Hyper-V 均提供官方支持</w:t>
      </w:r>
      <w:r>
        <w:rPr/>
        <w:fldChar w:fldCharType="begin"/>
      </w:r>
      <w:r>
        <w:instrText>NOTEREF _Ref_Footnote_64 \h \f</w:instrText>
      </w:r>
      <w:r>
        <w:rPr/>
        <w:fldChar w:fldCharType="separate"/>
      </w:r>
      <w:r>
        <w:rPr>
          <w:vertAlign w:val="superscript"/>
        </w:rPr>
        <w:t>64</w:t>
      </w:r>
      <w:r>
        <w:rPr/>
        <w:fldChar w:fldCharType="end"/>
      </w:r>
      <w:r>
        <w:t xml:space="preserve"> </w:t>
      </w:r>
      <w:r>
        <w:rPr>
          <w:vertAlign w:val="superscript"/>
        </w:rPr>
        <w:footnoteReference w:id="66"/>
      </w:r>
      <w:r>
        <w:t>。</w:t>
      </w:r>
    </w:p>
    <w:p w14:paraId="FCFD7758">
      <w:pPr>
        <w:pStyle w:val="style66"/>
        <w:rPr/>
      </w:pPr>
      <w:r>
        <w:rPr>
          <w:b/>
          <w:bCs/>
        </w:rPr>
        <w:t>Phase 2：MSHV 加速器（中期，依赖上游成熟）</w:t>
      </w:r>
      <w:r>
        <w:t>。QEMU 10.2 引入的 MSHV 加速器允许 Linux VMM 直接利用 Hyper-V 能力创建 VM，无需传统嵌套虚拟化的多层抽象</w:t>
      </w:r>
      <w:r>
        <w:rPr/>
        <w:fldChar w:fldCharType="begin"/>
      </w:r>
      <w:r>
        <w:instrText>NOTEREF _Ref_Footnote_48 \h \f</w:instrText>
      </w:r>
      <w:r>
        <w:rPr/>
        <w:fldChar w:fldCharType="separate"/>
      </w:r>
      <w:r>
        <w:rPr>
          <w:vertAlign w:val="superscript"/>
        </w:rPr>
        <w:t>48</w:t>
      </w:r>
      <w:r>
        <w:rPr/>
        <w:fldChar w:fldCharType="end"/>
      </w:r>
      <w:r>
        <w:t xml:space="preserve"> </w:t>
      </w:r>
      <w:r>
        <w:rPr/>
        <w:fldChar w:fldCharType="begin"/>
      </w:r>
      <w:r>
        <w:instrText>NOTEREF _Ref_Footnote_20 \h \f</w:instrText>
      </w:r>
      <w:r>
        <w:rPr/>
        <w:fldChar w:fldCharType="separate"/>
      </w:r>
      <w:r>
        <w:rPr>
          <w:vertAlign w:val="superscript"/>
        </w:rPr>
        <w:t>20</w:t>
      </w:r>
      <w:r>
        <w:rPr/>
        <w:fldChar w:fldCharType="end"/>
      </w:r>
      <w:r>
        <w:t>。技术实现基于 Microsoft 贡献的</w:t>
      </w:r>
      <w:r>
        <w:t xml:space="preserve"> </w:t>
      </w:r>
      <w:r>
        <w:rPr>
          <w:rStyle w:val="style4120"/>
        </w:rPr>
        <w:t>/dev/mshv</w:t>
      </w:r>
      <w:r>
        <w:t xml:space="preserve"> </w:t>
      </w:r>
      <w:r>
        <w:t>ioctl 驱动，QEMU 通过</w:t>
      </w:r>
      <w:r>
        <w:t xml:space="preserve"> </w:t>
      </w:r>
      <w:r>
        <w:rPr>
          <w:rStyle w:val="style4120"/>
        </w:rPr>
        <w:t>-accel mshv</w:t>
      </w:r>
      <w:r>
        <w:t xml:space="preserve"> </w:t>
      </w:r>
      <w:r>
        <w:t>选项启用该加速器</w:t>
      </w:r>
      <w:r>
        <w:rPr>
          <w:vertAlign w:val="superscript"/>
        </w:rPr>
        <w:footnoteReference w:id="67"/>
      </w:r>
      <w:r>
        <w:t>。MSHV 的核心原理是 Direct Virtualization：L2 guest 不再是 L1 VM 内的嵌套 VM，而是作为 L0 Hypervisor 的逻辑子节点（sibling）直接管理，L1 VM 仅作为资源所有者分配其 CPU、RAM 和设备给 L2 guest</w:t>
      </w:r>
      <w:r>
        <w:rPr/>
        <w:fldChar w:fldCharType="begin"/>
      </w:r>
      <w:r>
        <w:instrText>NOTEREF _Ref_Footnote_20 \h \f</w:instrText>
      </w:r>
      <w:r>
        <w:rPr/>
        <w:fldChar w:fldCharType="separate"/>
      </w:r>
      <w:r>
        <w:rPr>
          <w:vertAlign w:val="superscript"/>
        </w:rPr>
        <w:t>20</w:t>
      </w:r>
      <w:r>
        <w:rPr/>
        <w:fldChar w:fldCharType="end"/>
      </w:r>
      <w:r>
        <w:t>。该设计避免了传统嵌套虚拟化中暴露原始虚拟化扩展给 guest 的开销，早期测试显示比传统嵌套方案提升 20–40% 性能</w:t>
      </w:r>
      <w:r>
        <w:rPr/>
        <w:fldChar w:fldCharType="begin"/>
      </w:r>
      <w:r>
        <w:instrText>NOTEREF _Ref_Footnote_28 \h \f</w:instrText>
      </w:r>
      <w:r>
        <w:rPr/>
        <w:fldChar w:fldCharType="separate"/>
      </w:r>
      <w:r>
        <w:rPr>
          <w:vertAlign w:val="superscript"/>
        </w:rPr>
        <w:t>28</w:t>
      </w:r>
      <w:r>
        <w:rPr/>
        <w:fldChar w:fldCharType="end"/>
      </w:r>
      <w:r>
        <w:t>。Phase 2 的性能预期为裸机的 90–95%，风险等级为中——libvirt 对 MSHV 的补丁仍在进行中，生产就绪时间表不确定</w:t>
      </w:r>
      <w:r>
        <w:rPr/>
        <w:fldChar w:fldCharType="begin"/>
      </w:r>
      <w:r>
        <w:instrText>NOTEREF _Ref_Footnote_20 \h \f</w:instrText>
      </w:r>
      <w:r>
        <w:rPr/>
        <w:fldChar w:fldCharType="separate"/>
      </w:r>
      <w:r>
        <w:rPr>
          <w:vertAlign w:val="superscript"/>
        </w:rPr>
        <w:t>20</w:t>
      </w:r>
      <w:r>
        <w:rPr/>
        <w:fldChar w:fldCharType="end"/>
      </w:r>
      <w:r>
        <w:t>。</w:t>
      </w:r>
    </w:p>
    <w:p w14:paraId="EB78EA45">
      <w:pPr>
        <w:pStyle w:val="style66"/>
        <w:rPr/>
      </w:pPr>
      <w:r>
        <w:rPr>
          <w:b/>
          <w:bCs/>
        </w:rPr>
        <w:t>Phase 3：Direct Virtualization 全面切换（长期，技术储备）</w:t>
      </w:r>
      <w:r>
        <w:t>。当 MSHV 加速器在生态层面完全成熟（libvirt 主线支持、Kata Containers 后端集成、上游 CI 稳定），将 Hyper-V 后端从”探索”升级为”兼容”级别，全面替换 Phase 1 的嵌套虚拟化路径。Phase 3 的性能目标为近原生（&gt;95% 裸机），风险等级为中到高——涉及后端角色变更和迁移路径设计。</w:t>
      </w:r>
    </w:p>
    <w:bookmarkStart w:id="37" w:name="mshv-加速器技术细节"/>
    <w:bookmarkEnd w:id="36"/>
    <w:p w14:paraId="1C7F3671">
      <w:pPr>
        <w:pStyle w:val="style4104"/>
        <w:rPr/>
      </w:pPr>
      <w:r>
        <w:t>2.3.3 MSHV 加速器技术细节</w:t>
      </w:r>
    </w:p>
    <w:p w14:paraId="9997588C">
      <w:pPr>
        <w:pStyle w:val="style4097"/>
        <w:rPr/>
      </w:pPr>
      <w:r>
        <w:t>MSHV 加速器的工程实现依赖三个技术条件的同时满足。QEMU 版本要求 10.2 或更高，通过</w:t>
      </w:r>
      <w:r>
        <w:t xml:space="preserve"> </w:t>
      </w:r>
      <w:r>
        <w:rPr>
          <w:rStyle w:val="style4120"/>
        </w:rPr>
        <w:t>-accel mshv</w:t>
      </w:r>
      <w:r>
        <w:t xml:space="preserve"> </w:t>
      </w:r>
      <w:r>
        <w:t>命令行选项启用 MSHV 加速，替代传统的</w:t>
      </w:r>
      <w:r>
        <w:t xml:space="preserve"> </w:t>
      </w:r>
      <w:r>
        <w:rPr>
          <w:rStyle w:val="style4120"/>
        </w:rPr>
        <w:t>-accel kvm</w:t>
      </w:r>
      <w:r>
        <w:t xml:space="preserve"> </w:t>
      </w:r>
      <w:r>
        <w:t>或</w:t>
      </w:r>
      <w:r>
        <w:t xml:space="preserve"> </w:t>
      </w:r>
      <w:r>
        <w:rPr>
          <w:rStyle w:val="style4120"/>
        </w:rPr>
        <w:t>-accel tcg</w:t>
      </w:r>
      <w:r>
        <w:rPr/>
        <w:fldChar w:fldCharType="begin"/>
      </w:r>
      <w:r>
        <w:instrText>NOTEREF _Ref_Footnote_48 \h \f</w:instrText>
      </w:r>
      <w:r>
        <w:rPr/>
        <w:fldChar w:fldCharType="separate"/>
      </w:r>
      <w:r>
        <w:rPr>
          <w:vertAlign w:val="superscript"/>
        </w:rPr>
        <w:t>48</w:t>
      </w:r>
      <w:r>
        <w:rPr/>
        <w:fldChar w:fldCharType="end"/>
      </w:r>
      <w:r>
        <w:t>。内核依赖方面，</w:t>
      </w:r>
      <w:r>
        <w:rPr>
          <w:rStyle w:val="style4120"/>
        </w:rPr>
        <w:t>/dev/mshv</w:t>
      </w:r>
      <w:r>
        <w:t xml:space="preserve"> </w:t>
      </w:r>
      <w:r>
        <w:t>驱动由 Microsoft 贡献至 Linux 内核，提供与</w:t>
      </w:r>
      <w:r>
        <w:t xml:space="preserve"> </w:t>
      </w:r>
      <w:r>
        <w:rPr>
          <w:rStyle w:val="style4120"/>
        </w:rPr>
        <w:t>/dev/kvm</w:t>
      </w:r>
      <w:r>
        <w:t xml:space="preserve"> </w:t>
      </w:r>
      <w:r>
        <w:t>类似的 ioctl 接口（</w:t>
      </w:r>
      <w:r>
        <w:rPr>
          <w:rStyle w:val="style4120"/>
        </w:rPr>
        <w:t>MSHV_CREATE_VM</w:t>
      </w:r>
      <w:r>
        <w:t>、</w:t>
      </w:r>
      <w:r>
        <w:rPr>
          <w:rStyle w:val="style4120"/>
        </w:rPr>
        <w:t>MSHV_MAP_GUEST_MEMORY</w:t>
      </w:r>
      <w:r>
        <w:t>、</w:t>
      </w:r>
      <w:r>
        <w:rPr>
          <w:rStyle w:val="style4120"/>
        </w:rPr>
        <w:t>MSHV_CREATE_VCPU</w:t>
      </w:r>
      <w:r>
        <w:t xml:space="preserve"> </w:t>
      </w:r>
      <w:r>
        <w:t>等），使用户空间 VMM 可直接调用 Hyper-V 虚拟化能力</w:t>
      </w:r>
      <w:r>
        <w:rPr/>
        <w:fldChar w:fldCharType="begin"/>
      </w:r>
      <w:r>
        <w:instrText>NOTEREF _Ref_Footnote_20 \h \f</w:instrText>
      </w:r>
      <w:r>
        <w:rPr/>
        <w:fldChar w:fldCharType="separate"/>
      </w:r>
      <w:r>
        <w:rPr>
          <w:vertAlign w:val="superscript"/>
        </w:rPr>
        <w:t>20</w:t>
      </w:r>
      <w:r>
        <w:rPr/>
        <w:fldChar w:fldCharType="end"/>
      </w:r>
      <w:r>
        <w:t>。libvirt 集成方面，当前 MSHV 补丁处于 review 阶段，尚未合并至 libvirt 主线。CubeSandbox 采用 Shim v2 架构绕过 libvirt，因此不受 libvirt MSHV 补丁进度阻塞——CubeHypervisor 可直接通过</w:t>
      </w:r>
      <w:r>
        <w:t xml:space="preserve"> </w:t>
      </w:r>
      <w:r>
        <w:rPr>
          <w:rStyle w:val="style4120"/>
        </w:rPr>
        <w:t>mshv-ioctls</w:t>
      </w:r>
      <w:r>
        <w:t xml:space="preserve"> </w:t>
      </w:r>
      <w:r>
        <w:t>crate（待开发）与</w:t>
      </w:r>
      <w:r>
        <w:t xml:space="preserve"> </w:t>
      </w:r>
      <w:r>
        <w:rPr>
          <w:rStyle w:val="style4120"/>
        </w:rPr>
        <w:t>/dev/mshv</w:t>
      </w:r>
      <w:r>
        <w:t xml:space="preserve"> </w:t>
      </w:r>
      <w:r>
        <w:t>交互，复制其现有的</w:t>
      </w:r>
      <w:r>
        <w:t xml:space="preserve"> </w:t>
      </w:r>
      <w:r>
        <w:rPr>
          <w:rStyle w:val="style4120"/>
        </w:rPr>
        <w:t>kvm-ioctls</w:t>
      </w:r>
      <w:r>
        <w:t xml:space="preserve"> </w:t>
      </w:r>
      <w:r>
        <w:t>模式。</w:t>
      </w:r>
    </w:p>
    <w:p w14:paraId="8FEB1605">
      <w:pPr>
        <w:pStyle w:val="style66"/>
        <w:rPr/>
      </w:pPr>
      <w:r>
        <w:t>跟踪策略采用”上游优先、内核降级”模式：持续跟踪 QEMU 和 libvirt MSHV 补丁的 upstream 进度；在补丁合并前，通过 CubeHypervisor 直接调用</w:t>
      </w:r>
      <w:r>
        <w:t xml:space="preserve"> </w:t>
      </w:r>
      <w:r>
        <w:rPr>
          <w:rStyle w:val="style4120"/>
        </w:rPr>
        <w:t>/dev/mshv</w:t>
      </w:r>
      <w:r>
        <w:t xml:space="preserve"> </w:t>
      </w:r>
      <w:r>
        <w:t>绕过 libvirt；保留嵌套虚拟化作为内核降级路径，确保 MSHV 不可用时工作负载可无缝回退。</w:t>
      </w:r>
    </w:p>
    <w:bookmarkStart w:id="38" w:name="hyper-v-容器hcs集成"/>
    <w:bookmarkEnd w:id="37"/>
    <w:p w14:paraId="7B906039">
      <w:pPr>
        <w:pStyle w:val="style4104"/>
        <w:rPr/>
      </w:pPr>
      <w:r>
        <w:t>2.3.4 Hyper-V 容器（HCS）集成</w:t>
      </w:r>
    </w:p>
    <w:p w14:paraId="36C254E0">
      <w:pPr>
        <w:pStyle w:val="style4097"/>
        <w:rPr/>
      </w:pPr>
      <w:r>
        <w:t>Host Compute Service（HCS）是 Windows 10 和 Windows Server 中管理虚拟化实例（容器和 VM）的核心服务</w:t>
      </w:r>
      <w:r>
        <w:rPr/>
        <w:fldChar w:fldCharType="begin"/>
      </w:r>
      <w:r>
        <w:instrText>NOTEREF _Ref_Footnote_47 \h \f</w:instrText>
      </w:r>
      <w:r>
        <w:rPr/>
        <w:fldChar w:fldCharType="separate"/>
      </w:r>
      <w:r>
        <w:rPr>
          <w:vertAlign w:val="superscript"/>
        </w:rPr>
        <w:t>47</w:t>
      </w:r>
      <w:r>
        <w:rPr/>
        <w:fldChar w:fldCharType="end"/>
      </w:r>
      <w:r>
        <w:t xml:space="preserve"> </w:t>
      </w:r>
      <w:r>
        <w:rPr>
          <w:vertAlign w:val="superscript"/>
        </w:rPr>
        <w:footnoteReference w:id="68"/>
      </w:r>
      <w:r>
        <w:t>。HCS 通过 JSON 格式配置接口暴露 VM/容器生命周期管理能力，上层编排系统（Docker、ContainerD、Kubernetes）通过 hcsshim（Microsoft 开发的 Go 语言 HCS 封装库）与 HCS 交互</w:t>
      </w:r>
      <w:r>
        <w:rPr>
          <w:vertAlign w:val="superscript"/>
        </w:rPr>
        <w:footnoteReference w:id="69"/>
      </w:r>
      <w:r>
        <w:t xml:space="preserve"> </w:t>
      </w:r>
      <w:r>
        <w:rPr>
          <w:vertAlign w:val="superscript"/>
        </w:rPr>
        <w:footnoteReference w:id="70"/>
      </w:r>
      <w:r>
        <w:t>。</w:t>
      </w:r>
    </w:p>
    <w:p w14:paraId="3B8C9CD6">
      <w:pPr>
        <w:pStyle w:val="style66"/>
        <w:rPr/>
      </w:pPr>
      <w:r>
        <w:t>hcsshim V2 架构是 HCS 集成的关键组件。V2 模型将 V1 的单体式 shim 拆分为专注的、每个平台一个的 shim 实现</w:t>
      </w:r>
      <w:r>
        <w:rPr/>
        <w:fldChar w:fldCharType="begin"/>
      </w:r>
      <w:r>
        <w:instrText>NOTEREF _Ref_Footnote_70 \h \f</w:instrText>
      </w:r>
      <w:r>
        <w:rPr/>
        <w:fldChar w:fldCharType="separate"/>
      </w:r>
      <w:r>
        <w:rPr>
          <w:vertAlign w:val="superscript"/>
        </w:rPr>
        <w:t>70</w:t>
      </w:r>
      <w:r>
        <w:rPr/>
        <w:fldChar w:fldCharType="end"/>
      </w:r>
      <w:r>
        <w:t>：</w:t>
      </w:r>
      <w:r>
        <w:rPr>
          <w:rStyle w:val="style4120"/>
        </w:rPr>
        <w:t>containerd-shim-lcow-v2</w:t>
      </w:r>
      <w:r>
        <w:t xml:space="preserve"> </w:t>
      </w:r>
      <w:r>
        <w:t>运行 LCOW（Linux Containers on Windows），每个容器在轻量 Linux Utility VM 中运行；</w:t>
      </w:r>
      <w:r>
        <w:rPr>
          <w:rStyle w:val="style4120"/>
        </w:rPr>
        <w:t>containerd-shim-wcow-v2</w:t>
      </w:r>
      <w:r>
        <w:t xml:space="preserve"> </w:t>
      </w:r>
      <w:r>
        <w:t>运行 Hyper-V 隔离的 Windows 容器；V2 shim 使用 Containerd 的 Sandbox API 管理沙盒生命周期，Task API 管理容器/进程生命周期。</w:t>
      </w:r>
    </w:p>
    <w:p w14:paraId="3714C9E9">
      <w:pPr>
        <w:pStyle w:val="style66"/>
        <w:rPr/>
      </w:pPr>
      <w:r>
        <w:t>Utility VM 是 Hyper-V 容器轻量化的核心机制</w:t>
      </w:r>
      <w:r>
        <w:rPr>
          <w:vertAlign w:val="superscript"/>
        </w:rPr>
        <w:footnoteReference w:id="71"/>
      </w:r>
      <w:r>
        <w:t>。Utility VM 是只读版本的 VM，写入不持久化，不需要自己的主机名，针对容器托管高度优化——仅包含运行容器所需的功能。Microsoft 实现了 Utility VM 克隆技术：第一个 VM 启动到特定点后创建快照，后续容器从快照分叉，极大加速启动时间</w:t>
      </w:r>
      <w:r>
        <w:rPr/>
        <w:fldChar w:fldCharType="begin"/>
      </w:r>
      <w:r>
        <w:instrText>NOTEREF _Ref_Footnote_71 \h \f</w:instrText>
      </w:r>
      <w:r>
        <w:rPr/>
        <w:fldChar w:fldCharType="separate"/>
      </w:r>
      <w:r>
        <w:rPr>
          <w:vertAlign w:val="superscript"/>
        </w:rPr>
        <w:t>71</w:t>
      </w:r>
      <w:r>
        <w:rPr/>
        <w:fldChar w:fldCharType="end"/>
      </w:r>
      <w:r>
        <w:t>。</w:t>
      </w:r>
    </w:p>
    <w:p w14:paraId="E432ECF0">
      <w:pPr>
        <w:pStyle w:val="style66"/>
        <w:rPr/>
      </w:pPr>
      <w:r>
        <w:t>对于 CubeSandbox，HCS 集成的目标是使 Windows 节点能够运行与 Linux 节点等效的沙箱工作负载。技术路径为：在 Windows Server 宿主机上通过 HCS 创建轻量 Utility VM，Utility VM 内运行精简 Linux 内核，容器镜像通过 9P/VirtIOFS 协议挂载到 VM 中，Guest Agent（GCS：Guest Compute Service）处理容器生命周期管理。该路径与 CubeSandbox 的 MicroVM + virtiofs + agent 模型在架构上等价，差异仅在于 VM 管理接口（HCS 替代 KVM ioctl）。</w:t>
      </w:r>
    </w:p>
    <w:bookmarkStart w:id="39" w:name="虚拟化性能基线与优化"/>
    <w:bookmarkEnd w:id="38"/>
    <w:bookmarkEnd w:id="34"/>
    <w:p w14:paraId="BED06AE8">
      <w:pPr>
        <w:pStyle w:val="style4103"/>
        <w:rPr/>
      </w:pPr>
      <w:r>
        <w:t>2.4 虚拟化性能基线与优化</w:t>
      </w:r>
    </w:p>
    <w:bookmarkStart w:id="40" w:name="性能基线对比表"/>
    <w:p w14:paraId="3F250D45">
      <w:pPr>
        <w:pStyle w:val="style4104"/>
        <w:rPr/>
      </w:pPr>
      <w:r>
        <w:t>2.4.1 性能基线对比表</w:t>
      </w:r>
    </w:p>
    <w:tbl>
      <w:tblPr>
        <w:tblStyle w:val="style4111"/>
        <w:tblW w:w="5000" w:type="pct"/>
        <w:tblLook w:val="0020" w:firstRow="1" w:lastRow="0" w:firstColumn="0" w:lastColumn="0" w:noHBand="0" w:noVBand="0"/>
      </w:tblPr>
      <w:tblGrid>
        <w:gridCol w:w="1214"/>
        <w:gridCol w:w="1049"/>
        <w:gridCol w:w="1246"/>
        <w:gridCol w:w="1114"/>
        <w:gridCol w:w="1114"/>
        <w:gridCol w:w="1104"/>
        <w:gridCol w:w="1229"/>
      </w:tblGrid>
      <w:tr w14:paraId="8B02B0F6">
        <w:trPr>
          <w:tblHeader/>
        </w:trPr>
        <w:tc>
          <w:tcPr>
            <w:tcW w:w="0" w:type="auto"/>
            <w:tcBorders/>
          </w:tcPr>
          <w:p w14:paraId="3F1DD528">
            <w:pPr>
              <w:pStyle w:val="style4098"/>
              <w:jc w:val="left"/>
              <w:rPr/>
            </w:pPr>
            <w:r>
              <w:t>虚拟化技术</w:t>
            </w:r>
          </w:p>
        </w:tc>
        <w:tc>
          <w:tcPr>
            <w:tcW w:w="0" w:type="auto"/>
            <w:tcBorders/>
          </w:tcPr>
          <w:p w14:paraId="27967560">
            <w:pPr>
              <w:pStyle w:val="style4098"/>
              <w:jc w:val="left"/>
              <w:rPr/>
            </w:pPr>
            <w:r>
              <w:t>CPU 开销</w:t>
            </w:r>
          </w:p>
        </w:tc>
        <w:tc>
          <w:tcPr>
            <w:tcW w:w="0" w:type="auto"/>
            <w:tcBorders/>
          </w:tcPr>
          <w:p w14:paraId="45C9E561">
            <w:pPr>
              <w:pStyle w:val="style4098"/>
              <w:jc w:val="left"/>
              <w:rPr/>
            </w:pPr>
            <w:r>
              <w:t>内存开销</w:t>
            </w:r>
          </w:p>
        </w:tc>
        <w:tc>
          <w:tcPr>
            <w:tcW w:w="0" w:type="auto"/>
            <w:tcBorders/>
          </w:tcPr>
          <w:p w14:paraId="A1C0A44F">
            <w:pPr>
              <w:pStyle w:val="style4098"/>
              <w:jc w:val="left"/>
              <w:rPr/>
            </w:pPr>
            <w:r>
              <w:t>网络 I/O 开销</w:t>
            </w:r>
          </w:p>
        </w:tc>
        <w:tc>
          <w:tcPr>
            <w:tcW w:w="0" w:type="auto"/>
            <w:tcBorders/>
          </w:tcPr>
          <w:p w14:paraId="8E86443A">
            <w:pPr>
              <w:pStyle w:val="style4098"/>
              <w:jc w:val="left"/>
              <w:rPr/>
            </w:pPr>
            <w:r>
              <w:t>存储 I/O 开销</w:t>
            </w:r>
          </w:p>
        </w:tc>
        <w:tc>
          <w:tcPr>
            <w:tcW w:w="0" w:type="auto"/>
            <w:tcBorders/>
          </w:tcPr>
          <w:p w14:paraId="68464278">
            <w:pPr>
              <w:pStyle w:val="style4098"/>
              <w:jc w:val="left"/>
              <w:rPr/>
            </w:pPr>
            <w:r>
              <w:t>冷启动时间</w:t>
            </w:r>
          </w:p>
        </w:tc>
        <w:tc>
          <w:tcPr>
            <w:tcW w:w="0" w:type="auto"/>
            <w:tcBorders/>
          </w:tcPr>
          <w:p w14:paraId="1978EF4C">
            <w:pPr>
              <w:pStyle w:val="style4098"/>
              <w:jc w:val="left"/>
              <w:rPr/>
            </w:pPr>
            <w:r>
              <w:t>适用场景</w:t>
            </w:r>
          </w:p>
        </w:tc>
      </w:tr>
      <w:tr w14:paraId="9BCE4B08">
        <w:tblPrEx/>
        <w:trPr/>
        <w:tc>
          <w:tcPr>
            <w:tcW w:w="0" w:type="auto"/>
            <w:tcBorders/>
          </w:tcPr>
          <w:p w14:paraId="3550720C">
            <w:pPr>
              <w:pStyle w:val="style4098"/>
              <w:jc w:val="left"/>
              <w:rPr/>
            </w:pPr>
            <w:r>
              <w:t>KVM (优化)</w:t>
            </w:r>
          </w:p>
        </w:tc>
        <w:tc>
          <w:tcPr>
            <w:tcW w:w="0" w:type="auto"/>
            <w:tcBorders/>
          </w:tcPr>
          <w:p w14:paraId="AB7706E0">
            <w:pPr>
              <w:pStyle w:val="style4098"/>
              <w:jc w:val="left"/>
              <w:rPr/>
            </w:pPr>
            <w:r>
              <w:t>2–5%</w:t>
            </w:r>
            <w:r>
              <w:t xml:space="preserve"> </w:t>
            </w:r>
            <w:r>
              <w:rPr>
                <w:vertAlign w:val="superscript"/>
              </w:rPr>
              <w:footnoteReference w:id="72"/>
            </w:r>
          </w:p>
        </w:tc>
        <w:tc>
          <w:tcPr>
            <w:tcW w:w="0" w:type="auto"/>
            <w:tcBorders/>
          </w:tcPr>
          <w:p w14:paraId="99D8D443">
            <w:pPr>
              <w:pStyle w:val="style4098"/>
              <w:jc w:val="left"/>
              <w:rPr/>
            </w:pPr>
            <w:r>
              <w:t>2–5%</w:t>
            </w:r>
          </w:p>
        </w:tc>
        <w:tc>
          <w:tcPr>
            <w:tcW w:w="0" w:type="auto"/>
            <w:tcBorders/>
          </w:tcPr>
          <w:p w14:paraId="8B1D2EC1">
            <w:pPr>
              <w:pStyle w:val="style4098"/>
              <w:jc w:val="left"/>
              <w:rPr/>
            </w:pPr>
            <w:r>
              <w:t>5–15%</w:t>
            </w:r>
          </w:p>
        </w:tc>
        <w:tc>
          <w:tcPr>
            <w:tcW w:w="0" w:type="auto"/>
            <w:tcBorders/>
          </w:tcPr>
          <w:p w14:paraId="324EEEB5">
            <w:pPr>
              <w:pStyle w:val="style4098"/>
              <w:jc w:val="left"/>
              <w:rPr/>
            </w:pPr>
            <w:r>
              <w:t>5–15%</w:t>
            </w:r>
          </w:p>
        </w:tc>
        <w:tc>
          <w:tcPr>
            <w:tcW w:w="0" w:type="auto"/>
            <w:tcBorders/>
          </w:tcPr>
          <w:p w14:paraId="170B0844">
            <w:pPr>
              <w:pStyle w:val="style4098"/>
              <w:jc w:val="left"/>
              <w:rPr/>
            </w:pPr>
            <w:r>
              <w:t>毫秒级</w:t>
            </w:r>
          </w:p>
        </w:tc>
        <w:tc>
          <w:tcPr>
            <w:tcW w:w="0" w:type="auto"/>
            <w:tcBorders/>
          </w:tcPr>
          <w:p w14:paraId="BF01C284">
            <w:pPr>
              <w:pStyle w:val="style4098"/>
              <w:jc w:val="left"/>
              <w:rPr/>
            </w:pPr>
            <w:r>
              <w:t>Linux 工作负载首选</w:t>
            </w:r>
          </w:p>
        </w:tc>
      </w:tr>
      <w:tr w14:paraId="C8F4DC93">
        <w:tblPrEx/>
        <w:trPr/>
        <w:tc>
          <w:tcPr>
            <w:tcW w:w="0" w:type="auto"/>
            <w:tcBorders/>
          </w:tcPr>
          <w:p w14:paraId="4F5B6EDE">
            <w:pPr>
              <w:pStyle w:val="style4098"/>
              <w:jc w:val="left"/>
              <w:rPr/>
            </w:pPr>
            <w:r>
              <w:t>Hyper-V</w:t>
            </w:r>
          </w:p>
        </w:tc>
        <w:tc>
          <w:tcPr>
            <w:tcW w:w="0" w:type="auto"/>
            <w:tcBorders/>
          </w:tcPr>
          <w:p w14:paraId="22A0C950">
            <w:pPr>
              <w:pStyle w:val="style4098"/>
              <w:jc w:val="left"/>
              <w:rPr/>
            </w:pPr>
            <w:r>
              <w:t>3–8%</w:t>
            </w:r>
            <w:r>
              <w:t xml:space="preserve"> </w:t>
            </w:r>
            <w:r>
              <w:rPr/>
              <w:fldChar w:fldCharType="begin"/>
            </w:r>
            <w:r>
              <w:instrText>NOTEREF _Ref_Footnote_44 \h \f</w:instrText>
            </w:r>
            <w:r>
              <w:rPr/>
              <w:fldChar w:fldCharType="separate"/>
            </w:r>
            <w:r>
              <w:rPr>
                <w:vertAlign w:val="superscript"/>
              </w:rPr>
              <w:t>44</w:t>
            </w:r>
            <w:r>
              <w:rPr/>
              <w:fldChar w:fldCharType="end"/>
            </w:r>
          </w:p>
        </w:tc>
        <w:tc>
          <w:tcPr>
            <w:tcW w:w="0" w:type="auto"/>
            <w:tcBorders/>
          </w:tcPr>
          <w:p w14:paraId="337ECFC9">
            <w:pPr>
              <w:pStyle w:val="style4098"/>
              <w:jc w:val="left"/>
              <w:rPr/>
            </w:pPr>
            <w:r>
              <w:t>3–8%</w:t>
            </w:r>
          </w:p>
        </w:tc>
        <w:tc>
          <w:tcPr>
            <w:tcW w:w="0" w:type="auto"/>
            <w:tcBorders/>
          </w:tcPr>
          <w:p w14:paraId="5291A59A">
            <w:pPr>
              <w:pStyle w:val="style4098"/>
              <w:jc w:val="left"/>
              <w:rPr/>
            </w:pPr>
            <w:r>
              <w:t>10–20%</w:t>
            </w:r>
          </w:p>
        </w:tc>
        <w:tc>
          <w:tcPr>
            <w:tcW w:w="0" w:type="auto"/>
            <w:tcBorders/>
          </w:tcPr>
          <w:p w14:paraId="C39F88BA">
            <w:pPr>
              <w:pStyle w:val="style4098"/>
              <w:jc w:val="left"/>
              <w:rPr/>
            </w:pPr>
            <w:r>
              <w:t>10–20%</w:t>
            </w:r>
          </w:p>
        </w:tc>
        <w:tc>
          <w:tcPr>
            <w:tcW w:w="0" w:type="auto"/>
            <w:tcBorders/>
          </w:tcPr>
          <w:p w14:paraId="C4386418">
            <w:pPr>
              <w:pStyle w:val="style4098"/>
              <w:jc w:val="left"/>
              <w:rPr/>
            </w:pPr>
            <w:r>
              <w:t>秒级</w:t>
            </w:r>
          </w:p>
        </w:tc>
        <w:tc>
          <w:tcPr>
            <w:tcW w:w="0" w:type="auto"/>
            <w:tcBorders/>
          </w:tcPr>
          <w:p w14:paraId="A30A6625">
            <w:pPr>
              <w:pStyle w:val="style4098"/>
              <w:jc w:val="left"/>
              <w:rPr/>
            </w:pPr>
            <w:r>
              <w:t>Windows 工作负载</w:t>
            </w:r>
          </w:p>
        </w:tc>
      </w:tr>
      <w:tr w14:paraId="AE792BEB">
        <w:tblPrEx/>
        <w:trPr/>
        <w:tc>
          <w:tcPr>
            <w:tcW w:w="0" w:type="auto"/>
            <w:tcBorders/>
          </w:tcPr>
          <w:p w14:paraId="FDBEF949">
            <w:pPr>
              <w:pStyle w:val="style4098"/>
              <w:jc w:val="left"/>
              <w:rPr/>
            </w:pPr>
            <w:r>
              <w:t>MicroVM (Cloud HV)</w:t>
            </w:r>
          </w:p>
        </w:tc>
        <w:tc>
          <w:tcPr>
            <w:tcW w:w="0" w:type="auto"/>
            <w:tcBorders/>
          </w:tcPr>
          <w:p w14:paraId="07F229A8">
            <w:pPr>
              <w:pStyle w:val="style4098"/>
              <w:jc w:val="left"/>
              <w:rPr/>
            </w:pPr>
            <w:r>
              <w:t>2–5%</w:t>
            </w:r>
          </w:p>
        </w:tc>
        <w:tc>
          <w:tcPr>
            <w:tcW w:w="0" w:type="auto"/>
            <w:tcBorders/>
          </w:tcPr>
          <w:p w14:paraId="48D1B28F">
            <w:pPr>
              <w:pStyle w:val="style4098"/>
              <w:jc w:val="left"/>
              <w:rPr/>
            </w:pPr>
            <w:r>
              <w:t>10–30MB</w:t>
            </w:r>
          </w:p>
        </w:tc>
        <w:tc>
          <w:tcPr>
            <w:tcW w:w="0" w:type="auto"/>
            <w:tcBorders/>
          </w:tcPr>
          <w:p w14:paraId="58026A8B">
            <w:pPr>
              <w:pStyle w:val="style4098"/>
              <w:jc w:val="left"/>
              <w:rPr/>
            </w:pPr>
            <w:r>
              <w:t>5–15%</w:t>
            </w:r>
          </w:p>
        </w:tc>
        <w:tc>
          <w:tcPr>
            <w:tcW w:w="0" w:type="auto"/>
            <w:tcBorders/>
          </w:tcPr>
          <w:p w14:paraId="54FA31F7">
            <w:pPr>
              <w:pStyle w:val="style4098"/>
              <w:jc w:val="left"/>
              <w:rPr/>
            </w:pPr>
            <w:r>
              <w:t>5–15%</w:t>
            </w:r>
          </w:p>
        </w:tc>
        <w:tc>
          <w:tcPr>
            <w:tcW w:w="0" w:type="auto"/>
            <w:tcBorders/>
          </w:tcPr>
          <w:p w14:paraId="1E1F2854">
            <w:pPr>
              <w:pStyle w:val="style4098"/>
              <w:jc w:val="left"/>
              <w:rPr/>
            </w:pPr>
            <w:r>
              <w:t>~100ms</w:t>
            </w:r>
            <w:r>
              <w:t xml:space="preserve"> </w:t>
            </w:r>
            <w:r>
              <w:rPr/>
              <w:fldChar w:fldCharType="begin"/>
            </w:r>
            <w:r>
              <w:instrText>NOTEREF _Ref_Footnote_41 \h \f</w:instrText>
            </w:r>
            <w:r>
              <w:rPr/>
              <w:fldChar w:fldCharType="separate"/>
            </w:r>
            <w:r>
              <w:rPr>
                <w:vertAlign w:val="superscript"/>
              </w:rPr>
              <w:t>41</w:t>
            </w:r>
            <w:r>
              <w:rPr/>
              <w:fldChar w:fldCharType="end"/>
            </w:r>
          </w:p>
        </w:tc>
        <w:tc>
          <w:tcPr>
            <w:tcW w:w="0" w:type="auto"/>
            <w:tcBorders/>
          </w:tcPr>
          <w:p w14:paraId="84592AD6">
            <w:pPr>
              <w:pStyle w:val="style4098"/>
              <w:jc w:val="left"/>
              <w:rPr/>
            </w:pPr>
            <w:r>
              <w:t>云原生快速启动</w:t>
            </w:r>
          </w:p>
        </w:tc>
      </w:tr>
      <w:tr w14:paraId="E4F8A7A0">
        <w:tblPrEx/>
        <w:trPr/>
        <w:tc>
          <w:tcPr>
            <w:tcW w:w="0" w:type="auto"/>
            <w:tcBorders/>
          </w:tcPr>
          <w:p w14:paraId="181C3A02">
            <w:pPr>
              <w:pStyle w:val="style4098"/>
              <w:jc w:val="left"/>
              <w:rPr/>
            </w:pPr>
            <w:r>
              <w:t>嵌套虚拟化 (KVM on HV)</w:t>
            </w:r>
          </w:p>
        </w:tc>
        <w:tc>
          <w:tcPr>
            <w:tcW w:w="0" w:type="auto"/>
            <w:tcBorders/>
          </w:tcPr>
          <w:p w14:paraId="8DB5667E">
            <w:pPr>
              <w:pStyle w:val="style4098"/>
              <w:jc w:val="left"/>
              <w:rPr/>
            </w:pPr>
            <w:r>
              <w:t>15–25%</w:t>
            </w:r>
            <w:r>
              <w:t xml:space="preserve"> </w:t>
            </w:r>
            <w:r>
              <w:rPr>
                <w:vertAlign w:val="superscript"/>
              </w:rPr>
              <w:footnoteReference w:id="73"/>
            </w:r>
          </w:p>
        </w:tc>
        <w:tc>
          <w:tcPr>
            <w:tcW w:w="0" w:type="auto"/>
            <w:tcBorders/>
          </w:tcPr>
          <w:p w14:paraId="85619B6F">
            <w:pPr>
              <w:pStyle w:val="style4098"/>
              <w:jc w:val="left"/>
              <w:rPr/>
            </w:pPr>
            <w:r>
              <w:t>15–25%</w:t>
            </w:r>
          </w:p>
        </w:tc>
        <w:tc>
          <w:tcPr>
            <w:tcW w:w="0" w:type="auto"/>
            <w:tcBorders/>
          </w:tcPr>
          <w:p w14:paraId="9FE6933D">
            <w:pPr>
              <w:pStyle w:val="style4098"/>
              <w:jc w:val="left"/>
              <w:rPr/>
            </w:pPr>
            <w:r>
              <w:t>20–40%</w:t>
            </w:r>
          </w:p>
        </w:tc>
        <w:tc>
          <w:tcPr>
            <w:tcW w:w="0" w:type="auto"/>
            <w:tcBorders/>
          </w:tcPr>
          <w:p w14:paraId="48F6C170">
            <w:pPr>
              <w:pStyle w:val="style4098"/>
              <w:jc w:val="left"/>
              <w:rPr/>
            </w:pPr>
            <w:r>
              <w:t>20–40%</w:t>
            </w:r>
          </w:p>
        </w:tc>
        <w:tc>
          <w:tcPr>
            <w:tcW w:w="0" w:type="auto"/>
            <w:tcBorders/>
          </w:tcPr>
          <w:p w14:paraId="141CCC97">
            <w:pPr>
              <w:pStyle w:val="style4098"/>
              <w:jc w:val="left"/>
              <w:rPr/>
            </w:pPr>
            <w:r>
              <w:t>秒级×2</w:t>
            </w:r>
          </w:p>
        </w:tc>
        <w:tc>
          <w:tcPr>
            <w:tcW w:w="0" w:type="auto"/>
            <w:tcBorders/>
          </w:tcPr>
          <w:p w14:paraId="C86D8C00">
            <w:pPr>
              <w:pStyle w:val="style4098"/>
              <w:jc w:val="left"/>
              <w:rPr/>
            </w:pPr>
            <w:r>
              <w:t>开发测试 (暂用)</w:t>
            </w:r>
          </w:p>
        </w:tc>
      </w:tr>
      <w:tr w14:paraId="F6B6A651">
        <w:tblPrEx/>
        <w:trPr/>
        <w:tc>
          <w:tcPr>
            <w:tcW w:w="0" w:type="auto"/>
            <w:tcBorders/>
          </w:tcPr>
          <w:p w14:paraId="FE88A7F8">
            <w:pPr>
              <w:pStyle w:val="style4098"/>
              <w:jc w:val="left"/>
              <w:rPr/>
            </w:pPr>
            <w:r>
              <w:t>MSHV 加速器</w:t>
            </w:r>
          </w:p>
        </w:tc>
        <w:tc>
          <w:tcPr>
            <w:tcW w:w="0" w:type="auto"/>
            <w:tcBorders/>
          </w:tcPr>
          <w:p w14:paraId="E70A7005">
            <w:pPr>
              <w:pStyle w:val="style4098"/>
              <w:jc w:val="left"/>
              <w:rPr/>
            </w:pPr>
            <w:r>
              <w:t>5–10%</w:t>
            </w:r>
            <w:r>
              <w:t xml:space="preserve"> </w:t>
            </w:r>
            <w:r>
              <w:rPr/>
              <w:fldChar w:fldCharType="begin"/>
            </w:r>
            <w:r>
              <w:instrText>NOTEREF _Ref_Footnote_48 \h \f</w:instrText>
            </w:r>
            <w:r>
              <w:rPr/>
              <w:fldChar w:fldCharType="separate"/>
            </w:r>
            <w:r>
              <w:rPr>
                <w:vertAlign w:val="superscript"/>
              </w:rPr>
              <w:t>48</w:t>
            </w:r>
            <w:r>
              <w:rPr/>
              <w:fldChar w:fldCharType="end"/>
            </w:r>
          </w:p>
        </w:tc>
        <w:tc>
          <w:tcPr>
            <w:tcW w:w="0" w:type="auto"/>
            <w:tcBorders/>
          </w:tcPr>
          <w:p w14:paraId="4E93F632">
            <w:pPr>
              <w:pStyle w:val="style4098"/>
              <w:jc w:val="left"/>
              <w:rPr/>
            </w:pPr>
            <w:r>
              <w:t>5–10%</w:t>
            </w:r>
          </w:p>
        </w:tc>
        <w:tc>
          <w:tcPr>
            <w:tcW w:w="0" w:type="auto"/>
            <w:tcBorders/>
          </w:tcPr>
          <w:p w14:paraId="9A097E01">
            <w:pPr>
              <w:pStyle w:val="style4098"/>
              <w:jc w:val="left"/>
              <w:rPr/>
            </w:pPr>
            <w:r>
              <w:t>5–15%</w:t>
            </w:r>
          </w:p>
        </w:tc>
        <w:tc>
          <w:tcPr>
            <w:tcW w:w="0" w:type="auto"/>
            <w:tcBorders/>
          </w:tcPr>
          <w:p w14:paraId="CD934D59">
            <w:pPr>
              <w:pStyle w:val="style4098"/>
              <w:jc w:val="left"/>
              <w:rPr/>
            </w:pPr>
            <w:r>
              <w:t>5–15%</w:t>
            </w:r>
          </w:p>
        </w:tc>
        <w:tc>
          <w:tcPr>
            <w:tcW w:w="0" w:type="auto"/>
            <w:tcBorders/>
          </w:tcPr>
          <w:p w14:paraId="9827BF3A">
            <w:pPr>
              <w:pStyle w:val="style4098"/>
              <w:jc w:val="left"/>
              <w:rPr/>
            </w:pPr>
            <w:r>
              <w:t>亚秒级</w:t>
            </w:r>
          </w:p>
        </w:tc>
        <w:tc>
          <w:tcPr>
            <w:tcW w:w="0" w:type="auto"/>
            <w:tcBorders/>
          </w:tcPr>
          <w:p w14:paraId="E50F42A1">
            <w:pPr>
              <w:pStyle w:val="style4098"/>
              <w:jc w:val="left"/>
              <w:rPr/>
            </w:pPr>
            <w:r>
              <w:t>Windows 混合云 (中期)</w:t>
            </w:r>
          </w:p>
        </w:tc>
      </w:tr>
      <w:tr w14:paraId="DB543C30">
        <w:tblPrEx/>
        <w:trPr/>
        <w:tc>
          <w:tcPr>
            <w:tcW w:w="0" w:type="auto"/>
            <w:tcBorders/>
          </w:tcPr>
          <w:p w14:paraId="59BD0147">
            <w:pPr>
              <w:pStyle w:val="style4098"/>
              <w:jc w:val="left"/>
              <w:rPr/>
            </w:pPr>
            <w:r>
              <w:t>容器 (runc)</w:t>
            </w:r>
          </w:p>
        </w:tc>
        <w:tc>
          <w:tcPr>
            <w:tcW w:w="0" w:type="auto"/>
            <w:tcBorders/>
          </w:tcPr>
          <w:p w14:paraId="59926F50">
            <w:pPr>
              <w:pStyle w:val="style4098"/>
              <w:jc w:val="left"/>
              <w:rPr/>
            </w:pPr>
            <w:r>
              <w:t>&lt;2%</w:t>
            </w:r>
            <w:r>
              <w:t xml:space="preserve"> </w:t>
            </w:r>
            <w:r>
              <w:rPr>
                <w:vertAlign w:val="superscript"/>
              </w:rPr>
              <w:footnoteReference w:id="74"/>
            </w:r>
          </w:p>
        </w:tc>
        <w:tc>
          <w:tcPr>
            <w:tcW w:w="0" w:type="auto"/>
            <w:tcBorders/>
          </w:tcPr>
          <w:p w14:paraId="FE5DA180">
            <w:pPr>
              <w:pStyle w:val="style4098"/>
              <w:jc w:val="left"/>
              <w:rPr/>
            </w:pPr>
            <w:r>
              <w:t>&lt;2%</w:t>
            </w:r>
          </w:p>
        </w:tc>
        <w:tc>
          <w:tcPr>
            <w:tcW w:w="0" w:type="auto"/>
            <w:tcBorders/>
          </w:tcPr>
          <w:p w14:paraId="3A36A3CF">
            <w:pPr>
              <w:pStyle w:val="style4098"/>
              <w:jc w:val="left"/>
              <w:rPr/>
            </w:pPr>
            <w:r>
              <w:t>&lt;4% (吞吐)</w:t>
            </w:r>
          </w:p>
        </w:tc>
        <w:tc>
          <w:tcPr>
            <w:tcW w:w="0" w:type="auto"/>
            <w:tcBorders/>
          </w:tcPr>
          <w:p w14:paraId="1C6436D5">
            <w:pPr>
              <w:pStyle w:val="style4098"/>
              <w:jc w:val="left"/>
              <w:rPr/>
            </w:pPr>
            <w:r>
              <w:t>&lt;4%</w:t>
            </w:r>
          </w:p>
        </w:tc>
        <w:tc>
          <w:tcPr>
            <w:tcW w:w="0" w:type="auto"/>
            <w:tcBorders/>
          </w:tcPr>
          <w:p w14:paraId="4776E00E">
            <w:pPr>
              <w:pStyle w:val="style4098"/>
              <w:jc w:val="left"/>
              <w:rPr/>
            </w:pPr>
            <w:r>
              <w:t>~200ms</w:t>
            </w:r>
          </w:p>
        </w:tc>
        <w:tc>
          <w:tcPr>
            <w:tcW w:w="0" w:type="auto"/>
            <w:tcBorders/>
          </w:tcPr>
          <w:p w14:paraId="30CF6451">
            <w:pPr>
              <w:pStyle w:val="style4098"/>
              <w:jc w:val="left"/>
              <w:rPr/>
            </w:pPr>
            <w:r>
              <w:t>可信内部应用</w:t>
            </w:r>
          </w:p>
        </w:tc>
      </w:tr>
    </w:tbl>
    <w:p w14:paraId="C641D6F8">
      <w:pPr>
        <w:pStyle w:val="style66"/>
        <w:rPr/>
      </w:pPr>
      <w:r>
        <w:t>上表汇总了 CubeSandbox 架构涉及的六种虚拟化技术的性能基线数据。数据来源包括：2024 年 ScienceDirect 学术研究（KVM vs Hyper-V 加密任务对比，KVM 快 10.5%、CPU 使用率低 10.2%）</w:t>
      </w:r>
      <w:r>
        <w:rPr>
          <w:vertAlign w:val="superscript"/>
        </w:rPr>
        <w:footnoteReference w:id="75"/>
      </w:r>
      <w:r>
        <w:t>；StorageReview 2024 年综合基准测试（Hyper-V 最坏情况平均表现 92.34%，ESXi 96.4%，KVM on RHEL 79.55%）</w:t>
      </w:r>
      <w:r>
        <w:rPr>
          <w:vertAlign w:val="superscript"/>
        </w:rPr>
        <w:footnoteReference w:id="76"/>
      </w:r>
      <w:r>
        <w:t>；以及用户实测嵌套虚拟化数据（KVM on Hyper-V ~10–15% 额外开销）</w:t>
      </w:r>
      <w:r>
        <w:rPr/>
        <w:fldChar w:fldCharType="begin"/>
      </w:r>
      <w:r>
        <w:instrText>NOTEREF _Ref_Footnote_73 \h \f</w:instrText>
      </w:r>
      <w:r>
        <w:rPr/>
        <w:fldChar w:fldCharType="separate"/>
      </w:r>
      <w:r>
        <w:rPr>
          <w:vertAlign w:val="superscript"/>
        </w:rPr>
        <w:t>73</w:t>
      </w:r>
      <w:r>
        <w:rPr/>
        <w:fldChar w:fldCharType="end"/>
      </w:r>
      <w:r>
        <w:t>。</w:t>
      </w:r>
    </w:p>
    <w:p w14:paraId="F3BFC478">
      <w:pPr>
        <w:pStyle w:val="style66"/>
        <w:rPr/>
      </w:pPr>
      <w:r>
        <w:t>关键发现有两个。第一，KVM 在 Linux 工作负载上系统性地优于 Hyper-V：ScienceDirect 研究显示 KVM 在加密任务上整体优于 Hyper-V 12.95%（时间维度）和 12.2%（CPU 使用维度）</w:t>
      </w:r>
      <w:r>
        <w:rPr/>
        <w:fldChar w:fldCharType="begin"/>
      </w:r>
      <w:r>
        <w:instrText>NOTEREF _Ref_Footnote_75 \h \f</w:instrText>
      </w:r>
      <w:r>
        <w:rPr/>
        <w:fldChar w:fldCharType="separate"/>
      </w:r>
      <w:r>
        <w:rPr>
          <w:vertAlign w:val="superscript"/>
        </w:rPr>
        <w:t>75</w:t>
      </w:r>
      <w:r>
        <w:rPr/>
        <w:fldChar w:fldCharType="end"/>
      </w:r>
      <w:r>
        <w:t>，差异根源于 KVM 与 Linux 内核的深度集成和更轻量的调度路径。第二，嵌套虚拟化的开销呈乘法效应而非加法效应——CPU、内存、I/O 三个维度的开销相互放大，使得嵌套场景的总性能损失可达 25–40%。这正是 MSHV 加速器的价值所在：通过 Direct Virtualization 将嵌套开销压缩至与单层虚拟化同一量级。</w:t>
      </w:r>
    </w:p>
    <w:bookmarkStart w:id="41" w:name="嵌套虚拟化优化eptvpid-配置策略"/>
    <w:bookmarkEnd w:id="40"/>
    <w:p w14:paraId="770546F8">
      <w:pPr>
        <w:pStyle w:val="style4104"/>
        <w:rPr/>
      </w:pPr>
      <w:r>
        <w:t>2.4.2 嵌套虚拟化优化：EPT+VPID 配置策略</w:t>
      </w:r>
    </w:p>
    <w:p w14:paraId="38BDFBCD">
      <w:pPr>
        <w:pStyle w:val="style4097"/>
        <w:rPr/>
      </w:pPr>
      <w:r>
        <w:t>嵌套虚拟化性能可通过硬件辅助特性显著优化。EPT（Extended Page Table，Intel）或 NPT（Nested Page Table，AMD）提供硬件直接实现的两级地址转换，减少 VM Exit 次数；VPID（Virtual Processor Identifier，Intel）或 ASID（Address Space Identifier，AMD）为每个虚拟 CPU 分配唯一标识符，避免切换 VM 时刷新 TLB</w:t>
      </w:r>
      <w:r>
        <w:rPr>
          <w:vertAlign w:val="superscript"/>
        </w:rPr>
        <w:footnoteReference w:id="77"/>
      </w:r>
      <w:r>
        <w:t>。</w:t>
      </w:r>
    </w:p>
    <w:p w14:paraId="F202BBE4">
      <w:pPr>
        <w:pStyle w:val="style66"/>
        <w:rPr/>
      </w:pPr>
      <w:r>
        <w:t>在 CubeSandbox 的 Phase 1（嵌套虚拟化）场景中，EPT+VPID 的启用策略如下。宿主机 BIOS 需启用 Intel VT-x + EPT + VPID（或 AMD-V + RVI + ASID），该配置在 2011 年后的 x86 服务器 CPU 上为默认启用状态，但需在部署脚本中显式验证。Hyper-V 层通过</w:t>
      </w:r>
      <w:r>
        <w:t xml:space="preserve"> </w:t>
      </w:r>
      <w:r>
        <w:rPr>
          <w:rStyle w:val="style4120"/>
        </w:rPr>
        <w:t>Set-VMProcessor -ExposeVirtualizationExtensions $true</w:t>
      </w:r>
      <w:r>
        <w:t xml:space="preserve"> </w:t>
      </w:r>
      <w:r>
        <w:t>将虚拟化扩展暴露给 L1 Linux VM</w:t>
      </w:r>
      <w:r>
        <w:rPr/>
        <w:fldChar w:fldCharType="begin"/>
      </w:r>
      <w:r>
        <w:instrText>NOTEREF _Ref_Footnote_64 \h \f</w:instrText>
      </w:r>
      <w:r>
        <w:rPr/>
        <w:fldChar w:fldCharType="separate"/>
      </w:r>
      <w:r>
        <w:rPr>
          <w:vertAlign w:val="superscript"/>
        </w:rPr>
        <w:t>64</w:t>
      </w:r>
      <w:r>
        <w:rPr/>
        <w:fldChar w:fldCharType="end"/>
      </w:r>
      <w:r>
        <w:t>。L1 Linux 内核加载</w:t>
      </w:r>
      <w:r>
        <w:t xml:space="preserve"> </w:t>
      </w:r>
      <w:r>
        <w:rPr>
          <w:rStyle w:val="style4120"/>
        </w:rPr>
        <w:t>kvm_intel</w:t>
      </w:r>
      <w:r>
        <w:t xml:space="preserve"> </w:t>
      </w:r>
      <w:r>
        <w:t>模块时设置</w:t>
      </w:r>
      <w:r>
        <w:t xml:space="preserve"> </w:t>
      </w:r>
      <w:r>
        <w:rPr>
          <w:rStyle w:val="style4120"/>
        </w:rPr>
        <w:t>nested=1</w:t>
      </w:r>
      <w:r>
        <w:t xml:space="preserve"> </w:t>
      </w:r>
      <w:r>
        <w:t>参数（</w:t>
      </w:r>
      <w:r>
        <w:rPr>
          <w:rStyle w:val="style4120"/>
        </w:rPr>
        <w:t>modprobe kvm_intel nested=1</w:t>
      </w:r>
      <w:r>
        <w:t>），验证命令为</w:t>
      </w:r>
      <w:r>
        <w:t xml:space="preserve"> </w:t>
      </w:r>
      <w:r>
        <w:rPr>
          <w:rStyle w:val="style4120"/>
        </w:rPr>
        <w:t>cat /sys/module/kvm_intel/parameters/nested</w:t>
      </w:r>
      <w:r>
        <w:t>（应输出</w:t>
      </w:r>
      <w:r>
        <w:t xml:space="preserve"> </w:t>
      </w:r>
      <w:r>
        <w:rPr>
          <w:rStyle w:val="style4120"/>
        </w:rPr>
        <w:t>Y</w:t>
      </w:r>
      <w:r>
        <w:t>）</w:t>
      </w:r>
      <w:r>
        <w:rPr/>
        <w:fldChar w:fldCharType="begin"/>
      </w:r>
      <w:r>
        <w:instrText>NOTEREF _Ref_Footnote_66 \h \f</w:instrText>
      </w:r>
      <w:r>
        <w:rPr/>
        <w:fldChar w:fldCharType="separate"/>
      </w:r>
      <w:r>
        <w:rPr>
          <w:vertAlign w:val="superscript"/>
        </w:rPr>
        <w:t>66</w:t>
      </w:r>
      <w:r>
        <w:rPr/>
        <w:fldChar w:fldCharType="end"/>
      </w:r>
      <w:r>
        <w:t xml:space="preserve"> </w:t>
      </w:r>
      <w:r>
        <w:rPr>
          <w:vertAlign w:val="superscript"/>
        </w:rPr>
        <w:footnoteReference w:id="78"/>
      </w:r>
      <w:r>
        <w:t>。</w:t>
      </w:r>
    </w:p>
    <w:p w14:paraId="7BC99F93">
      <w:pPr>
        <w:pStyle w:val="style66"/>
        <w:rPr/>
      </w:pPr>
      <w:r>
        <w:t>优化效果通过学术基准测试量化验证：启用 EPT+VPID 后，嵌套虚拟化内存带宽从 18.2 GB/s 提升至 34.7 GB/s（+90.7%），每秒 VM Exit 次数从 1,245,321 降至 145,892（−88.3%），启动 10 个嵌套 VM 的耗时从 247 秒降至 89 秒（−64.0%）</w:t>
      </w:r>
      <w:r>
        <w:rPr/>
        <w:fldChar w:fldCharType="begin"/>
      </w:r>
      <w:r>
        <w:instrText>NOTEREF _Ref_Footnote_77 \h \f</w:instrText>
      </w:r>
      <w:r>
        <w:rPr/>
        <w:fldChar w:fldCharType="separate"/>
      </w:r>
      <w:r>
        <w:rPr>
          <w:vertAlign w:val="superscript"/>
        </w:rPr>
        <w:t>77</w:t>
      </w:r>
      <w:r>
        <w:rPr/>
        <w:fldChar w:fldCharType="end"/>
      </w:r>
      <w:r>
        <w:t>。这些数据表明 EPT+VPID 不是”可选优化”而是” mandatory 配置”——未启用 EPT+VPID 的嵌套虚拟化性能损失接近不可接受。</w:t>
      </w:r>
    </w:p>
    <w:bookmarkStart w:id="42" w:name="资源池预置机制"/>
    <w:bookmarkEnd w:id="41"/>
    <w:p w14:paraId="0444EB06">
      <w:pPr>
        <w:pStyle w:val="style4104"/>
        <w:rPr/>
      </w:pPr>
      <w:r>
        <w:t>2.4.3 资源池预置机制</w:t>
      </w:r>
    </w:p>
    <w:p w14:paraId="2B2DB3E7">
      <w:pPr>
        <w:pStyle w:val="style4097"/>
        <w:rPr/>
      </w:pPr>
      <w:r>
        <w:t>CubeSandbox 的 &lt;60ms 冷启动不是通过优化 VM 启动代码实现的，而是通过将运行时初始化过程从”请求时串行”转变为”后台并行预置”</w:t>
      </w:r>
      <w:r>
        <w:rPr/>
        <w:fldChar w:fldCharType="begin"/>
      </w:r>
      <w:r>
        <w:instrText>NOTEREF _Ref_Footnote_11 \h \f</w:instrText>
      </w:r>
      <w:r>
        <w:rPr/>
        <w:fldChar w:fldCharType="separate"/>
      </w:r>
      <w:r>
        <w:rPr>
          <w:vertAlign w:val="superscript"/>
        </w:rPr>
        <w:t>11</w:t>
      </w:r>
      <w:r>
        <w:rPr/>
        <w:fldChar w:fldCharType="end"/>
      </w:r>
      <w:r>
        <w:t>。该机制遵循模板的三级生命周期</w:t>
      </w:r>
      <w:r>
        <w:rPr>
          <w:vertAlign w:val="superscript"/>
        </w:rPr>
        <w:footnoteReference w:id="79"/>
      </w:r>
      <w:r>
        <w:t>。</w:t>
      </w:r>
    </w:p>
    <w:p w14:paraId="5EC64710">
      <w:pPr>
        <w:pStyle w:val="style66"/>
        <w:rPr/>
      </w:pPr>
      <w:r>
        <w:rPr>
          <w:b/>
          <w:bCs/>
        </w:rPr>
        <w:t>Init 阶段</w:t>
      </w:r>
      <w:r>
        <w:t>：基于基础镜像和 Dockerfile，使用 Buildkit 打包 rootfs。该阶段在后台离线执行，产出预配置的 rootfs 镜像。</w:t>
      </w:r>
      <w:r>
        <w:rPr>
          <w:b/>
          <w:bCs/>
        </w:rPr>
        <w:t>Boot &amp; Snapshot 阶段</w:t>
      </w:r>
      <w:r>
        <w:t>：在 MicroVM 中冷启动实例，完成内核初始化、init 进程启动、agent 就绪等全部启动序列，然后对运行中的 VM 执行快照（snapshot）。快照捕获 VM 的完整内存状态、CPU 寄存器和设备配置。该阶段将”串行启动”转换为”并行可复用的启动结果”。</w:t>
      </w:r>
      <w:r>
        <w:rPr>
          <w:b/>
          <w:bCs/>
        </w:rPr>
        <w:t>Deploy 阶段</w:t>
      </w:r>
      <w:r>
        <w:t>：将快照注册为可用模板，进入资源池管理。当沙箱创建请求到达时，Cubelet 执行 O(1) 查表定位可用预分配实例，通过 CoW（Copy-on-Write）克隆快照（仅复制元数据，实际内存页在首次写入时才真正拷贝），配置网络（eBPF 程序预注入），挂载文件系统（virtiofs），完成沙箱就绪</w:t>
      </w:r>
      <w:r>
        <w:rPr/>
        <w:fldChar w:fldCharType="begin"/>
      </w:r>
      <w:r>
        <w:instrText>NOTEREF _Ref_Footnote_3 \h \f</w:instrText>
      </w:r>
      <w:r>
        <w:rPr/>
        <w:fldChar w:fldCharType="separate"/>
      </w:r>
      <w:r>
        <w:rPr>
          <w:vertAlign w:val="superscript"/>
        </w:rPr>
        <w:t>3</w:t>
      </w:r>
      <w:r>
        <w:rPr/>
        <w:fldChar w:fldCharType="end"/>
      </w:r>
      <w:r>
        <w:t xml:space="preserve"> </w:t>
      </w:r>
      <w:r>
        <w:rPr/>
        <w:fldChar w:fldCharType="begin"/>
      </w:r>
      <w:r>
        <w:instrText>NOTEREF _Ref_Footnote_4 \h \f</w:instrText>
      </w:r>
      <w:r>
        <w:rPr/>
        <w:fldChar w:fldCharType="separate"/>
      </w:r>
      <w:r>
        <w:rPr>
          <w:vertAlign w:val="superscript"/>
        </w:rPr>
        <w:t>4</w:t>
      </w:r>
      <w:r>
        <w:rPr/>
        <w:fldChar w:fldCharType="end"/>
      </w:r>
      <w:r>
        <w:t>。</w:t>
      </w:r>
    </w:p>
    <w:p w14:paraId="2E10E8E9">
      <w:pPr>
        <w:pStyle w:val="style66"/>
        <w:rPr/>
      </w:pPr>
      <w:r>
        <w:t>预置池的管理策略包含三个关键参数。</w:t>
      </w:r>
      <w:r>
        <w:rPr>
          <w:b/>
          <w:bCs/>
        </w:rPr>
        <w:t>池大小（Pool Size）</w:t>
      </w:r>
      <w:r>
        <w:t>：根据历史请求模式的 P95 并发度确定预置实例数量，确保 95% 的请求可命中预置池（O(1) 查表），仅 5% 的尾部请求触发冷启动降级路径。</w:t>
      </w:r>
      <w:r>
        <w:rPr>
          <w:b/>
          <w:bCs/>
        </w:rPr>
        <w:t>回收策略</w:t>
      </w:r>
      <w:r>
        <w:t>：长时间未使用的预置实例进入”冻结”状态（释放物理内存但保留磁盘快照），请求到达时快速恢复。</w:t>
      </w:r>
      <w:r>
        <w:rPr>
          <w:b/>
          <w:bCs/>
        </w:rPr>
        <w:t>CoW 去重监控</w:t>
      </w:r>
      <w:r>
        <w:t>：跟踪预置池的内存共享效率，当多个沙箱实例共享同一模板物理页时，实际内存开销趋近于单实例的 &lt;5MB 增量</w:t>
      </w:r>
      <w:r>
        <w:rPr/>
        <w:fldChar w:fldCharType="begin"/>
      </w:r>
      <w:r>
        <w:instrText>NOTEREF _Ref_Footnote_55 \h \f</w:instrText>
      </w:r>
      <w:r>
        <w:rPr/>
        <w:fldChar w:fldCharType="separate"/>
      </w:r>
      <w:r>
        <w:rPr>
          <w:vertAlign w:val="superscript"/>
        </w:rPr>
        <w:t>55</w:t>
      </w:r>
      <w:r>
        <w:rPr/>
        <w:fldChar w:fldCharType="end"/>
      </w:r>
      <w:r>
        <w:t>。腾讯云生产环境数据表明，在 AI Agent 场景下（相似工作负载模式），CoW 共享率可达 85% 以上</w:t>
      </w:r>
      <w:r>
        <w:rPr/>
        <w:fldChar w:fldCharType="begin"/>
      </w:r>
      <w:r>
        <w:instrText>NOTEREF _Ref_Footnote_11 \h \f</w:instrText>
      </w:r>
      <w:r>
        <w:rPr/>
        <w:fldChar w:fldCharType="separate"/>
      </w:r>
      <w:r>
        <w:rPr>
          <w:vertAlign w:val="superscript"/>
        </w:rPr>
        <w:t>11</w:t>
      </w:r>
      <w:r>
        <w:rPr/>
        <w:fldChar w:fldCharType="end"/>
      </w:r>
      <w:r>
        <w:t>。</w:t>
      </w:r>
    </w:p>
    <w:p w14:paraId="6BDC0895">
      <w:pPr>
        <w:pStyle w:val="style66"/>
        <w:rPr/>
      </w:pPr>
      <w:r>
        <w:t>预置化机制是三运行时架构的共同性能范式：CubeSandbox 通过资源池预置 + CoW 快照实现 &lt;60ms 启动</w:t>
      </w:r>
      <w:r>
        <w:rPr/>
        <w:fldChar w:fldCharType="begin"/>
      </w:r>
      <w:r>
        <w:instrText>NOTEREF _Ref_Footnote_4 \h \f</w:instrText>
      </w:r>
      <w:r>
        <w:rPr/>
        <w:fldChar w:fldCharType="separate"/>
      </w:r>
      <w:r>
        <w:rPr>
          <w:vertAlign w:val="superscript"/>
        </w:rPr>
        <w:t>4</w:t>
      </w:r>
      <w:r>
        <w:rPr/>
        <w:fldChar w:fldCharType="end"/>
      </w:r>
      <w:r>
        <w:t>，Kata Containers 通过 VM Templating 实现 150–300ms 启动</w:t>
      </w:r>
      <w:r>
        <w:rPr>
          <w:vertAlign w:val="superscript"/>
        </w:rPr>
        <w:footnoteReference w:id="80"/>
      </w:r>
      <w:r>
        <w:t>，阿里云的 RunD 通过”预修补进程”实现 88ms 启动和单节点 2,500+ 容器</w:t>
      </w:r>
      <w:r>
        <w:rPr/>
        <w:fldChar w:fldCharType="begin"/>
      </w:r>
      <w:r>
        <w:instrText>NOTEREF _Ref_Footnote_23 \h \f</w:instrText>
      </w:r>
      <w:r>
        <w:rPr/>
        <w:fldChar w:fldCharType="separate"/>
      </w:r>
      <w:r>
        <w:rPr>
          <w:vertAlign w:val="superscript"/>
        </w:rPr>
        <w:t>23</w:t>
      </w:r>
      <w:r>
        <w:rPr/>
        <w:fldChar w:fldCharType="end"/>
      </w:r>
      <w:r>
        <w:t>。三者不约而同采用”预置+CoW”模式，表明该范式具有普适性——在虚拟化场景中，</w:t>
      </w:r>
      <w:r>
        <w:t>“</w:t>
      </w:r>
      <w:r>
        <w:t>创建</w:t>
      </w:r>
      <w:r>
        <w:t>”</w:t>
      </w:r>
      <w:r>
        <w:t>操作的瓶颈不是计算而是初始化序列；通过将初始化序列并行化到后台，创建操作可简化为资源拼装。CubeSandbox 的设计将预置化作为第一性原则而非优化手段，所有资源（VM 快照、网络策略、文件系统挂载点）均遵循 Init → Boot/Snapshot → Deploy 的三级生命周期管理。</w:t>
      </w:r>
    </w:p>
    <w:p w14:paraId="F6D8E476">
      <w:pPr>
        <w:pStyle w:val="style0"/>
        <w:rPr/>
      </w:pPr>
      <w:r>
        <w:rPr/>
        <w:pict>
          <v:rect id="1032" stroked="t" style="margin-left:0.0pt;margin-top:0.0pt;width:0.0pt;height:1.5pt;mso-wrap-distance-left:0.0pt;mso-wrap-distance-right:0.0pt;visibility:visible;" o:hr="t" o:hralign="center" o:hrstd="t">
            <v:fill/>
          </v:rect>
        </w:pict>
      </w:r>
    </w:p>
    <w:bookmarkStart w:id="43" w:name="容器运行时设计"/>
    <w:bookmarkEnd w:id="42"/>
    <w:bookmarkEnd w:id="39"/>
    <w:bookmarkEnd w:id="24"/>
    <w:p w14:paraId="77E91AD9">
      <w:pPr>
        <w:pStyle w:val="style4102"/>
        <w:rPr/>
      </w:pPr>
      <w:r>
        <w:t>3. 容器运行时设计</w:t>
      </w:r>
    </w:p>
    <w:p w14:paraId="AC2FE779">
      <w:pPr>
        <w:pStyle w:val="style4097"/>
        <w:rPr/>
      </w:pPr>
      <w:r>
        <w:t>容器运行时（Container Runtime）是负责创建、执行和管理容器化工作负载的底层软件组件。在混合虚拟化平台中，运行时的选型与集成策略直接决定了系统承载的工作负载类型、安全隔离强度与资源利用效率。本章围绕 CubeSandbox、Kata Containers 与 Incus 三个运行时的集成方案展开设计，建立从 AI Agent 沙箱到系统容器、再到完整虚拟机的全谱系运行时覆盖体系。</w:t>
      </w:r>
    </w:p>
    <w:bookmarkStart w:id="44" w:name="cubesandbox-运行时集成"/>
    <w:p w14:paraId="9046F95E">
      <w:pPr>
        <w:pStyle w:val="style4103"/>
        <w:rPr/>
      </w:pPr>
      <w:r>
        <w:t>3.1 CubeSandbox 运行时集成</w:t>
      </w:r>
    </w:p>
    <w:bookmarkStart w:id="45" w:name="cubesandbox-架构接入"/>
    <w:p w14:paraId="566D776E">
      <w:pPr>
        <w:pStyle w:val="style4104"/>
        <w:rPr/>
      </w:pPr>
      <w:r>
        <w:t>3.1.1 CubeSandbox 架构接入</w:t>
      </w:r>
    </w:p>
    <w:p w14:paraId="DFDD619E">
      <w:pPr>
        <w:pStyle w:val="style4097"/>
        <w:rPr/>
      </w:pPr>
      <w:r>
        <w:t>CubeSandbox 是腾讯云开源的面向 AI Agent 场景的高性能安全沙箱，基于 RustVMM + KVM 构建，采用六层分层架构</w:t>
      </w:r>
      <w:r>
        <w:t xml:space="preserve"> </w:t>
      </w:r>
      <w:r>
        <w:rPr/>
        <w:fldChar w:fldCharType="begin"/>
      </w:r>
      <w:r>
        <w:instrText>NOTEREF _Ref_Footnote_14 \h \f</w:instrText>
      </w:r>
      <w:r>
        <w:rPr/>
        <w:fldChar w:fldCharType="separate"/>
      </w:r>
      <w:r>
        <w:rPr>
          <w:vertAlign w:val="superscript"/>
        </w:rPr>
        <w:t>14</w:t>
      </w:r>
      <w:r>
        <w:rPr/>
        <w:fldChar w:fldCharType="end"/>
      </w:r>
      <w:r>
        <w:t>。其设计目标聚焦于”AI Agent 代码执行”场景，通过激进的架构裁剪和资源池预置，在冷启动延迟和内存密度两个维度实现了业界领先的性能指标。</w:t>
      </w:r>
    </w:p>
    <w:p w14:paraId="84042890">
      <w:pPr>
        <w:pStyle w:val="style66"/>
        <w:rPr/>
      </w:pPr>
      <w:r>
        <w:t>完整的调用链路自上而下依次为：客户端通过 E2B SDK 兼容的 API 发起请求，由 CubeAPI（Rust/Axum 实现的 REST API 网关）接收并解析</w:t>
      </w:r>
      <w:r>
        <w:t xml:space="preserve"> </w:t>
      </w:r>
      <w:r>
        <w:rPr/>
        <w:fldChar w:fldCharType="begin"/>
      </w:r>
      <w:r>
        <w:instrText>NOTEREF _Ref_Footnote_3 \h \f</w:instrText>
      </w:r>
      <w:r>
        <w:rPr/>
        <w:fldChar w:fldCharType="separate"/>
      </w:r>
      <w:r>
        <w:rPr>
          <w:vertAlign w:val="superscript"/>
        </w:rPr>
        <w:t>3</w:t>
      </w:r>
      <w:r>
        <w:rPr/>
        <w:fldChar w:fldCharType="end"/>
      </w:r>
      <w:r>
        <w:t>；请求进入 CubeMaster（Go 实现的集群调度器），负责全局资源视图维护与节点选择，状态持久化依赖 MySQL 与 Redis 缓存</w:t>
      </w:r>
      <w:r>
        <w:t xml:space="preserve"> </w:t>
      </w:r>
      <w:r>
        <w:rPr>
          <w:vertAlign w:val="superscript"/>
        </w:rPr>
        <w:footnoteReference w:id="81"/>
      </w:r>
      <w:r>
        <w:t>；目标节点上的 Cubelet（Go 实现的节点本地调度器）管理沙箱完整生命周期</w:t>
      </w:r>
      <w:r>
        <w:t xml:space="preserve"> </w:t>
      </w:r>
      <w:r>
        <w:rPr/>
        <w:fldChar w:fldCharType="begin"/>
      </w:r>
      <w:r>
        <w:instrText>NOTEREF _Ref_Footnote_11 \h \f</w:instrText>
      </w:r>
      <w:r>
        <w:rPr/>
        <w:fldChar w:fldCharType="separate"/>
      </w:r>
      <w:r>
        <w:rPr>
          <w:vertAlign w:val="superscript"/>
        </w:rPr>
        <w:t>11</w:t>
      </w:r>
      <w:r>
        <w:rPr/>
        <w:fldChar w:fldCharType="end"/>
      </w:r>
      <w:r>
        <w:t>；最终 CubeHypervisor 与 CubeShim 协同完成 MicroVM 创建与容器工作负载启动</w:t>
      </w:r>
      <w:r>
        <w:t xml:space="preserve"> </w:t>
      </w:r>
      <w:r>
        <w:rPr/>
        <w:fldChar w:fldCharType="begin"/>
      </w:r>
      <w:r>
        <w:instrText>NOTEREF _Ref_Footnote_8 \h \f</w:instrText>
      </w:r>
      <w:r>
        <w:rPr/>
        <w:fldChar w:fldCharType="separate"/>
      </w:r>
      <w:r>
        <w:rPr>
          <w:vertAlign w:val="superscript"/>
        </w:rPr>
        <w:t>8</w:t>
      </w:r>
      <w:r>
        <w:rPr/>
        <w:fldChar w:fldCharType="end"/>
      </w:r>
      <w:r>
        <w:t>。</w:t>
      </w:r>
    </w:p>
    <w:p w14:paraId="0CAE1CB0">
      <w:pPr>
        <w:pStyle w:val="style4118"/>
        <w:rPr/>
      </w:pPr>
      <w:r>
        <w:rPr/>
        <w:drawing>
          <wp:inline distL="0" distT="0" distB="0" distR="0">
            <wp:extent cx="5334000" cy="3534280"/>
            <wp:effectExtent l="0" t="0" r="0" b="0"/>
            <wp:docPr id="1033" name="Picture" descr="CubeSandbox Runtime Call Chain Archite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pic:cNvPicPr/>
                  </pic:nvPicPr>
                  <pic:blipFill>
                    <a:blip r:embed="rId6" cstate="print"/>
                    <a:srcRect l="0" t="0" r="0" b="0"/>
                    <a:stretch/>
                  </pic:blipFill>
                  <pic:spPr>
                    <a:xfrm rot="0">
                      <a:off x="0" y="0"/>
                      <a:ext cx="5334000" cy="3534280"/>
                    </a:xfrm>
                    <a:prstGeom prst="rect"/>
                    <a:ln>
                      <a:noFill/>
                    </a:ln>
                  </pic:spPr>
                </pic:pic>
              </a:graphicData>
            </a:graphic>
          </wp:inline>
        </w:drawing>
      </w:r>
    </w:p>
    <w:p w14:paraId="962EFDAA">
      <w:pPr>
        <w:pStyle w:val="style4116"/>
        <w:rPr/>
      </w:pPr>
      <w:r>
        <w:t>CubeSandbox Runtime Call Chain Architecture</w:t>
      </w:r>
    </w:p>
    <w:p w14:paraId="AB849747">
      <w:pPr>
        <w:pStyle w:val="style66"/>
        <w:rPr/>
      </w:pPr>
      <w:r>
        <w:t>CubeSandbox 的架构有意借鉴 Kubernetes 的 Master-Node 模式——CubeMaster 对应 kube-apiserver 与 scheduler，Cubelet 对应 kubelet——但系统不依赖 Kubernetes，支持单机一键安装</w:t>
      </w:r>
      <w:r>
        <w:t xml:space="preserve"> </w:t>
      </w:r>
      <w:r>
        <w:rPr/>
        <w:fldChar w:fldCharType="begin"/>
      </w:r>
      <w:r>
        <w:instrText>NOTEREF _Ref_Footnote_70 \h \f</w:instrText>
      </w:r>
      <w:r>
        <w:rPr/>
        <w:fldChar w:fldCharType="separate"/>
      </w:r>
      <w:r>
        <w:rPr>
          <w:vertAlign w:val="superscript"/>
        </w:rPr>
        <w:t>70</w:t>
      </w:r>
      <w:r>
        <w:rPr/>
        <w:fldChar w:fldCharType="end"/>
      </w:r>
      <w:r>
        <w:t>。这种”K8s 风格但独立于 K8s”的设计使得 CubeSandbox 既可作为独立沙箱平台部署，也可通过 CubeShim 接入 containerd 成为 Kubernetes 生态的一部分，在架构上提供了最大程度的部署灵活性。v0.2.0 版本还引入了 PVM（Pagetable-based Virtual Machine）部署模式，支持在无嵌套虚拟化的普通云服务器上运行，使用影子页表设计处理特权级切换和内存虚拟化，对宿主 hypervisor 完全透明</w:t>
      </w:r>
      <w:r>
        <w:t xml:space="preserve"> </w:t>
      </w:r>
      <w:r>
        <w:rPr/>
        <w:fldChar w:fldCharType="begin"/>
      </w:r>
      <w:r>
        <w:instrText>NOTEREF _Ref_Footnote_57 \h \f</w:instrText>
      </w:r>
      <w:r>
        <w:rPr/>
        <w:fldChar w:fldCharType="separate"/>
      </w:r>
      <w:r>
        <w:rPr>
          <w:vertAlign w:val="superscript"/>
        </w:rPr>
        <w:t>57</w:t>
      </w:r>
      <w:r>
        <w:rPr/>
        <w:fldChar w:fldCharType="end"/>
      </w:r>
      <w:r>
        <w:t>，进一步扩展了部署场景的覆盖范围。</w:t>
      </w:r>
    </w:p>
    <w:bookmarkStart w:id="46" w:name="cubeshim-与-containerd-集成"/>
    <w:bookmarkEnd w:id="45"/>
    <w:p w14:paraId="211C1C7F">
      <w:pPr>
        <w:pStyle w:val="style4104"/>
        <w:rPr/>
      </w:pPr>
      <w:r>
        <w:t>3.1.2 CubeShim 与 containerd 集成</w:t>
      </w:r>
    </w:p>
    <w:p w14:paraId="83E925FD">
      <w:pPr>
        <w:pStyle w:val="style4097"/>
        <w:rPr/>
      </w:pPr>
      <w:r>
        <w:t>CubeShim 使用</w:t>
      </w:r>
      <w:r>
        <w:t xml:space="preserve"> </w:t>
      </w:r>
      <w:r>
        <w:rPr>
          <w:rStyle w:val="style4120"/>
        </w:rPr>
        <w:t>containerd-shim-rs</w:t>
      </w:r>
      <w:r>
        <w:t xml:space="preserve"> </w:t>
      </w:r>
      <w:r>
        <w:t>crate 在 Rust 中实现了完整的 containerd Shim v2 API</w:t>
      </w:r>
      <w:r>
        <w:t xml:space="preserve"> </w:t>
      </w:r>
      <w:r>
        <w:rPr/>
        <w:fldChar w:fldCharType="begin"/>
      </w:r>
      <w:r>
        <w:instrText>NOTEREF _Ref_Footnote_8 \h \f</w:instrText>
      </w:r>
      <w:r>
        <w:rPr/>
        <w:fldChar w:fldCharType="separate"/>
      </w:r>
      <w:r>
        <w:rPr>
          <w:vertAlign w:val="superscript"/>
        </w:rPr>
        <w:t>8</w:t>
      </w:r>
      <w:r>
        <w:rPr/>
        <w:fldChar w:fldCharType="end"/>
      </w:r>
      <w:r>
        <w:t>。Shim v2 是 containerd 1.2+ 引入的运行时接口规范，核心目标是将容器生命周期管理从 containerd 主进程解耦，使每个 Pod 拥有独立的 shim 进程，实现运行时的独立升级与故障隔离。</w:t>
      </w:r>
    </w:p>
    <w:p w14:paraId="4BE14E30">
      <w:pPr>
        <w:pStyle w:val="style66"/>
        <w:rPr/>
      </w:pPr>
      <w:r>
        <w:t>通信链路的完整路径为：containerd 通过 Shim v2 API 调用 CubeShim，CubeShim 再通过 ttrpc（tiny RPC，containerd 专为进程间通信设计的轻量级协议）over vsock 与 VM 内的 cube-agent 通信，最终由 cube-agent 在 MicroVM 内部执行容器操作</w:t>
      </w:r>
      <w:r>
        <w:t xml:space="preserve"> </w:t>
      </w:r>
      <w:r>
        <w:rPr/>
        <w:fldChar w:fldCharType="begin"/>
      </w:r>
      <w:r>
        <w:instrText>NOTEREF _Ref_Footnote_8 \h \f</w:instrText>
      </w:r>
      <w:r>
        <w:rPr/>
        <w:fldChar w:fldCharType="separate"/>
      </w:r>
      <w:r>
        <w:rPr>
          <w:vertAlign w:val="superscript"/>
        </w:rPr>
        <w:t>8</w:t>
      </w:r>
      <w:r>
        <w:rPr/>
        <w:fldChar w:fldCharType="end"/>
      </w:r>
      <w:r>
        <w:t>。这一模型与 Kata Containers 的 shim 架构高度相似——两者均使用 ttrpc over VSOCK，内部 Agent 模型一致（cube-agent 对应 kata-agent），但存在两项关键差异：CubeShim 采用 Rust 实现而 Kata shim 主要使用 Go；CubeShim 的 VM 管理通过 Cubelet 协调而 Kata shim 由 runtime 直接管理</w:t>
      </w:r>
      <w:r>
        <w:t xml:space="preserve"> </w:t>
      </w:r>
      <w:r>
        <w:rPr/>
        <w:fldChar w:fldCharType="begin"/>
      </w:r>
      <w:r>
        <w:instrText>NOTEREF _Ref_Footnote_56 \h \f</w:instrText>
      </w:r>
      <w:r>
        <w:rPr/>
        <w:fldChar w:fldCharType="separate"/>
      </w:r>
      <w:r>
        <w:rPr>
          <w:vertAlign w:val="superscript"/>
        </w:rPr>
        <w:t>56</w:t>
      </w:r>
      <w:r>
        <w:rPr/>
        <w:fldChar w:fldCharType="end"/>
      </w:r>
      <w:r>
        <w:t>。</w:t>
      </w:r>
    </w:p>
    <w:p w14:paraId="1A4981CA">
      <w:pPr>
        <w:pStyle w:val="style66"/>
        <w:rPr/>
      </w:pPr>
      <w:r>
        <w:t>在性能优化层面，CubeShim 的</w:t>
      </w:r>
      <w:r>
        <w:t xml:space="preserve"> </w:t>
      </w:r>
      <w:r>
        <w:rPr>
          <w:rStyle w:val="style4120"/>
        </w:rPr>
        <w:t>main.rs</w:t>
      </w:r>
      <w:r>
        <w:t xml:space="preserve"> </w:t>
      </w:r>
      <w:r>
        <w:t>实现了 fd 预扩展技巧：进程启动时通过</w:t>
      </w:r>
      <w:r>
        <w:t xml:space="preserve"> </w:t>
      </w:r>
      <w:r>
        <w:rPr>
          <w:rStyle w:val="style4120"/>
        </w:rPr>
        <w:t>dup2</w:t>
      </w:r>
      <w:r>
        <w:t xml:space="preserve"> </w:t>
      </w:r>
      <w:r>
        <w:t>系统调用将 socket 复制到文件描述符 512，在单线程启动阶段提前触发内核 fdtable 扩容，彻底规避多线程运行时的锁争用</w:t>
      </w:r>
      <w:r>
        <w:t xml:space="preserve"> </w:t>
      </w:r>
      <w:r>
        <w:rPr/>
        <w:fldChar w:fldCharType="begin"/>
      </w:r>
      <w:r>
        <w:instrText>NOTEREF _Ref_Footnote_70 \h \f</w:instrText>
      </w:r>
      <w:r>
        <w:rPr/>
        <w:fldChar w:fldCharType="separate"/>
      </w:r>
      <w:r>
        <w:rPr>
          <w:vertAlign w:val="superscript"/>
        </w:rPr>
        <w:t>70</w:t>
      </w:r>
      <w:r>
        <w:rPr/>
        <w:fldChar w:fldCharType="end"/>
      </w:r>
      <w:r>
        <w:t>。这一优化体现了 CubeSandbox 全栈追求极致延迟的工程哲学——从 API 网关到 Shim 进程的每个环节均消除可预测的延迟来源。CubeShim 在 containerd 中的注册配置遵循标准 Shim v2 规范，运行时类型为</w:t>
      </w:r>
      <w:r>
        <w:t xml:space="preserve"> </w:t>
      </w:r>
      <w:r>
        <w:rPr>
          <w:rStyle w:val="style4120"/>
        </w:rPr>
        <w:t>io.containerd.cube.v2</w:t>
      </w:r>
      <w:r>
        <w:t>，CRI handler 名称为</w:t>
      </w:r>
      <w:r>
        <w:t xml:space="preserve"> </w:t>
      </w:r>
      <w:r>
        <w:rPr>
          <w:rStyle w:val="style4120"/>
        </w:rPr>
        <w:t>cube</w:t>
      </w:r>
      <w:r>
        <w:t>，使得 CubeSandbox 可无缝接入任何支持 containerd 的 Kubernetes 集群</w:t>
      </w:r>
      <w:r>
        <w:t xml:space="preserve"> </w:t>
      </w:r>
      <w:r>
        <w:rPr/>
        <w:fldChar w:fldCharType="begin"/>
      </w:r>
      <w:r>
        <w:instrText>NOTEREF _Ref_Footnote_8 \h \f</w:instrText>
      </w:r>
      <w:r>
        <w:rPr/>
        <w:fldChar w:fldCharType="separate"/>
      </w:r>
      <w:r>
        <w:rPr>
          <w:vertAlign w:val="superscript"/>
        </w:rPr>
        <w:t>8</w:t>
      </w:r>
      <w:r>
        <w:rPr/>
        <w:fldChar w:fldCharType="end"/>
      </w:r>
      <w:r>
        <w:t>。</w:t>
      </w:r>
    </w:p>
    <w:bookmarkStart w:id="47" w:name="资源池与快照机制"/>
    <w:bookmarkEnd w:id="46"/>
    <w:p w14:paraId="0179CD8B">
      <w:pPr>
        <w:pStyle w:val="style4104"/>
        <w:rPr/>
      </w:pPr>
      <w:r>
        <w:t>3.1.3 资源池与快照机制</w:t>
      </w:r>
    </w:p>
    <w:p w14:paraId="E1569E60">
      <w:pPr>
        <w:pStyle w:val="style4097"/>
        <w:rPr/>
      </w:pPr>
      <w:r>
        <w:t>CubeSandbox &lt;60ms 冷启动的核心技术路径建立在”资源池预置 + CoW 快照克隆”范式之上</w:t>
      </w:r>
      <w:r>
        <w:t xml:space="preserve"> </w:t>
      </w:r>
      <w:r>
        <w:rPr/>
        <w:fldChar w:fldCharType="begin"/>
      </w:r>
      <w:r>
        <w:instrText>NOTEREF _Ref_Footnote_11 \h \f</w:instrText>
      </w:r>
      <w:r>
        <w:rPr/>
        <w:fldChar w:fldCharType="separate"/>
      </w:r>
      <w:r>
        <w:rPr>
          <w:vertAlign w:val="superscript"/>
        </w:rPr>
        <w:t>11</w:t>
      </w:r>
      <w:r>
        <w:rPr/>
        <w:fldChar w:fldCharType="end"/>
      </w:r>
      <w:r>
        <w:t>。传统 MicroVM 启动需串行完成内核加载、设备初始化、用户空间启动等阶段，总延迟通常在 100-500ms。CubeSandbox 将这一串行过程转换为后台并行任务：所有沙箱所需资源提前池化，创建操作退化为 O(1) 查表与资源拼装</w:t>
      </w:r>
      <w:r>
        <w:t xml:space="preserve"> </w:t>
      </w:r>
      <w:r>
        <w:rPr/>
        <w:fldChar w:fldCharType="begin"/>
      </w:r>
      <w:r>
        <w:instrText>NOTEREF _Ref_Footnote_11 \h \f</w:instrText>
      </w:r>
      <w:r>
        <w:rPr/>
        <w:fldChar w:fldCharType="separate"/>
      </w:r>
      <w:r>
        <w:rPr>
          <w:vertAlign w:val="superscript"/>
        </w:rPr>
        <w:t>11</w:t>
      </w:r>
      <w:r>
        <w:rPr/>
        <w:fldChar w:fldCharType="end"/>
      </w:r>
      <w:r>
        <w:t>。</w:t>
      </w:r>
    </w:p>
    <w:p w14:paraId="29C2D5A2">
      <w:pPr>
        <w:pStyle w:val="style66"/>
        <w:rPr/>
      </w:pPr>
      <w:r>
        <w:t>Copy-on-Write（写时复制）是这一机制的技术基石。创建新沙箱时系统仅复制元数据层面的快照指针，实际内存页在首次写入时才真正拷贝</w:t>
      </w:r>
      <w:r>
        <w:t xml:space="preserve"> </w:t>
      </w:r>
      <w:r>
        <w:rPr/>
        <w:fldChar w:fldCharType="begin"/>
      </w:r>
      <w:r>
        <w:instrText>NOTEREF _Ref_Footnote_3 \h \f</w:instrText>
      </w:r>
      <w:r>
        <w:rPr/>
        <w:fldChar w:fldCharType="separate"/>
      </w:r>
      <w:r>
        <w:rPr>
          <w:vertAlign w:val="superscript"/>
        </w:rPr>
        <w:t>3</w:t>
      </w:r>
      <w:r>
        <w:rPr/>
        <w:fldChar w:fldCharType="end"/>
      </w:r>
      <w:r>
        <w:t>。磁盘层 CoW 依赖 XFS reflink 实现</w:t>
      </w:r>
      <w:r>
        <w:t xml:space="preserve"> </w:t>
      </w:r>
      <w:r>
        <w:rPr/>
        <w:fldChar w:fldCharType="begin"/>
      </w:r>
      <w:r>
        <w:instrText>NOTEREF _Ref_Footnote_24 \h \f</w:instrText>
      </w:r>
      <w:r>
        <w:rPr/>
        <w:fldChar w:fldCharType="separate"/>
      </w:r>
      <w:r>
        <w:rPr>
          <w:vertAlign w:val="superscript"/>
        </w:rPr>
        <w:t>24</w:t>
      </w:r>
      <w:r>
        <w:rPr/>
        <w:fldChar w:fldCharType="end"/>
      </w:r>
      <w:r>
        <w:t>；v0.2.0 版本引入的</w:t>
      </w:r>
      <w:r>
        <w:t xml:space="preserve"> </w:t>
      </w:r>
      <w:r>
        <w:rPr>
          <w:rStyle w:val="style4120"/>
        </w:rPr>
        <w:t>cubecow</w:t>
      </w:r>
      <w:r>
        <w:t xml:space="preserve"> </w:t>
      </w:r>
      <w:r>
        <w:t>引擎实现了 CoW 快照的完整生命周期管理</w:t>
      </w:r>
      <w:r>
        <w:t xml:space="preserve"> </w:t>
      </w:r>
      <w:r>
        <w:rPr/>
        <w:fldChar w:fldCharType="begin"/>
      </w:r>
      <w:r>
        <w:instrText>NOTEREF _Ref_Footnote_8 \h \f</w:instrText>
      </w:r>
      <w:r>
        <w:rPr/>
        <w:fldChar w:fldCharType="separate"/>
      </w:r>
      <w:r>
        <w:rPr>
          <w:vertAlign w:val="superscript"/>
        </w:rPr>
        <w:t>8</w:t>
      </w:r>
      <w:r>
        <w:rPr/>
        <w:fldChar w:fldCharType="end"/>
      </w:r>
      <w:r>
        <w:t>。模板生命周期遵循三级模型：Init 阶段通过 Buildkit 打包 rootfs；Boot &amp; Snapshot 阶段在 MicroVM 内冷启动并捕获快照；Deploy 阶段注册为可用模板</w:t>
      </w:r>
      <w:r>
        <w:t xml:space="preserve"> </w:t>
      </w:r>
      <w:r>
        <w:rPr/>
        <w:fldChar w:fldCharType="begin"/>
      </w:r>
      <w:r>
        <w:instrText>NOTEREF _Ref_Footnote_79 \h \f</w:instrText>
      </w:r>
      <w:r>
        <w:rPr/>
        <w:fldChar w:fldCharType="separate"/>
      </w:r>
      <w:r>
        <w:rPr>
          <w:vertAlign w:val="superscript"/>
        </w:rPr>
        <w:t>79</w:t>
      </w:r>
      <w:r>
        <w:rPr/>
        <w:fldChar w:fldCharType="end"/>
      </w:r>
      <w:r>
        <w:t>。</w:t>
      </w:r>
    </w:p>
    <w:p w14:paraId="4AA3C58A">
      <w:pPr>
        <w:pStyle w:val="style66"/>
        <w:rPr/>
      </w:pPr>
      <w:r>
        <w:t>性能数据显示，单并发冷启动 &lt;60ms，50 并发平均 67ms，P95 90ms，P99 137ms</w:t>
      </w:r>
      <w:r>
        <w:t xml:space="preserve"> </w:t>
      </w:r>
      <w:r>
        <w:rPr/>
        <w:fldChar w:fldCharType="begin"/>
      </w:r>
      <w:r>
        <w:instrText>NOTEREF _Ref_Footnote_4 \h \f</w:instrText>
      </w:r>
      <w:r>
        <w:rPr/>
        <w:fldChar w:fldCharType="separate"/>
      </w:r>
      <w:r>
        <w:rPr>
          <w:vertAlign w:val="superscript"/>
        </w:rPr>
        <w:t>4</w:t>
      </w:r>
      <w:r>
        <w:rPr/>
        <w:fldChar w:fldCharType="end"/>
      </w:r>
      <w:r>
        <w:t>。32GB 规格沙箱基础内存开销 &lt;5MB，单台 96 vCPU 物理机可运行 2{,}000+ 沙箱实例</w:t>
      </w:r>
      <w:r>
        <w:t xml:space="preserve"> </w:t>
      </w:r>
      <w:r>
        <w:rPr/>
        <w:fldChar w:fldCharType="begin"/>
      </w:r>
      <w:r>
        <w:instrText>NOTEREF _Ref_Footnote_11 \h \f</w:instrText>
      </w:r>
      <w:r>
        <w:rPr/>
        <w:fldChar w:fldCharType="separate"/>
      </w:r>
      <w:r>
        <w:rPr>
          <w:vertAlign w:val="superscript"/>
        </w:rPr>
        <w:t>11</w:t>
      </w:r>
      <w:r>
        <w:rPr/>
        <w:fldChar w:fldCharType="end"/>
      </w:r>
      <w:r>
        <w:t>。</w:t>
      </w:r>
    </w:p>
    <w:bookmarkStart w:id="48" w:name="cubevs-ebpf-网络集成"/>
    <w:bookmarkEnd w:id="47"/>
    <w:p w14:paraId="7C13AFD9">
      <w:pPr>
        <w:pStyle w:val="style4104"/>
        <w:rPr/>
      </w:pPr>
      <w:r>
        <w:t>3.1.4 CubeVS eBPF 网络集成</w:t>
      </w:r>
    </w:p>
    <w:p w14:paraId="49C9672D">
      <w:pPr>
        <w:pStyle w:val="style4097"/>
        <w:rPr/>
      </w:pPr>
      <w:r>
        <w:t>CubeVS 是基于 eBPF/XDP（eXtreme Data Path）的虚拟交换机，在内核态完成数据包转发和过滤，避免了用户态与内核态的频繁切换</w:t>
      </w:r>
      <w:r>
        <w:t xml:space="preserve"> </w:t>
      </w:r>
      <w:r>
        <w:rPr/>
        <w:fldChar w:fldCharType="begin"/>
      </w:r>
      <w:r>
        <w:instrText>NOTEREF _Ref_Footnote_3 \h \f</w:instrText>
      </w:r>
      <w:r>
        <w:rPr/>
        <w:fldChar w:fldCharType="separate"/>
      </w:r>
      <w:r>
        <w:rPr>
          <w:vertAlign w:val="superscript"/>
        </w:rPr>
        <w:t>3</w:t>
      </w:r>
      <w:r>
        <w:rPr/>
        <w:fldChar w:fldCharType="end"/>
      </w:r>
      <w:r>
        <w:t>。其 eBPF 程序挂载于 XDP 钩子点，在数据包进入网络栈的最早期介入处理，相比 iptables 具有数量级性能优势。</w:t>
      </w:r>
    </w:p>
    <w:p w14:paraId="B97F9304">
      <w:pPr>
        <w:pStyle w:val="style66"/>
        <w:rPr/>
      </w:pPr>
      <w:r>
        <w:t>CubeVS 提供三层隔离保障</w:t>
      </w:r>
      <w:r>
        <w:t xml:space="preserve"> </w:t>
      </w:r>
      <w:r>
        <w:rPr/>
        <w:fldChar w:fldCharType="begin"/>
      </w:r>
      <w:r>
        <w:instrText>NOTEREF _Ref_Footnote_3 \h \f</w:instrText>
      </w:r>
      <w:r>
        <w:rPr/>
        <w:fldChar w:fldCharType="separate"/>
      </w:r>
      <w:r>
        <w:rPr>
          <w:vertAlign w:val="superscript"/>
        </w:rPr>
        <w:t>3</w:t>
      </w:r>
      <w:r>
        <w:rPr/>
        <w:fldChar w:fldCharType="end"/>
      </w:r>
      <w:r>
        <w:t>：沙箱间隔离——通过 bpf_map 查找沙箱 ID 对应的网络策略实现流量隔离；出站流量过滤——无策略默认拒绝（XDP_DROP）；内核级性能——XDP 单核可实现 24Mpps 处理能力，比传统内核网络栈提升约 10 倍</w:t>
      </w:r>
      <w:r>
        <w:t xml:space="preserve"> </w:t>
      </w:r>
      <w:r>
        <w:rPr/>
        <w:fldChar w:fldCharType="begin"/>
      </w:r>
      <w:r>
        <w:instrText>NOTEREF _Ref_Footnote_22 \h \f</w:instrText>
      </w:r>
      <w:r>
        <w:rPr/>
        <w:fldChar w:fldCharType="separate"/>
      </w:r>
      <w:r>
        <w:rPr>
          <w:vertAlign w:val="superscript"/>
        </w:rPr>
        <w:t>22</w:t>
      </w:r>
      <w:r>
        <w:rPr/>
        <w:fldChar w:fldCharType="end"/>
      </w:r>
      <w:r>
        <w:t>。在与 Cilium 的 eBPF 资源协调方面，建议设计统一的 eBPF 资源配额机制，为各组件分配 Map 条目上限，并建立加载顺序规范避免验证器超时。</w:t>
      </w:r>
    </w:p>
    <w:bookmarkStart w:id="49" w:name="kata-containers-运行时集成"/>
    <w:bookmarkEnd w:id="48"/>
    <w:bookmarkEnd w:id="44"/>
    <w:p w14:paraId="21C6CBB2">
      <w:pPr>
        <w:pStyle w:val="style4103"/>
        <w:rPr/>
      </w:pPr>
      <w:r>
        <w:t>3.2 Kata Containers 运行时集成</w:t>
      </w:r>
    </w:p>
    <w:bookmarkStart w:id="50" w:name="kata-3.04.0-架构接入"/>
    <w:p w14:paraId="639EDC2E">
      <w:pPr>
        <w:pStyle w:val="style4104"/>
        <w:rPr/>
      </w:pPr>
      <w:r>
        <w:t>3.2.1 Kata 3.0/4.0 架构接入</w:t>
      </w:r>
    </w:p>
    <w:p w14:paraId="AD08D400">
      <w:pPr>
        <w:pStyle w:val="style4097"/>
        <w:rPr/>
      </w:pPr>
      <w:r>
        <w:t>Kata Containers 由 Intel 的 Clear Containers 与 Hyper 的 runV 合并而成</w:t>
      </w:r>
      <w:r>
        <w:t xml:space="preserve"> </w:t>
      </w:r>
      <w:r>
        <w:rPr/>
        <w:fldChar w:fldCharType="begin"/>
      </w:r>
      <w:r>
        <w:instrText>NOTEREF _Ref_Footnote_66 \h \f</w:instrText>
      </w:r>
      <w:r>
        <w:rPr/>
        <w:fldChar w:fldCharType="separate"/>
      </w:r>
      <w:r>
        <w:rPr>
          <w:vertAlign w:val="superscript"/>
        </w:rPr>
        <w:t>66</w:t>
      </w:r>
      <w:r>
        <w:rPr/>
        <w:fldChar w:fldCharType="end"/>
      </w:r>
      <w:r>
        <w:t>，设计目标为”容器的速度，虚拟机的安全”。Kata 3.0 是里程碑式的版本升级，引入四项关键架构变更：runtime-rs（Rust 编写的全新异步运行时）、内置 Dragonball VMM、virtio-fs 默认存储替代已弃用的 9pfs、以及完整的 cgroup v2 支持</w:t>
      </w:r>
      <w:r>
        <w:t xml:space="preserve"> </w:t>
      </w:r>
      <w:r>
        <w:rPr>
          <w:vertAlign w:val="superscript"/>
        </w:rPr>
        <w:footnoteReference w:id="82"/>
      </w:r>
      <w:r>
        <w:t xml:space="preserve"> </w:t>
      </w:r>
      <w:r>
        <w:rPr/>
        <w:fldChar w:fldCharType="begin"/>
      </w:r>
      <w:r>
        <w:instrText>NOTEREF _Ref_Footnote_48 \h \f</w:instrText>
      </w:r>
      <w:r>
        <w:rPr/>
        <w:fldChar w:fldCharType="separate"/>
      </w:r>
      <w:r>
        <w:rPr>
          <w:vertAlign w:val="superscript"/>
        </w:rPr>
        <w:t>48</w:t>
      </w:r>
      <w:r>
        <w:rPr/>
        <w:fldChar w:fldCharType="end"/>
      </w:r>
      <w:r>
        <w:t>。runtime-rs 与原有 Go 运行时</w:t>
      </w:r>
      <w:r>
        <w:t xml:space="preserve"> </w:t>
      </w:r>
      <w:r>
        <w:rPr>
          <w:rStyle w:val="style4120"/>
        </w:rPr>
        <w:t>kata-runtime</w:t>
      </w:r>
      <w:r>
        <w:t xml:space="preserve"> </w:t>
      </w:r>
      <w:r>
        <w:t>并存，但代表了演进方向——其异步 I/O 模型在高并发场景下资源消耗更低，内置的 Resource Manager 统一了容器与沙箱资源的生命周期管理</w:t>
      </w:r>
      <w:r>
        <w:t xml:space="preserve"> </w:t>
      </w:r>
      <w:r>
        <w:rPr/>
        <w:fldChar w:fldCharType="begin"/>
      </w:r>
      <w:r>
        <w:instrText>NOTEREF _Ref_Footnote_5 \h \f</w:instrText>
      </w:r>
      <w:r>
        <w:rPr/>
        <w:fldChar w:fldCharType="separate"/>
      </w:r>
      <w:r>
        <w:rPr>
          <w:vertAlign w:val="superscript"/>
        </w:rPr>
        <w:t>5</w:t>
      </w:r>
      <w:r>
        <w:rPr/>
        <w:fldChar w:fldCharType="end"/>
      </w:r>
      <w:r>
        <w:t>。Kata 4.0 路线图计划将 runtime-rs 设为默认运行时，支持 QEMU 和 Cloud Hypervisor，并与 Confidential Containers（机密容器）功能主线合并</w:t>
      </w:r>
      <w:r>
        <w:t xml:space="preserve"> </w:t>
      </w:r>
      <w:r>
        <w:rPr>
          <w:vertAlign w:val="superscript"/>
        </w:rPr>
        <w:footnoteReference w:id="83"/>
      </w:r>
      <w:r>
        <w:t xml:space="preserve"> </w:t>
      </w:r>
      <w:r>
        <w:rPr>
          <w:vertAlign w:val="superscript"/>
        </w:rPr>
        <w:footnoteReference w:id="84"/>
      </w:r>
      <w:r>
        <w:t>。</w:t>
      </w:r>
    </w:p>
    <w:p w14:paraId="28CABAD6">
      <w:pPr>
        <w:pStyle w:val="style66"/>
        <w:rPr/>
      </w:pPr>
      <w:r>
        <w:t>存储层面，Kata 3.0 将 virtio-fs 设为默认 rootfs 方案。virtio-fs 基于 FUSE 协议，DAX 模式允许客户机直接访问主机页缓存。相比 9pfs，virtio-fs 顺序读性能提升 6-7 倍，小文件创建速率提升约 3.7 倍</w:t>
      </w:r>
      <w:r>
        <w:t xml:space="preserve"> </w:t>
      </w:r>
      <w:r>
        <w:rPr>
          <w:vertAlign w:val="superscript"/>
        </w:rPr>
        <w:footnoteReference w:id="85"/>
      </w:r>
      <w:r>
        <w:t xml:space="preserve"> </w:t>
      </w:r>
      <w:r>
        <w:rPr>
          <w:vertAlign w:val="superscript"/>
        </w:rPr>
        <w:footnoteReference w:id="86"/>
      </w:r>
      <w:r>
        <w:t>。</w:t>
      </w:r>
    </w:p>
    <w:bookmarkStart w:id="51" w:name="多-vmm-后端支持"/>
    <w:bookmarkEnd w:id="50"/>
    <w:p w14:paraId="925C59C5">
      <w:pPr>
        <w:pStyle w:val="style4104"/>
        <w:rPr/>
      </w:pPr>
      <w:r>
        <w:t>3.2.2 多 VMM 后端支持</w:t>
      </w:r>
    </w:p>
    <w:p w14:paraId="B82E2CA7">
      <w:pPr>
        <w:pStyle w:val="style4097"/>
        <w:rPr/>
      </w:pPr>
      <w:r>
        <w:t>Kata Containers 的核心架构优势之一是可插拔的 Hypervisor/VMM 后端支持。</w:t>
      </w:r>
    </w:p>
    <w:tbl>
      <w:tblPr>
        <w:tblStyle w:val="style4111"/>
        <w:tblW w:w="5000" w:type="pct"/>
        <w:tblLook w:val="0020" w:firstRow="1" w:lastRow="0" w:firstColumn="0" w:lastColumn="0" w:noHBand="0" w:noVBand="0"/>
      </w:tblPr>
      <w:tblGrid>
        <w:gridCol w:w="1602"/>
        <w:gridCol w:w="1695"/>
        <w:gridCol w:w="1157"/>
        <w:gridCol w:w="1490"/>
        <w:gridCol w:w="1975"/>
      </w:tblGrid>
      <w:tr w14:paraId="99C61606">
        <w:trPr>
          <w:tblHeader/>
        </w:trPr>
        <w:tc>
          <w:tcPr>
            <w:tcW w:w="0" w:type="auto"/>
            <w:tcBorders/>
          </w:tcPr>
          <w:p w14:paraId="601B884B">
            <w:pPr>
              <w:pStyle w:val="style4098"/>
              <w:jc w:val="left"/>
              <w:rPr/>
            </w:pPr>
            <w:r>
              <w:t>后端 VMM</w:t>
            </w:r>
          </w:p>
        </w:tc>
        <w:tc>
          <w:tcPr>
            <w:tcW w:w="0" w:type="auto"/>
            <w:tcBorders/>
          </w:tcPr>
          <w:p w14:paraId="447571A4">
            <w:pPr>
              <w:pStyle w:val="style4098"/>
              <w:jc w:val="left"/>
              <w:rPr/>
            </w:pPr>
            <w:r>
              <w:t>内存开销</w:t>
            </w:r>
          </w:p>
        </w:tc>
        <w:tc>
          <w:tcPr>
            <w:tcW w:w="0" w:type="auto"/>
            <w:tcBorders/>
          </w:tcPr>
          <w:p w14:paraId="56B59036">
            <w:pPr>
              <w:pStyle w:val="style4098"/>
              <w:jc w:val="left"/>
              <w:rPr/>
            </w:pPr>
            <w:r>
              <w:t>启动时间</w:t>
            </w:r>
          </w:p>
        </w:tc>
        <w:tc>
          <w:tcPr>
            <w:tcW w:w="0" w:type="auto"/>
            <w:tcBorders/>
          </w:tcPr>
          <w:p w14:paraId="7F55C0E4">
            <w:pPr>
              <w:pStyle w:val="style4098"/>
              <w:jc w:val="left"/>
              <w:rPr/>
            </w:pPr>
            <w:r>
              <w:t>功能覆盖</w:t>
            </w:r>
          </w:p>
        </w:tc>
        <w:tc>
          <w:tcPr>
            <w:tcW w:w="0" w:type="auto"/>
            <w:tcBorders/>
          </w:tcPr>
          <w:p w14:paraId="838174F0">
            <w:pPr>
              <w:pStyle w:val="style4098"/>
              <w:jc w:val="left"/>
              <w:rPr/>
            </w:pPr>
            <w:r>
              <w:t>适用场景</w:t>
            </w:r>
          </w:p>
        </w:tc>
      </w:tr>
      <w:tr w14:paraId="C7740AC6">
        <w:tblPrEx/>
        <w:trPr/>
        <w:tc>
          <w:tcPr>
            <w:tcW w:w="0" w:type="auto"/>
            <w:tcBorders/>
          </w:tcPr>
          <w:p w14:paraId="A52C2D3D">
            <w:pPr>
              <w:pStyle w:val="style4098"/>
              <w:jc w:val="left"/>
              <w:rPr/>
            </w:pPr>
            <w:r>
              <w:t>QEMU</w:t>
            </w:r>
          </w:p>
        </w:tc>
        <w:tc>
          <w:tcPr>
            <w:tcW w:w="0" w:type="auto"/>
            <w:tcBorders/>
          </w:tcPr>
          <w:p w14:paraId="B7ECDC0D">
            <w:pPr>
              <w:pStyle w:val="style4098"/>
              <w:jc w:val="left"/>
              <w:rPr/>
            </w:pPr>
            <w:r>
              <w:t>128-256MB/Pod</w:t>
            </w:r>
            <w:r>
              <w:t xml:space="preserve"> </w:t>
            </w:r>
            <w:r>
              <w:rPr/>
              <w:fldChar w:fldCharType="begin"/>
            </w:r>
            <w:r>
              <w:instrText>NOTEREF _Ref_Footnote_59 \h \f</w:instrText>
            </w:r>
            <w:r>
              <w:rPr/>
              <w:fldChar w:fldCharType="separate"/>
            </w:r>
            <w:r>
              <w:rPr>
                <w:vertAlign w:val="superscript"/>
              </w:rPr>
              <w:t>59</w:t>
            </w:r>
            <w:r>
              <w:rPr/>
              <w:fldChar w:fldCharType="end"/>
            </w:r>
          </w:p>
        </w:tc>
        <w:tc>
          <w:tcPr>
            <w:tcW w:w="0" w:type="auto"/>
            <w:tcBorders/>
          </w:tcPr>
          <w:p w14:paraId="FCB269FD">
            <w:pPr>
              <w:pStyle w:val="style4098"/>
              <w:jc w:val="left"/>
              <w:rPr/>
            </w:pPr>
            <w:r>
              <w:t>1-3s</w:t>
            </w:r>
            <w:r>
              <w:t xml:space="preserve"> </w:t>
            </w:r>
            <w:r>
              <w:rPr/>
              <w:fldChar w:fldCharType="begin"/>
            </w:r>
            <w:r>
              <w:instrText>NOTEREF _Ref_Footnote_59 \h \f</w:instrText>
            </w:r>
            <w:r>
              <w:rPr/>
              <w:fldChar w:fldCharType="separate"/>
            </w:r>
            <w:r>
              <w:rPr>
                <w:vertAlign w:val="superscript"/>
              </w:rPr>
              <w:t>59</w:t>
            </w:r>
            <w:r>
              <w:rPr/>
              <w:fldChar w:fldCharType="end"/>
            </w:r>
          </w:p>
        </w:tc>
        <w:tc>
          <w:tcPr>
            <w:tcW w:w="0" w:type="auto"/>
            <w:tcBorders/>
          </w:tcPr>
          <w:p w14:paraId="60612714">
            <w:pPr>
              <w:pStyle w:val="style4098"/>
              <w:jc w:val="left"/>
              <w:rPr/>
            </w:pPr>
            <w:r>
              <w:t>最全（GPU直通/热插拔/迁移）</w:t>
            </w:r>
          </w:p>
        </w:tc>
        <w:tc>
          <w:tcPr>
            <w:tcW w:w="0" w:type="auto"/>
            <w:tcBorders/>
          </w:tcPr>
          <w:p w14:paraId="FB1F6F39">
            <w:pPr>
              <w:pStyle w:val="style4098"/>
              <w:jc w:val="left"/>
              <w:rPr/>
            </w:pPr>
            <w:r>
              <w:t>最大兼容性</w:t>
            </w:r>
          </w:p>
        </w:tc>
      </w:tr>
      <w:tr w14:paraId="2F9DA45E">
        <w:tblPrEx/>
        <w:trPr/>
        <w:tc>
          <w:tcPr>
            <w:tcW w:w="0" w:type="auto"/>
            <w:tcBorders/>
          </w:tcPr>
          <w:p w14:paraId="88ADF63E">
            <w:pPr>
              <w:pStyle w:val="style4098"/>
              <w:jc w:val="left"/>
              <w:rPr/>
            </w:pPr>
            <w:r>
              <w:t>Cloud Hypervisor</w:t>
            </w:r>
          </w:p>
        </w:tc>
        <w:tc>
          <w:tcPr>
            <w:tcW w:w="0" w:type="auto"/>
            <w:tcBorders/>
          </w:tcPr>
          <w:p w14:paraId="82E72567">
            <w:pPr>
              <w:pStyle w:val="style4098"/>
              <w:jc w:val="left"/>
              <w:rPr/>
            </w:pPr>
            <w:r>
              <w:t>10-20MB</w:t>
            </w:r>
            <w:r>
              <w:t xml:space="preserve"> </w:t>
            </w:r>
            <w:r>
              <w:rPr>
                <w:vertAlign w:val="superscript"/>
              </w:rPr>
              <w:footnoteReference w:id="87"/>
            </w:r>
          </w:p>
        </w:tc>
        <w:tc>
          <w:tcPr>
            <w:tcW w:w="0" w:type="auto"/>
            <w:tcBorders/>
          </w:tcPr>
          <w:p w14:paraId="91DD394C">
            <w:pPr>
              <w:pStyle w:val="style4098"/>
              <w:jc w:val="left"/>
              <w:rPr/>
            </w:pPr>
            <w:r>
              <w:t>~200ms</w:t>
            </w:r>
            <w:r>
              <w:t xml:space="preserve"> </w:t>
            </w:r>
            <w:r>
              <w:rPr/>
              <w:fldChar w:fldCharType="begin"/>
            </w:r>
            <w:r>
              <w:instrText>NOTEREF _Ref_Footnote_87 \h \f</w:instrText>
            </w:r>
            <w:r>
              <w:rPr/>
              <w:fldChar w:fldCharType="separate"/>
            </w:r>
            <w:r>
              <w:rPr>
                <w:vertAlign w:val="superscript"/>
              </w:rPr>
              <w:t>87</w:t>
            </w:r>
            <w:r>
              <w:rPr/>
              <w:fldChar w:fldCharType="end"/>
            </w:r>
          </w:p>
        </w:tc>
        <w:tc>
          <w:tcPr>
            <w:tcW w:w="0" w:type="auto"/>
            <w:tcBorders/>
          </w:tcPr>
          <w:p w14:paraId="3FEA15E2">
            <w:pPr>
              <w:pStyle w:val="style4098"/>
              <w:jc w:val="left"/>
              <w:rPr/>
            </w:pPr>
            <w:r>
              <w:t>较全（迁移/GPU/无遗留设备）</w:t>
            </w:r>
          </w:p>
        </w:tc>
        <w:tc>
          <w:tcPr>
            <w:tcW w:w="0" w:type="auto"/>
            <w:tcBorders/>
          </w:tcPr>
          <w:p w14:paraId="EDBEA3E9">
            <w:pPr>
              <w:pStyle w:val="style4098"/>
              <w:jc w:val="left"/>
              <w:rPr/>
            </w:pPr>
            <w:r>
              <w:t>现代云工作负载</w:t>
            </w:r>
          </w:p>
        </w:tc>
      </w:tr>
      <w:tr w14:paraId="4F9BC945">
        <w:tblPrEx/>
        <w:trPr/>
        <w:tc>
          <w:tcPr>
            <w:tcW w:w="0" w:type="auto"/>
            <w:tcBorders/>
          </w:tcPr>
          <w:p w14:paraId="77846500">
            <w:pPr>
              <w:pStyle w:val="style4098"/>
              <w:jc w:val="left"/>
              <w:rPr/>
            </w:pPr>
            <w:r>
              <w:t>Firecracker</w:t>
            </w:r>
          </w:p>
        </w:tc>
        <w:tc>
          <w:tcPr>
            <w:tcW w:w="0" w:type="auto"/>
            <w:tcBorders/>
          </w:tcPr>
          <w:p w14:paraId="7D2C1824">
            <w:pPr>
              <w:pStyle w:val="style4098"/>
              <w:jc w:val="left"/>
              <w:rPr/>
            </w:pPr>
            <w:r>
              <w:t>&lt;5MiB</w:t>
            </w:r>
            <w:r>
              <w:t xml:space="preserve"> </w:t>
            </w:r>
            <w:r>
              <w:rPr>
                <w:vertAlign w:val="superscript"/>
              </w:rPr>
              <w:footnoteReference w:id="88"/>
            </w:r>
          </w:p>
        </w:tc>
        <w:tc>
          <w:tcPr>
            <w:tcW w:w="0" w:type="auto"/>
            <w:tcBorders/>
          </w:tcPr>
          <w:p w14:paraId="E5D38BB1">
            <w:pPr>
              <w:pStyle w:val="style4098"/>
              <w:jc w:val="left"/>
              <w:rPr/>
            </w:pPr>
            <w:r>
              <w:t>~125ms</w:t>
            </w:r>
            <w:r>
              <w:t xml:space="preserve"> </w:t>
            </w:r>
            <w:r>
              <w:rPr/>
              <w:fldChar w:fldCharType="begin"/>
            </w:r>
            <w:r>
              <w:instrText>NOTEREF _Ref_Footnote_88 \h \f</w:instrText>
            </w:r>
            <w:r>
              <w:rPr/>
              <w:fldChar w:fldCharType="separate"/>
            </w:r>
            <w:r>
              <w:rPr>
                <w:vertAlign w:val="superscript"/>
              </w:rPr>
              <w:t>88</w:t>
            </w:r>
            <w:r>
              <w:rPr/>
              <w:fldChar w:fldCharType="end"/>
            </w:r>
          </w:p>
        </w:tc>
        <w:tc>
          <w:tcPr>
            <w:tcW w:w="0" w:type="auto"/>
            <w:tcBorders/>
          </w:tcPr>
          <w:p w14:paraId="893BD96C">
            <w:pPr>
              <w:pStyle w:val="style4098"/>
              <w:jc w:val="left"/>
              <w:rPr/>
            </w:pPr>
            <w:r>
              <w:t>极简（仅5设备/无迁移）</w:t>
            </w:r>
          </w:p>
        </w:tc>
        <w:tc>
          <w:tcPr>
            <w:tcW w:w="0" w:type="auto"/>
            <w:tcBorders/>
          </w:tcPr>
          <w:p w14:paraId="E5E56DA6">
            <w:pPr>
              <w:pStyle w:val="style4098"/>
              <w:jc w:val="left"/>
              <w:rPr/>
            </w:pPr>
            <w:r>
              <w:t>Serverless/FaaS</w:t>
            </w:r>
          </w:p>
        </w:tc>
      </w:tr>
      <w:tr w14:paraId="1A7D5C79">
        <w:tblPrEx/>
        <w:trPr/>
        <w:tc>
          <w:tcPr>
            <w:tcW w:w="0" w:type="auto"/>
            <w:tcBorders/>
          </w:tcPr>
          <w:p w14:paraId="BF005205">
            <w:pPr>
              <w:pStyle w:val="style4098"/>
              <w:jc w:val="left"/>
              <w:rPr/>
            </w:pPr>
            <w:r>
              <w:t>Dragonball</w:t>
            </w:r>
          </w:p>
        </w:tc>
        <w:tc>
          <w:tcPr>
            <w:tcW w:w="0" w:type="auto"/>
            <w:tcBorders/>
          </w:tcPr>
          <w:p w14:paraId="DF4BD8BA">
            <w:pPr>
              <w:pStyle w:val="style4098"/>
              <w:jc w:val="left"/>
              <w:rPr/>
            </w:pPr>
            <w:r>
              <w:t>~20MB</w:t>
            </w:r>
            <w:r>
              <w:t xml:space="preserve"> </w:t>
            </w:r>
            <w:r>
              <w:rPr/>
              <w:fldChar w:fldCharType="begin"/>
            </w:r>
            <w:r>
              <w:instrText>NOTEREF _Ref_Footnote_83 \h \f</w:instrText>
            </w:r>
            <w:r>
              <w:rPr/>
              <w:fldChar w:fldCharType="separate"/>
            </w:r>
            <w:r>
              <w:rPr>
                <w:vertAlign w:val="superscript"/>
              </w:rPr>
              <w:t>83</w:t>
            </w:r>
            <w:r>
              <w:rPr/>
              <w:fldChar w:fldCharType="end"/>
            </w:r>
          </w:p>
        </w:tc>
        <w:tc>
          <w:tcPr>
            <w:tcW w:w="0" w:type="auto"/>
            <w:tcBorders/>
          </w:tcPr>
          <w:p w14:paraId="F8D0A565">
            <w:pPr>
              <w:pStyle w:val="style4098"/>
              <w:jc w:val="left"/>
              <w:rPr/>
            </w:pPr>
            <w:r>
              <w:t>~150ms</w:t>
            </w:r>
            <w:r>
              <w:t xml:space="preserve"> </w:t>
            </w:r>
            <w:r>
              <w:rPr/>
              <w:fldChar w:fldCharType="begin"/>
            </w:r>
            <w:r>
              <w:instrText>NOTEREF _Ref_Footnote_83 \h \f</w:instrText>
            </w:r>
            <w:r>
              <w:rPr/>
              <w:fldChar w:fldCharType="separate"/>
            </w:r>
            <w:r>
              <w:rPr>
                <w:vertAlign w:val="superscript"/>
              </w:rPr>
              <w:t>83</w:t>
            </w:r>
            <w:r>
              <w:rPr/>
              <w:fldChar w:fldCharType="end"/>
            </w:r>
          </w:p>
        </w:tc>
        <w:tc>
          <w:tcPr>
            <w:tcW w:w="0" w:type="auto"/>
            <w:tcBorders/>
          </w:tcPr>
          <w:p w14:paraId="D4E12A6B">
            <w:pPr>
              <w:pStyle w:val="style4098"/>
              <w:jc w:val="left"/>
              <w:rPr/>
            </w:pPr>
            <w:r>
              <w:t>容器优化（内置/开箱即用）</w:t>
            </w:r>
          </w:p>
        </w:tc>
        <w:tc>
          <w:tcPr>
            <w:tcW w:w="0" w:type="auto"/>
            <w:tcBorders/>
          </w:tcPr>
          <w:p w14:paraId="EC58D4A3">
            <w:pPr>
              <w:pStyle w:val="style4098"/>
              <w:jc w:val="left"/>
              <w:rPr/>
            </w:pPr>
            <w:r>
              <w:t>容器场景默认</w:t>
            </w:r>
          </w:p>
        </w:tc>
      </w:tr>
    </w:tbl>
    <w:p w14:paraId="FBB9A8E9">
      <w:pPr>
        <w:pStyle w:val="style66"/>
        <w:rPr/>
      </w:pPr>
      <w:r>
        <w:t>后端切换通过</w:t>
      </w:r>
      <w:r>
        <w:t xml:space="preserve"> </w:t>
      </w:r>
      <w:r>
        <w:rPr>
          <w:rStyle w:val="style4120"/>
        </w:rPr>
        <w:t>configuration.toml</w:t>
      </w:r>
      <w:r>
        <w:t xml:space="preserve"> </w:t>
      </w:r>
      <w:r>
        <w:t>配置文件实现。Kata 运行时根据</w:t>
      </w:r>
      <w:r>
        <w:t xml:space="preserve"> </w:t>
      </w:r>
      <w:r>
        <w:rPr>
          <w:rStyle w:val="style4120"/>
        </w:rPr>
        <w:t>[hypervisor]</w:t>
      </w:r>
      <w:r>
        <w:t xml:space="preserve"> </w:t>
      </w:r>
      <w:r>
        <w:t>段的</w:t>
      </w:r>
      <w:r>
        <w:t xml:space="preserve"> </w:t>
      </w:r>
      <w:r>
        <w:rPr>
          <w:rStyle w:val="style4120"/>
        </w:rPr>
        <w:t>path</w:t>
      </w:r>
      <w:r>
        <w:t xml:space="preserve"> </w:t>
      </w:r>
      <w:r>
        <w:t>与</w:t>
      </w:r>
      <w:r>
        <w:t xml:space="preserve"> </w:t>
      </w:r>
      <w:r>
        <w:rPr>
          <w:rStyle w:val="style4120"/>
        </w:rPr>
        <w:t>ctlpath</w:t>
      </w:r>
      <w:r>
        <w:t xml:space="preserve"> </w:t>
      </w:r>
      <w:r>
        <w:t>字段确定使用的 VMM，每个后端拥有独立配置模板，在 containerd 中以不同 handler 名称注册（</w:t>
      </w:r>
      <w:r>
        <w:rPr>
          <w:rStyle w:val="style4120"/>
        </w:rPr>
        <w:t>kata-qemu</w:t>
      </w:r>
      <w:r>
        <w:t>、</w:t>
      </w:r>
      <w:r>
        <w:rPr>
          <w:rStyle w:val="style4120"/>
        </w:rPr>
        <w:t>kata-clh</w:t>
      </w:r>
      <w:r>
        <w:t>、</w:t>
      </w:r>
      <w:r>
        <w:rPr>
          <w:rStyle w:val="style4120"/>
        </w:rPr>
        <w:t>kata-fc</w:t>
      </w:r>
      <w:r>
        <w:t xml:space="preserve"> </w:t>
      </w:r>
      <w:r>
        <w:t>等），供 RuntimeClass 按需选择。</w:t>
      </w:r>
    </w:p>
    <w:p w14:paraId="41801A9C">
      <w:pPr>
        <w:pStyle w:val="style66"/>
        <w:rPr/>
      </w:pPr>
      <w:r>
        <w:t>Dragonball 作为 Kata 3.0 内置 VMM 采用模块化 crate 设计</w:t>
      </w:r>
      <w:r>
        <w:t xml:space="preserve"> </w:t>
      </w:r>
      <w:r>
        <w:rPr>
          <w:vertAlign w:val="superscript"/>
        </w:rPr>
        <w:footnoteReference w:id="89"/>
      </w:r>
      <w:r>
        <w:t xml:space="preserve"> </w:t>
      </w:r>
      <w:r>
        <w:rPr>
          <w:vertAlign w:val="superscript"/>
        </w:rPr>
        <w:footnoteReference w:id="90"/>
      </w:r>
      <w:r>
        <w:t>，其 Upcall 机制基于 vsock 实现 VMM 与客户机直接通信，用于设备热插拔，避免 ACPI 虚拟化开销</w:t>
      </w:r>
      <w:r>
        <w:t xml:space="preserve"> </w:t>
      </w:r>
      <w:r>
        <w:rPr>
          <w:vertAlign w:val="superscript"/>
        </w:rPr>
        <w:footnoteReference w:id="91"/>
      </w:r>
      <w:r>
        <w:t>。Dragonball 在阿里云生产环境验证支撑函数计算每日 50 亿次调用</w:t>
      </w:r>
      <w:r>
        <w:t xml:space="preserve"> </w:t>
      </w:r>
      <w:r>
        <w:rPr>
          <w:vertAlign w:val="superscript"/>
        </w:rPr>
        <w:footnoteReference w:id="92"/>
      </w:r>
      <w:r>
        <w:t>。</w:t>
      </w:r>
    </w:p>
    <w:bookmarkStart w:id="52" w:name="kata-agent-通信模型"/>
    <w:bookmarkEnd w:id="51"/>
    <w:p w14:paraId="6BC46327">
      <w:pPr>
        <w:pStyle w:val="style4104"/>
        <w:rPr/>
      </w:pPr>
      <w:r>
        <w:t>3.2.3 kata-agent 通信模型</w:t>
      </w:r>
    </w:p>
    <w:p w14:paraId="C2C5A594">
      <w:pPr>
        <w:pStyle w:val="style4097"/>
        <w:rPr/>
      </w:pPr>
      <w:r>
        <w:t>Kata 使用 ttrpc 协议进行运行时与 kata-agent 之间的通信</w:t>
      </w:r>
      <w:r>
        <w:t xml:space="preserve"> </w:t>
      </w:r>
      <w:r>
        <w:rPr/>
        <w:fldChar w:fldCharType="begin"/>
      </w:r>
      <w:r>
        <w:instrText>NOTEREF _Ref_Footnote_52 \h \f</w:instrText>
      </w:r>
      <w:r>
        <w:rPr/>
        <w:fldChar w:fldCharType="separate"/>
      </w:r>
      <w:r>
        <w:rPr>
          <w:vertAlign w:val="superscript"/>
        </w:rPr>
        <w:t>52</w:t>
      </w:r>
      <w:r>
        <w:rPr/>
        <w:fldChar w:fldCharType="end"/>
      </w:r>
      <w:r>
        <w:t xml:space="preserve"> </w:t>
      </w:r>
      <w:r>
        <w:rPr/>
        <w:fldChar w:fldCharType="begin"/>
      </w:r>
      <w:r>
        <w:instrText>NOTEREF _Ref_Footnote_65 \h \f</w:instrText>
      </w:r>
      <w:r>
        <w:rPr/>
        <w:fldChar w:fldCharType="separate"/>
      </w:r>
      <w:r>
        <w:rPr>
          <w:vertAlign w:val="superscript"/>
        </w:rPr>
        <w:t>65</w:t>
      </w:r>
      <w:r>
        <w:rPr/>
        <w:fldChar w:fldCharType="end"/>
      </w:r>
      <w:r>
        <w:t>。Kata 2.0 将协议从 gRPC 切换为 ttrpc，每个连接内存占用从约 11MB 降至约 300KB，降幅达 97%</w:t>
      </w:r>
      <w:r>
        <w:t xml:space="preserve"> </w:t>
      </w:r>
      <w:r>
        <w:rPr/>
        <w:fldChar w:fldCharType="begin"/>
      </w:r>
      <w:r>
        <w:instrText>NOTEREF _Ref_Footnote_80 \h \f</w:instrText>
      </w:r>
      <w:r>
        <w:rPr/>
        <w:fldChar w:fldCharType="separate"/>
      </w:r>
      <w:r>
        <w:rPr>
          <w:vertAlign w:val="superscript"/>
        </w:rPr>
        <w:t>80</w:t>
      </w:r>
      <w:r>
        <w:rPr/>
        <w:fldChar w:fldCharType="end"/>
      </w:r>
      <w:r>
        <w:t>。ttrpc 由 containerd 社区专为本地进程通信设计，协议基础为自定义二进制协议而非 HTTP/2</w:t>
      </w:r>
      <w:r>
        <w:t xml:space="preserve"> </w:t>
      </w:r>
      <w:r>
        <w:rPr/>
        <w:fldChar w:fldCharType="begin"/>
      </w:r>
      <w:r>
        <w:instrText>NOTEREF _Ref_Footnote_52 \h \f</w:instrText>
      </w:r>
      <w:r>
        <w:rPr/>
        <w:fldChar w:fldCharType="separate"/>
      </w:r>
      <w:r>
        <w:rPr>
          <w:vertAlign w:val="superscript"/>
        </w:rPr>
        <w:t>52</w:t>
      </w:r>
      <w:r>
        <w:rPr/>
        <w:fldChar w:fldCharType="end"/>
      </w:r>
      <w:r>
        <w:t>。</w:t>
      </w:r>
    </w:p>
    <w:p w14:paraId="0CD9C521">
      <w:pPr>
        <w:pStyle w:val="style66"/>
        <w:rPr/>
      </w:pPr>
      <w:r>
        <w:t>通信路径为：containerd → containerd-shim-kata-v2 → vsock → kata-agent → container workload</w:t>
      </w:r>
      <w:r>
        <w:t xml:space="preserve"> </w:t>
      </w:r>
      <w:r>
        <w:rPr/>
        <w:fldChar w:fldCharType="begin"/>
      </w:r>
      <w:r>
        <w:instrText>NOTEREF _Ref_Footnote_5 \h \f</w:instrText>
      </w:r>
      <w:r>
        <w:rPr/>
        <w:fldChar w:fldCharType="separate"/>
      </w:r>
      <w:r>
        <w:rPr>
          <w:vertAlign w:val="superscript"/>
        </w:rPr>
        <w:t>5</w:t>
      </w:r>
      <w:r>
        <w:rPr/>
        <w:fldChar w:fldCharType="end"/>
      </w:r>
      <w:r>
        <w:t xml:space="preserve"> </w:t>
      </w:r>
      <w:r>
        <w:rPr>
          <w:vertAlign w:val="superscript"/>
        </w:rPr>
        <w:footnoteReference w:id="93"/>
      </w:r>
      <w:r>
        <w:t>。vsock 提供 VM 与 Host 的低延迟通信链接，无需经过物理网络栈，采用 CID（Context ID）+ 端口号的寻址方案。</w:t>
      </w:r>
    </w:p>
    <w:bookmarkStart w:id="53" w:name="与-containerdcri-o-集成"/>
    <w:bookmarkEnd w:id="52"/>
    <w:p w14:paraId="5C0FD1D2">
      <w:pPr>
        <w:pStyle w:val="style4104"/>
        <w:rPr/>
      </w:pPr>
      <w:r>
        <w:t>3.2.4 与 containerd/CRI-O 集成</w:t>
      </w:r>
    </w:p>
    <w:p w14:paraId="88363B22">
      <w:pPr>
        <w:pStyle w:val="style4097"/>
        <w:rPr/>
      </w:pPr>
      <w:r>
        <w:t>Kata 通过 containerd shim v2 API 集成，架构包括 containerd Daemon（生命周期协调与镜像管理）、shim 进程（containerd-shim-kata-v2，代理层）以及 Runtime（kata-runtime/runtime-rs）</w:t>
      </w:r>
      <w:r>
        <w:rPr/>
        <w:fldChar w:fldCharType="begin"/>
      </w:r>
      <w:r>
        <w:instrText>NOTEREF _Ref_Footnote_49 \h \f</w:instrText>
      </w:r>
      <w:r>
        <w:rPr/>
        <w:fldChar w:fldCharType="separate"/>
      </w:r>
      <w:r>
        <w:rPr>
          <w:vertAlign w:val="superscript"/>
        </w:rPr>
        <w:t>49</w:t>
      </w:r>
      <w:r>
        <w:rPr/>
        <w:fldChar w:fldCharType="end"/>
      </w:r>
      <w:r>
        <w:t xml:space="preserve"> </w:t>
      </w:r>
      <w:r>
        <w:rPr/>
        <w:fldChar w:fldCharType="begin"/>
      </w:r>
      <w:r>
        <w:instrText>NOTEREF _Ref_Footnote_53 \h \f</w:instrText>
      </w:r>
      <w:r>
        <w:rPr/>
        <w:fldChar w:fldCharType="separate"/>
      </w:r>
      <w:r>
        <w:rPr>
          <w:vertAlign w:val="superscript"/>
        </w:rPr>
        <w:t>53</w:t>
      </w:r>
      <w:r>
        <w:rPr/>
        <w:fldChar w:fldCharType="end"/>
      </w:r>
      <w:r>
        <w:t xml:space="preserve"> </w:t>
      </w:r>
      <w:r>
        <w:rPr>
          <w:vertAlign w:val="superscript"/>
        </w:rPr>
        <w:footnoteReference w:id="94"/>
      </w:r>
      <w:r>
        <w:t>。在 Kubernetes 中通过 RuntimeClass 支持，需指定 overhead（Pod 固定资源开销）与 nodeSelector（约束调度节点）</w:t>
      </w:r>
      <w:r>
        <w:rPr>
          <w:vertAlign w:val="superscript"/>
        </w:rPr>
        <w:footnoteReference w:id="95"/>
      </w:r>
      <w:r>
        <w:t xml:space="preserve"> </w:t>
      </w:r>
      <w:r>
        <w:rPr>
          <w:vertAlign w:val="superscript"/>
        </w:rPr>
        <w:footnoteReference w:id="96"/>
      </w:r>
      <w:r>
        <w:t>。同一集群可同时运行</w:t>
      </w:r>
      <w:r>
        <w:t xml:space="preserve"> </w:t>
      </w:r>
      <w:r>
        <w:rPr>
          <w:rStyle w:val="style4120"/>
        </w:rPr>
        <w:t>runc</w:t>
      </w:r>
      <w:r>
        <w:t>、</w:t>
      </w:r>
      <w:r>
        <w:rPr>
          <w:rStyle w:val="style4120"/>
        </w:rPr>
        <w:t>kata-qemu</w:t>
      </w:r>
      <w:r>
        <w:t>、</w:t>
      </w:r>
      <w:r>
        <w:rPr>
          <w:rStyle w:val="style4120"/>
        </w:rPr>
        <w:t>kata-clh</w:t>
      </w:r>
      <w:r>
        <w:t>、</w:t>
      </w:r>
      <w:r>
        <w:rPr>
          <w:rStyle w:val="style4120"/>
        </w:rPr>
        <w:t>kata-fc</w:t>
      </w:r>
      <w:r>
        <w:t xml:space="preserve"> </w:t>
      </w:r>
      <w:r>
        <w:t>等多种运行时变体</w:t>
      </w:r>
      <w:r>
        <w:t xml:space="preserve"> </w:t>
      </w:r>
      <w:r>
        <w:rPr>
          <w:vertAlign w:val="superscript"/>
        </w:rPr>
        <w:footnoteReference w:id="97"/>
      </w:r>
      <w:r>
        <w:t xml:space="preserve"> </w:t>
      </w:r>
      <w:r>
        <w:rPr/>
        <w:fldChar w:fldCharType="begin"/>
      </w:r>
      <w:r>
        <w:instrText>NOTEREF _Ref_Footnote_95 \h \f</w:instrText>
      </w:r>
      <w:r>
        <w:rPr/>
        <w:fldChar w:fldCharType="separate"/>
      </w:r>
      <w:r>
        <w:rPr>
          <w:vertAlign w:val="superscript"/>
        </w:rPr>
        <w:t>95</w:t>
      </w:r>
      <w:r>
        <w:rPr/>
        <w:fldChar w:fldCharType="end"/>
      </w:r>
      <w:r>
        <w:t>。</w:t>
      </w:r>
    </w:p>
    <w:bookmarkStart w:id="54" w:name="incus-运行时集成"/>
    <w:bookmarkEnd w:id="53"/>
    <w:bookmarkEnd w:id="49"/>
    <w:p w14:paraId="6E235BAE">
      <w:pPr>
        <w:pStyle w:val="style4103"/>
        <w:rPr/>
      </w:pPr>
      <w:r>
        <w:t>3.3 Incus 运行时集成</w:t>
      </w:r>
    </w:p>
    <w:bookmarkStart w:id="55" w:name="incus-daemon-架构接入"/>
    <w:p w14:paraId="6E4CFD2B">
      <w:pPr>
        <w:pStyle w:val="style4104"/>
        <w:rPr/>
      </w:pPr>
      <w:r>
        <w:t>3.3.1 Incus Daemon 架构接入</w:t>
      </w:r>
    </w:p>
    <w:p w14:paraId="B999DF3E">
      <w:pPr>
        <w:pStyle w:val="style4097"/>
        <w:rPr/>
      </w:pPr>
      <w:r>
        <w:t>Incus 是 Canonical LXD 的社区分支，由 Linux Containers 社区维护，采用 Apache 2.0 许可证</w:t>
      </w:r>
      <w:r>
        <w:t xml:space="preserve"> </w:t>
      </w:r>
      <w:r>
        <w:rPr/>
        <w:fldChar w:fldCharType="begin"/>
      </w:r>
      <w:r>
        <w:instrText>NOTEREF _Ref_Footnote_53 \h \f</w:instrText>
      </w:r>
      <w:r>
        <w:rPr/>
        <w:fldChar w:fldCharType="separate"/>
      </w:r>
      <w:r>
        <w:rPr>
          <w:vertAlign w:val="superscript"/>
        </w:rPr>
        <w:t>53</w:t>
      </w:r>
      <w:r>
        <w:rPr/>
        <w:fldChar w:fldCharType="end"/>
      </w:r>
      <w:r>
        <w:t>。核心架构为单一守护进程 incusd，通过 RESTful API 管理所有实例、存储和网络资源。</w:t>
      </w:r>
    </w:p>
    <w:p w14:paraId="9F99ECD3">
      <w:pPr>
        <w:pStyle w:val="style66"/>
        <w:rPr/>
      </w:pPr>
      <w:r>
        <w:t>incusd 支持完整的 OpenAPI 规范，核心端点包括</w:t>
      </w:r>
      <w:r>
        <w:t xml:space="preserve"> </w:t>
      </w:r>
      <w:r>
        <w:rPr>
          <w:rStyle w:val="style4120"/>
        </w:rPr>
        <w:t>/1.0/instances</w:t>
      </w:r>
      <w:r>
        <w:t>、</w:t>
      </w:r>
      <w:r>
        <w:rPr>
          <w:rStyle w:val="style4120"/>
        </w:rPr>
        <w:t>/1.0/storage-pools</w:t>
      </w:r>
      <w:r>
        <w:t>、</w:t>
      </w:r>
      <w:r>
        <w:rPr>
          <w:rStyle w:val="style4120"/>
        </w:rPr>
        <w:t>/1.0/networks</w:t>
      </w:r>
      <w:r>
        <w:t>、</w:t>
      </w:r>
      <w:r>
        <w:rPr>
          <w:rStyle w:val="style4120"/>
        </w:rPr>
        <w:t>/1.0/cluster</w:t>
      </w:r>
      <w:r>
        <w:t xml:space="preserve"> </w:t>
      </w:r>
      <w:r>
        <w:t>等</w:t>
      </w:r>
      <w:r>
        <w:t xml:space="preserve"> </w:t>
      </w:r>
      <w:r>
        <w:rPr>
          <w:vertAlign w:val="superscript"/>
        </w:rPr>
        <w:footnoteReference w:id="98"/>
      </w:r>
      <w:r>
        <w:t>。数据持久化使用 Cowsql——从 Dqlite fork 的分布式 SQLite 实现，基于 Raft 共识提供复制、容错与自动故障转移，单机模式下退化为普通 SQLite</w:t>
      </w:r>
      <w:r>
        <w:t xml:space="preserve"> </w:t>
      </w:r>
      <w:r>
        <w:rPr>
          <w:vertAlign w:val="superscript"/>
        </w:rPr>
        <w:footnoteReference w:id="99"/>
      </w:r>
      <w:r>
        <w:t>。事件系统基于 WebSocket 实现，集群模式下采用 full-mesh 传播。</w:t>
      </w:r>
    </w:p>
    <w:bookmarkStart w:id="56" w:name="实例管理统一抽象"/>
    <w:bookmarkEnd w:id="55"/>
    <w:p w14:paraId="047DCD24">
      <w:pPr>
        <w:pStyle w:val="style4104"/>
        <w:rPr/>
      </w:pPr>
      <w:r>
        <w:t>3.3.2 实例管理统一抽象</w:t>
      </w:r>
    </w:p>
    <w:p w14:paraId="1E77CC43">
      <w:pPr>
        <w:pStyle w:val="style4097"/>
        <w:rPr/>
      </w:pPr>
      <w:r>
        <w:t>Incus 的核心架构创新是将容器和虚拟机统一在</w:t>
      </w:r>
      <w:r>
        <w:t xml:space="preserve"> </w:t>
      </w:r>
      <w:r>
        <w:rPr>
          <w:rStyle w:val="style4120"/>
        </w:rPr>
        <w:t>instances/</w:t>
      </w:r>
      <w:r>
        <w:t xml:space="preserve"> </w:t>
      </w:r>
      <w:r>
        <w:t>端点下管理</w:t>
      </w:r>
      <w:r>
        <w:t xml:space="preserve"> </w:t>
      </w:r>
      <w:r>
        <w:rPr/>
        <w:fldChar w:fldCharType="begin"/>
      </w:r>
      <w:r>
        <w:instrText>NOTEREF _Ref_Footnote_66 \h \f</w:instrText>
      </w:r>
      <w:r>
        <w:rPr/>
        <w:fldChar w:fldCharType="separate"/>
      </w:r>
      <w:r>
        <w:rPr>
          <w:vertAlign w:val="superscript"/>
        </w:rPr>
        <w:t>66</w:t>
      </w:r>
      <w:r>
        <w:rPr/>
        <w:fldChar w:fldCharType="end"/>
      </w:r>
      <w:r>
        <w:t>。支持三种实例类型</w:t>
      </w:r>
      <w:r>
        <w:t xml:space="preserve"> </w:t>
      </w:r>
      <w:r>
        <w:rPr/>
        <w:fldChar w:fldCharType="begin"/>
      </w:r>
      <w:r>
        <w:instrText>NOTEREF _Ref_Footnote_39 \h \f</w:instrText>
      </w:r>
      <w:r>
        <w:rPr/>
        <w:fldChar w:fldCharType="separate"/>
      </w:r>
      <w:r>
        <w:rPr>
          <w:vertAlign w:val="superscript"/>
        </w:rPr>
        <w:t>39</w:t>
      </w:r>
      <w:r>
        <w:rPr/>
        <w:fldChar w:fldCharType="end"/>
      </w:r>
      <w:r>
        <w:t>：系统容器——使用 Linux Namespaces 与 cgroups 模拟完整操作系统，共享宿主机内核；应用容器——类似 Docker 的运行方式；虚拟机——使用 QEMU/KVM 提供完整硬件虚拟化。实例配置采用键值对命名空间模型，涵盖</w:t>
      </w:r>
      <w:r>
        <w:t xml:space="preserve"> </w:t>
      </w:r>
      <w:r>
        <w:rPr>
          <w:rStyle w:val="style4120"/>
        </w:rPr>
        <w:t>boot.*</w:t>
      </w:r>
      <w:r>
        <w:t>、</w:t>
      </w:r>
      <w:r>
        <w:rPr>
          <w:rStyle w:val="style4120"/>
        </w:rPr>
        <w:t>limits.*</w:t>
      </w:r>
      <w:r>
        <w:t>、</w:t>
      </w:r>
      <w:r>
        <w:rPr>
          <w:rStyle w:val="style4120"/>
        </w:rPr>
        <w:t>security.*</w:t>
      </w:r>
      <w:r>
        <w:t>、</w:t>
      </w:r>
      <w:r>
        <w:rPr>
          <w:rStyle w:val="style4120"/>
        </w:rPr>
        <w:t>snapshots.*</w:t>
      </w:r>
      <w:r>
        <w:t>、</w:t>
      </w:r>
      <w:r>
        <w:rPr>
          <w:rStyle w:val="style4120"/>
        </w:rPr>
        <w:t>nvidia.*</w:t>
      </w:r>
      <w:r>
        <w:t xml:space="preserve"> </w:t>
      </w:r>
      <w:r>
        <w:t>等命名空间</w:t>
      </w:r>
      <w:r>
        <w:t xml:space="preserve"> </w:t>
      </w:r>
      <w:r>
        <w:rPr>
          <w:vertAlign w:val="superscript"/>
        </w:rPr>
        <w:footnoteReference w:id="100"/>
      </w:r>
      <w:r>
        <w:t>。</w:t>
      </w:r>
    </w:p>
    <w:bookmarkStart w:id="57" w:name="存储和网络桥接"/>
    <w:bookmarkEnd w:id="56"/>
    <w:p w14:paraId="B90A641F">
      <w:pPr>
        <w:pStyle w:val="style4104"/>
        <w:rPr/>
      </w:pPr>
      <w:r>
        <w:t>3.3.3 存储和网络桥接</w:t>
      </w:r>
    </w:p>
    <w:p w14:paraId="220301C4">
      <w:pPr>
        <w:pStyle w:val="style4097"/>
        <w:rPr/>
      </w:pPr>
      <w:r>
        <w:t>Incus 支持九种存储驱动，覆盖从单机到集群的全谱系场景。</w:t>
      </w:r>
    </w:p>
    <w:tbl>
      <w:tblPr>
        <w:tblStyle w:val="style4111"/>
        <w:tblW w:w="0" w:type="auto"/>
        <w:tblLook w:val="0020" w:firstRow="1" w:lastRow="0" w:firstColumn="0" w:lastColumn="0" w:noHBand="0" w:noVBand="0"/>
      </w:tblPr>
      <w:tblGrid>
        <w:gridCol w:w="1632"/>
        <w:gridCol w:w="1301"/>
        <w:gridCol w:w="1656"/>
        <w:gridCol w:w="1176"/>
        <w:gridCol w:w="1176"/>
        <w:gridCol w:w="1416"/>
      </w:tblGrid>
      <w:tr w14:paraId="2E9527F4">
        <w:trPr>
          <w:tblHeader/>
        </w:trPr>
        <w:tc>
          <w:tcPr>
            <w:tcW w:w="0" w:type="auto"/>
            <w:tcBorders/>
          </w:tcPr>
          <w:p w14:paraId="4D738AFF">
            <w:pPr>
              <w:pStyle w:val="style4098"/>
              <w:jc w:val="left"/>
              <w:rPr/>
            </w:pPr>
            <w:r>
              <w:t>驱动</w:t>
            </w:r>
          </w:p>
        </w:tc>
        <w:tc>
          <w:tcPr>
            <w:tcW w:w="0" w:type="auto"/>
            <w:tcBorders/>
          </w:tcPr>
          <w:p w14:paraId="7426B99A">
            <w:pPr>
              <w:pStyle w:val="style4098"/>
              <w:jc w:val="left"/>
              <w:rPr/>
            </w:pPr>
            <w:r>
              <w:t>CoW 支持</w:t>
            </w:r>
          </w:p>
        </w:tc>
        <w:tc>
          <w:tcPr>
            <w:tcW w:w="0" w:type="auto"/>
            <w:tcBorders/>
          </w:tcPr>
          <w:p w14:paraId="812B735A">
            <w:pPr>
              <w:pStyle w:val="style4098"/>
              <w:jc w:val="left"/>
              <w:rPr/>
            </w:pPr>
            <w:r>
              <w:t>优化镜像存储</w:t>
            </w:r>
          </w:p>
        </w:tc>
        <w:tc>
          <w:tcPr>
            <w:tcW w:w="0" w:type="auto"/>
            <w:tcBorders/>
          </w:tcPr>
          <w:p w14:paraId="38E87299">
            <w:pPr>
              <w:pStyle w:val="style4098"/>
              <w:jc w:val="left"/>
              <w:rPr/>
            </w:pPr>
            <w:r>
              <w:t>即时克隆</w:t>
            </w:r>
          </w:p>
        </w:tc>
        <w:tc>
          <w:tcPr>
            <w:tcW w:w="0" w:type="auto"/>
            <w:tcBorders/>
          </w:tcPr>
          <w:p w14:paraId="7753A7FE">
            <w:pPr>
              <w:pStyle w:val="style4098"/>
              <w:jc w:val="left"/>
              <w:rPr/>
            </w:pPr>
            <w:r>
              <w:t>块级存储</w:t>
            </w:r>
          </w:p>
        </w:tc>
        <w:tc>
          <w:tcPr>
            <w:tcW w:w="0" w:type="auto"/>
            <w:tcBorders/>
          </w:tcPr>
          <w:p w14:paraId="0EF780A3">
            <w:pPr>
              <w:pStyle w:val="style4098"/>
              <w:jc w:val="left"/>
              <w:rPr/>
            </w:pPr>
            <w:r>
              <w:t>推荐场景</w:t>
            </w:r>
          </w:p>
        </w:tc>
      </w:tr>
      <w:tr w14:paraId="1626BF3C">
        <w:tblPrEx/>
        <w:trPr/>
        <w:tc>
          <w:tcPr>
            <w:tcW w:w="0" w:type="auto"/>
            <w:tcBorders/>
          </w:tcPr>
          <w:p w14:paraId="C527C3E7">
            <w:pPr>
              <w:pStyle w:val="style4098"/>
              <w:jc w:val="left"/>
              <w:rPr/>
            </w:pPr>
            <w:r>
              <w:t>dir</w:t>
            </w:r>
          </w:p>
        </w:tc>
        <w:tc>
          <w:tcPr>
            <w:tcW w:w="0" w:type="auto"/>
            <w:tcBorders/>
          </w:tcPr>
          <w:p w14:paraId="F01AEFAA">
            <w:pPr>
              <w:pStyle w:val="style4098"/>
              <w:jc w:val="left"/>
              <w:rPr/>
            </w:pPr>
            <w:r>
              <w:t>否</w:t>
            </w:r>
          </w:p>
        </w:tc>
        <w:tc>
          <w:tcPr>
            <w:tcW w:w="0" w:type="auto"/>
            <w:tcBorders/>
          </w:tcPr>
          <w:p w14:paraId="2AD3FA21">
            <w:pPr>
              <w:pStyle w:val="style4098"/>
              <w:jc w:val="left"/>
              <w:rPr/>
            </w:pPr>
            <w:r>
              <w:t>否</w:t>
            </w:r>
          </w:p>
        </w:tc>
        <w:tc>
          <w:tcPr>
            <w:tcW w:w="0" w:type="auto"/>
            <w:tcBorders/>
          </w:tcPr>
          <w:p w14:paraId="D19C2A5B">
            <w:pPr>
              <w:pStyle w:val="style4098"/>
              <w:jc w:val="left"/>
              <w:rPr/>
            </w:pPr>
            <w:r>
              <w:t>否</w:t>
            </w:r>
          </w:p>
        </w:tc>
        <w:tc>
          <w:tcPr>
            <w:tcW w:w="0" w:type="auto"/>
            <w:tcBorders/>
          </w:tcPr>
          <w:p w14:paraId="57304C98">
            <w:pPr>
              <w:pStyle w:val="style4098"/>
              <w:jc w:val="left"/>
              <w:rPr/>
            </w:pPr>
            <w:r>
              <w:t>否</w:t>
            </w:r>
          </w:p>
        </w:tc>
        <w:tc>
          <w:tcPr>
            <w:tcW w:w="0" w:type="auto"/>
            <w:tcBorders/>
          </w:tcPr>
          <w:p w14:paraId="4344ED42">
            <w:pPr>
              <w:pStyle w:val="style4098"/>
              <w:jc w:val="left"/>
              <w:rPr/>
            </w:pPr>
            <w:r>
              <w:t>开发测试</w:t>
            </w:r>
          </w:p>
        </w:tc>
      </w:tr>
      <w:tr w14:paraId="B21BA914">
        <w:tblPrEx/>
        <w:trPr/>
        <w:tc>
          <w:tcPr>
            <w:tcW w:w="0" w:type="auto"/>
            <w:tcBorders/>
          </w:tcPr>
          <w:p w14:paraId="73B347A2">
            <w:pPr>
              <w:pStyle w:val="style4098"/>
              <w:jc w:val="left"/>
              <w:rPr/>
            </w:pPr>
            <w:r>
              <w:t>btrfs</w:t>
            </w:r>
          </w:p>
        </w:tc>
        <w:tc>
          <w:tcPr>
            <w:tcW w:w="0" w:type="auto"/>
            <w:tcBorders/>
          </w:tcPr>
          <w:p w14:paraId="84F90291">
            <w:pPr>
              <w:pStyle w:val="style4098"/>
              <w:jc w:val="left"/>
              <w:rPr/>
            </w:pPr>
            <w:r>
              <w:t>是</w:t>
            </w:r>
          </w:p>
        </w:tc>
        <w:tc>
          <w:tcPr>
            <w:tcW w:w="0" w:type="auto"/>
            <w:tcBorders/>
          </w:tcPr>
          <w:p w14:paraId="1373BD03">
            <w:pPr>
              <w:pStyle w:val="style4098"/>
              <w:jc w:val="left"/>
              <w:rPr/>
            </w:pPr>
            <w:r>
              <w:t>是</w:t>
            </w:r>
          </w:p>
        </w:tc>
        <w:tc>
          <w:tcPr>
            <w:tcW w:w="0" w:type="auto"/>
            <w:tcBorders/>
          </w:tcPr>
          <w:p w14:paraId="FC2A0272">
            <w:pPr>
              <w:pStyle w:val="style4098"/>
              <w:jc w:val="left"/>
              <w:rPr/>
            </w:pPr>
            <w:r>
              <w:t>是</w:t>
            </w:r>
          </w:p>
        </w:tc>
        <w:tc>
          <w:tcPr>
            <w:tcW w:w="0" w:type="auto"/>
            <w:tcBorders/>
          </w:tcPr>
          <w:p w14:paraId="BB0D5C80">
            <w:pPr>
              <w:pStyle w:val="style4098"/>
              <w:jc w:val="left"/>
              <w:rPr/>
            </w:pPr>
            <w:r>
              <w:t>否</w:t>
            </w:r>
          </w:p>
        </w:tc>
        <w:tc>
          <w:tcPr>
            <w:tcW w:w="0" w:type="auto"/>
            <w:tcBorders/>
          </w:tcPr>
          <w:p w14:paraId="58FC0BA3">
            <w:pPr>
              <w:pStyle w:val="style4098"/>
              <w:jc w:val="left"/>
              <w:rPr/>
            </w:pPr>
            <w:r>
              <w:t>平衡选择</w:t>
            </w:r>
          </w:p>
        </w:tc>
      </w:tr>
      <w:tr w14:paraId="1A536300">
        <w:tblPrEx/>
        <w:trPr/>
        <w:tc>
          <w:tcPr>
            <w:tcW w:w="0" w:type="auto"/>
            <w:tcBorders/>
          </w:tcPr>
          <w:p w14:paraId="2AD6CC56">
            <w:pPr>
              <w:pStyle w:val="style4098"/>
              <w:jc w:val="left"/>
              <w:rPr/>
            </w:pPr>
            <w:r>
              <w:t>zfs</w:t>
            </w:r>
          </w:p>
        </w:tc>
        <w:tc>
          <w:tcPr>
            <w:tcW w:w="0" w:type="auto"/>
            <w:tcBorders/>
          </w:tcPr>
          <w:p w14:paraId="EEBFE2B7">
            <w:pPr>
              <w:pStyle w:val="style4098"/>
              <w:jc w:val="left"/>
              <w:rPr/>
            </w:pPr>
            <w:r>
              <w:t>是</w:t>
            </w:r>
          </w:p>
        </w:tc>
        <w:tc>
          <w:tcPr>
            <w:tcW w:w="0" w:type="auto"/>
            <w:tcBorders/>
          </w:tcPr>
          <w:p w14:paraId="00910BFF">
            <w:pPr>
              <w:pStyle w:val="style4098"/>
              <w:jc w:val="left"/>
              <w:rPr/>
            </w:pPr>
            <w:r>
              <w:t>是</w:t>
            </w:r>
          </w:p>
        </w:tc>
        <w:tc>
          <w:tcPr>
            <w:tcW w:w="0" w:type="auto"/>
            <w:tcBorders/>
          </w:tcPr>
          <w:p w14:paraId="36DC2462">
            <w:pPr>
              <w:pStyle w:val="style4098"/>
              <w:jc w:val="left"/>
              <w:rPr/>
            </w:pPr>
            <w:r>
              <w:t>是</w:t>
            </w:r>
          </w:p>
        </w:tc>
        <w:tc>
          <w:tcPr>
            <w:tcW w:w="0" w:type="auto"/>
            <w:tcBorders/>
          </w:tcPr>
          <w:p w14:paraId="D3430F9B">
            <w:pPr>
              <w:pStyle w:val="style4098"/>
              <w:jc w:val="left"/>
              <w:rPr/>
            </w:pPr>
            <w:r>
              <w:t>否</w:t>
            </w:r>
          </w:p>
        </w:tc>
        <w:tc>
          <w:tcPr>
            <w:tcW w:w="0" w:type="auto"/>
            <w:tcBorders/>
          </w:tcPr>
          <w:p w14:paraId="111D1565">
            <w:pPr>
              <w:pStyle w:val="style4098"/>
              <w:jc w:val="left"/>
              <w:rPr/>
            </w:pPr>
            <w:r>
              <w:t>单节点最佳</w:t>
            </w:r>
          </w:p>
        </w:tc>
      </w:tr>
      <w:tr w14:paraId="D8E086BC">
        <w:tblPrEx/>
        <w:trPr/>
        <w:tc>
          <w:tcPr>
            <w:tcW w:w="0" w:type="auto"/>
            <w:tcBorders/>
          </w:tcPr>
          <w:p w14:paraId="11D8971B">
            <w:pPr>
              <w:pStyle w:val="style4098"/>
              <w:jc w:val="left"/>
              <w:rPr/>
            </w:pPr>
            <w:r>
              <w:t>lvm/lvm-thin</w:t>
            </w:r>
          </w:p>
        </w:tc>
        <w:tc>
          <w:tcPr>
            <w:tcW w:w="0" w:type="auto"/>
            <w:tcBorders/>
          </w:tcPr>
          <w:p w14:paraId="E3B17D1E">
            <w:pPr>
              <w:pStyle w:val="style4098"/>
              <w:jc w:val="left"/>
              <w:rPr/>
            </w:pPr>
            <w:r>
              <w:t>是</w:t>
            </w:r>
          </w:p>
        </w:tc>
        <w:tc>
          <w:tcPr>
            <w:tcW w:w="0" w:type="auto"/>
            <w:tcBorders/>
          </w:tcPr>
          <w:p w14:paraId="CF53AD54">
            <w:pPr>
              <w:pStyle w:val="style4098"/>
              <w:jc w:val="left"/>
              <w:rPr/>
            </w:pPr>
            <w:r>
              <w:t>是</w:t>
            </w:r>
          </w:p>
        </w:tc>
        <w:tc>
          <w:tcPr>
            <w:tcW w:w="0" w:type="auto"/>
            <w:tcBorders/>
          </w:tcPr>
          <w:p w14:paraId="15CA6929">
            <w:pPr>
              <w:pStyle w:val="style4098"/>
              <w:jc w:val="left"/>
              <w:rPr/>
            </w:pPr>
            <w:r>
              <w:t>是</w:t>
            </w:r>
          </w:p>
        </w:tc>
        <w:tc>
          <w:tcPr>
            <w:tcW w:w="0" w:type="auto"/>
            <w:tcBorders/>
          </w:tcPr>
          <w:p w14:paraId="0B2899C4">
            <w:pPr>
              <w:pStyle w:val="style4098"/>
              <w:jc w:val="left"/>
              <w:rPr/>
            </w:pPr>
            <w:r>
              <w:t>是</w:t>
            </w:r>
          </w:p>
        </w:tc>
        <w:tc>
          <w:tcPr>
            <w:tcW w:w="0" w:type="auto"/>
            <w:tcBorders/>
          </w:tcPr>
          <w:p w14:paraId="B26EE2CC">
            <w:pPr>
              <w:pStyle w:val="style4098"/>
              <w:jc w:val="left"/>
              <w:rPr/>
            </w:pPr>
            <w:r>
              <w:t>传统企业</w:t>
            </w:r>
          </w:p>
        </w:tc>
      </w:tr>
      <w:tr w14:paraId="080279D0">
        <w:tblPrEx/>
        <w:trPr/>
        <w:tc>
          <w:tcPr>
            <w:tcW w:w="0" w:type="auto"/>
            <w:tcBorders/>
          </w:tcPr>
          <w:p w14:paraId="08E33AFF">
            <w:pPr>
              <w:pStyle w:val="style4098"/>
              <w:jc w:val="left"/>
              <w:rPr/>
            </w:pPr>
            <w:r>
              <w:t>ceph/cephfs</w:t>
            </w:r>
          </w:p>
        </w:tc>
        <w:tc>
          <w:tcPr>
            <w:tcW w:w="0" w:type="auto"/>
            <w:tcBorders/>
          </w:tcPr>
          <w:p w14:paraId="6CE5A520">
            <w:pPr>
              <w:pStyle w:val="style4098"/>
              <w:jc w:val="left"/>
              <w:rPr/>
            </w:pPr>
            <w:r>
              <w:t>是</w:t>
            </w:r>
          </w:p>
        </w:tc>
        <w:tc>
          <w:tcPr>
            <w:tcW w:w="0" w:type="auto"/>
            <w:tcBorders/>
          </w:tcPr>
          <w:p w14:paraId="9F3B4754">
            <w:pPr>
              <w:pStyle w:val="style4098"/>
              <w:jc w:val="left"/>
              <w:rPr/>
            </w:pPr>
            <w:r>
              <w:t>是</w:t>
            </w:r>
          </w:p>
        </w:tc>
        <w:tc>
          <w:tcPr>
            <w:tcW w:w="0" w:type="auto"/>
            <w:tcBorders/>
          </w:tcPr>
          <w:p w14:paraId="E0B33C61">
            <w:pPr>
              <w:pStyle w:val="style4098"/>
              <w:jc w:val="left"/>
              <w:rPr/>
            </w:pPr>
            <w:r>
              <w:t>是</w:t>
            </w:r>
          </w:p>
        </w:tc>
        <w:tc>
          <w:tcPr>
            <w:tcW w:w="0" w:type="auto"/>
            <w:tcBorders/>
          </w:tcPr>
          <w:p w14:paraId="70182FBB">
            <w:pPr>
              <w:pStyle w:val="style4098"/>
              <w:jc w:val="left"/>
              <w:rPr/>
            </w:pPr>
            <w:r>
              <w:t>是</w:t>
            </w:r>
          </w:p>
        </w:tc>
        <w:tc>
          <w:tcPr>
            <w:tcW w:w="0" w:type="auto"/>
            <w:tcBorders/>
          </w:tcPr>
          <w:p w14:paraId="6C03D71C">
            <w:pPr>
              <w:pStyle w:val="style4098"/>
              <w:jc w:val="left"/>
              <w:rPr/>
            </w:pPr>
            <w:r>
              <w:t>集群首选</w:t>
            </w:r>
          </w:p>
        </w:tc>
      </w:tr>
    </w:tbl>
    <w:p w14:paraId="7F89991C">
      <w:pPr>
        <w:pStyle w:val="style66"/>
        <w:rPr/>
      </w:pPr>
      <w:r>
        <w:t>ZFS 是 Incus 最推荐的单节点后端，需至少 1GB RAM per 1TB 存储</w:t>
      </w:r>
      <w:r>
        <w:t xml:space="preserve"> </w:t>
      </w:r>
      <w:r>
        <w:rPr/>
        <w:fldChar w:fldCharType="begin"/>
      </w:r>
      <w:r>
        <w:instrText>NOTEREF _Ref_Footnote_74 \h \f</w:instrText>
      </w:r>
      <w:r>
        <w:rPr/>
        <w:fldChar w:fldCharType="separate"/>
      </w:r>
      <w:r>
        <w:rPr>
          <w:vertAlign w:val="superscript"/>
        </w:rPr>
        <w:t>74</w:t>
      </w:r>
      <w:r>
        <w:rPr/>
        <w:fldChar w:fldCharType="end"/>
      </w:r>
      <w:r>
        <w:t>。Ceph RBD 是集群场景首选</w:t>
      </w:r>
      <w:r>
        <w:t xml:space="preserve"> </w:t>
      </w:r>
      <w:r>
        <w:rPr>
          <w:vertAlign w:val="superscript"/>
        </w:rPr>
        <w:footnoteReference w:id="101"/>
      </w:r>
      <w:r>
        <w:t>。除 dir 外所有驱动均支持优化镜像存储——创建实例时克隆预制镜像卷而非从头解压 tarball。</w:t>
      </w:r>
    </w:p>
    <w:p w14:paraId="FA716C90">
      <w:pPr>
        <w:pStyle w:val="style66"/>
        <w:rPr/>
      </w:pPr>
      <w:r>
        <w:t>网络层面 Incus 支持五种类型</w:t>
      </w:r>
      <w:r>
        <w:t xml:space="preserve"> </w:t>
      </w:r>
      <w:r>
        <w:rPr/>
        <w:fldChar w:fldCharType="begin"/>
      </w:r>
      <w:r>
        <w:instrText>NOTEREF _Ref_Footnote_11 \h \f</w:instrText>
      </w:r>
      <w:r>
        <w:rPr/>
        <w:fldChar w:fldCharType="separate"/>
      </w:r>
      <w:r>
        <w:rPr>
          <w:vertAlign w:val="superscript"/>
        </w:rPr>
        <w:t>11</w:t>
      </w:r>
      <w:r>
        <w:rPr/>
        <w:fldChar w:fldCharType="end"/>
      </w:r>
      <w:r>
        <w:t>：桥接（bridge，默认，内置 DHCP/DNS）、OVN（SDN 方案，支持 ACL 与负载均衡）、MACVLAN、SR-IOV 与物理网络（physical）。从 Incus 6.0.3 起桥接网络支持设备级 ACL</w:t>
      </w:r>
      <w:r>
        <w:t xml:space="preserve"> </w:t>
      </w:r>
      <w:r>
        <w:rPr>
          <w:vertAlign w:val="superscript"/>
        </w:rPr>
        <w:footnoteReference w:id="102"/>
      </w:r>
      <w:r>
        <w:t>。</w:t>
      </w:r>
    </w:p>
    <w:bookmarkStart w:id="58" w:name="集群架构集成"/>
    <w:bookmarkEnd w:id="57"/>
    <w:p w14:paraId="1D629D9B">
      <w:pPr>
        <w:pStyle w:val="style4104"/>
        <w:rPr/>
      </w:pPr>
      <w:r>
        <w:t>3.3.4 集群架构集成</w:t>
      </w:r>
    </w:p>
    <w:p w14:paraId="C593E52B">
      <w:pPr>
        <w:pStyle w:val="style4097"/>
        <w:rPr/>
      </w:pPr>
      <w:r>
        <w:t>Incus 集群由至少三个成员组成，使用 Cowsql 通过 Raft 算法复制状态</w:t>
      </w:r>
      <w:r>
        <w:t xml:space="preserve"> </w:t>
      </w:r>
      <w:r>
        <w:rPr>
          <w:vertAlign w:val="superscript"/>
        </w:rPr>
        <w:footnoteReference w:id="103"/>
      </w:r>
      <w:r>
        <w:t>。默认配置（3 投票成员 + 2 备用）可承受 1 个投票成员离线。成员角色包括</w:t>
      </w:r>
      <w:r>
        <w:t xml:space="preserve"> </w:t>
      </w:r>
      <w:r>
        <w:rPr>
          <w:rStyle w:val="style4120"/>
        </w:rPr>
        <w:t>database</w:t>
      </w:r>
      <w:r>
        <w:t>（投票成员）、</w:t>
      </w:r>
      <w:r>
        <w:rPr>
          <w:rStyle w:val="style4120"/>
        </w:rPr>
        <w:t>database-standby</w:t>
      </w:r>
      <w:r>
        <w:t>（非投票备用）、</w:t>
      </w:r>
      <w:r>
        <w:rPr>
          <w:rStyle w:val="style4120"/>
        </w:rPr>
        <w:t>database-leader</w:t>
      </w:r>
      <w:r>
        <w:t>、</w:t>
      </w:r>
      <w:r>
        <w:rPr>
          <w:rStyle w:val="style4120"/>
        </w:rPr>
        <w:t>ovn-chassis</w:t>
      </w:r>
      <w:r>
        <w:t>（OVN 上行网关候选）等</w:t>
      </w:r>
      <w:r>
        <w:t xml:space="preserve"> </w:t>
      </w:r>
      <w:r>
        <w:rPr/>
        <w:fldChar w:fldCharType="begin"/>
      </w:r>
      <w:r>
        <w:instrText>NOTEREF _Ref_Footnote_103 \h \f</w:instrText>
      </w:r>
      <w:r>
        <w:rPr/>
        <w:fldChar w:fldCharType="separate"/>
      </w:r>
      <w:r>
        <w:rPr>
          <w:vertAlign w:val="superscript"/>
        </w:rPr>
        <w:t>103</w:t>
      </w:r>
      <w:r>
        <w:rPr/>
        <w:fldChar w:fldCharType="end"/>
      </w:r>
      <w:r>
        <w:t>。集群组机制允许按资源特征分组，实例放置基于资源约束自动选择节点</w:t>
      </w:r>
      <w:r>
        <w:t xml:space="preserve"> </w:t>
      </w:r>
      <w:r>
        <w:rPr/>
        <w:fldChar w:fldCharType="begin"/>
      </w:r>
      <w:r>
        <w:instrText>NOTEREF _Ref_Footnote_103 \h \f</w:instrText>
      </w:r>
      <w:r>
        <w:rPr/>
        <w:fldChar w:fldCharType="separate"/>
      </w:r>
      <w:r>
        <w:rPr>
          <w:vertAlign w:val="superscript"/>
        </w:rPr>
        <w:t>103</w:t>
      </w:r>
      <w:r>
        <w:rPr/>
        <w:fldChar w:fldCharType="end"/>
      </w:r>
      <w:r>
        <w:t>。VM 实时迁移通过自动计算 CPU 基线能力集实现，确保目标节点 CPU 能力不低于源节点</w:t>
      </w:r>
      <w:r>
        <w:t xml:space="preserve"> </w:t>
      </w:r>
      <w:r>
        <w:rPr/>
        <w:fldChar w:fldCharType="begin"/>
      </w:r>
      <w:r>
        <w:instrText>NOTEREF _Ref_Footnote_103 \h \f</w:instrText>
      </w:r>
      <w:r>
        <w:rPr/>
        <w:fldChar w:fldCharType="separate"/>
      </w:r>
      <w:r>
        <w:rPr>
          <w:vertAlign w:val="superscript"/>
        </w:rPr>
        <w:t>103</w:t>
      </w:r>
      <w:r>
        <w:rPr/>
        <w:fldChar w:fldCharType="end"/>
      </w:r>
      <w:r>
        <w:t>。</w:t>
      </w:r>
    </w:p>
    <w:bookmarkStart w:id="59" w:name="三运行时协同模型"/>
    <w:bookmarkEnd w:id="58"/>
    <w:bookmarkEnd w:id="54"/>
    <w:p w14:paraId="769F0864">
      <w:pPr>
        <w:pStyle w:val="style4103"/>
        <w:rPr/>
      </w:pPr>
      <w:r>
        <w:t>3.4 三运行时协同模型</w:t>
      </w:r>
    </w:p>
    <w:bookmarkStart w:id="60" w:name="运行时能力矩阵对比"/>
    <w:p w14:paraId="5FDEB634">
      <w:pPr>
        <w:pStyle w:val="style4104"/>
        <w:rPr/>
      </w:pPr>
      <w:r>
        <w:t>3.4.1 运行时能力矩阵对比</w:t>
      </w:r>
    </w:p>
    <w:p w14:paraId="BBADC745">
      <w:pPr>
        <w:pStyle w:val="style4118"/>
        <w:rPr/>
      </w:pPr>
      <w:r>
        <w:rPr/>
        <w:drawing>
          <wp:inline distL="0" distT="0" distB="0" distR="0">
            <wp:extent cx="5334000" cy="3411143"/>
            <wp:effectExtent l="0" t="0" r="0" b="0"/>
            <wp:docPr id="1034" name="Picture" descr="Three-Runtime Unified Collaboration Archite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pic:cNvPicPr/>
                  </pic:nvPicPr>
                  <pic:blipFill>
                    <a:blip r:embed="rId7" cstate="print"/>
                    <a:srcRect l="0" t="0" r="0" b="0"/>
                    <a:stretch/>
                  </pic:blipFill>
                  <pic:spPr>
                    <a:xfrm rot="0">
                      <a:off x="0" y="0"/>
                      <a:ext cx="5334000" cy="3411143"/>
                    </a:xfrm>
                    <a:prstGeom prst="rect"/>
                    <a:ln>
                      <a:noFill/>
                    </a:ln>
                  </pic:spPr>
                </pic:pic>
              </a:graphicData>
            </a:graphic>
          </wp:inline>
        </w:drawing>
      </w:r>
    </w:p>
    <w:p w14:paraId="FFBDCFC8">
      <w:pPr>
        <w:pStyle w:val="style4116"/>
        <w:rPr/>
      </w:pPr>
      <w:r>
        <w:t>Three-Runtime Unified Collaboration Architecture</w:t>
      </w:r>
    </w:p>
    <w:p w14:paraId="0FA96205">
      <w:pPr>
        <w:pStyle w:val="style66"/>
        <w:rPr/>
      </w:pPr>
      <w:r>
        <w:t>基于各运行时的技术特性分析，三者在能力维度上呈现显著的互补性。</w:t>
      </w:r>
    </w:p>
    <w:tbl>
      <w:tblPr>
        <w:tblStyle w:val="style4111"/>
        <w:tblW w:w="5000" w:type="pct"/>
        <w:tblLook w:val="0020" w:firstRow="1" w:lastRow="0" w:firstColumn="0" w:lastColumn="0" w:noHBand="0" w:noVBand="0"/>
      </w:tblPr>
      <w:tblGrid>
        <w:gridCol w:w="1238"/>
        <w:gridCol w:w="2188"/>
        <w:gridCol w:w="2466"/>
        <w:gridCol w:w="2026"/>
      </w:tblGrid>
      <w:tr w14:paraId="85952F99">
        <w:trPr>
          <w:tblHeader/>
        </w:trPr>
        <w:tc>
          <w:tcPr>
            <w:tcW w:w="0" w:type="auto"/>
            <w:tcBorders/>
          </w:tcPr>
          <w:p w14:paraId="03DC044F">
            <w:pPr>
              <w:pStyle w:val="style4098"/>
              <w:jc w:val="left"/>
              <w:rPr/>
            </w:pPr>
            <w:r>
              <w:t>维度</w:t>
            </w:r>
          </w:p>
        </w:tc>
        <w:tc>
          <w:tcPr>
            <w:tcW w:w="0" w:type="auto"/>
            <w:tcBorders/>
          </w:tcPr>
          <w:p w14:paraId="74848194">
            <w:pPr>
              <w:pStyle w:val="style4098"/>
              <w:jc w:val="left"/>
              <w:rPr/>
            </w:pPr>
            <w:r>
              <w:t>CubeSandbox</w:t>
            </w:r>
          </w:p>
        </w:tc>
        <w:tc>
          <w:tcPr>
            <w:tcW w:w="0" w:type="auto"/>
            <w:tcBorders/>
          </w:tcPr>
          <w:p w14:paraId="578CC72E">
            <w:pPr>
              <w:pStyle w:val="style4098"/>
              <w:jc w:val="left"/>
              <w:rPr/>
            </w:pPr>
            <w:r>
              <w:t>Kata Containers</w:t>
            </w:r>
          </w:p>
        </w:tc>
        <w:tc>
          <w:tcPr>
            <w:tcW w:w="0" w:type="auto"/>
            <w:tcBorders/>
          </w:tcPr>
          <w:p w14:paraId="ABC7A62B">
            <w:pPr>
              <w:pStyle w:val="style4098"/>
              <w:jc w:val="left"/>
              <w:rPr/>
            </w:pPr>
            <w:r>
              <w:t>Incus</w:t>
            </w:r>
          </w:p>
        </w:tc>
      </w:tr>
      <w:tr w14:paraId="E0FC24AF">
        <w:tblPrEx/>
        <w:trPr/>
        <w:tc>
          <w:tcPr>
            <w:tcW w:w="0" w:type="auto"/>
            <w:tcBorders/>
          </w:tcPr>
          <w:p w14:paraId="477697C5">
            <w:pPr>
              <w:pStyle w:val="style4098"/>
              <w:jc w:val="left"/>
              <w:rPr/>
            </w:pPr>
            <w:r>
              <w:t>冷启动（单并发）</w:t>
            </w:r>
          </w:p>
        </w:tc>
        <w:tc>
          <w:tcPr>
            <w:tcW w:w="0" w:type="auto"/>
            <w:tcBorders/>
          </w:tcPr>
          <w:p w14:paraId="31B76397">
            <w:pPr>
              <w:pStyle w:val="style4098"/>
              <w:jc w:val="left"/>
              <w:rPr/>
            </w:pPr>
            <w:r>
              <w:t>&lt;60ms</w:t>
            </w:r>
            <w:r>
              <w:t xml:space="preserve"> </w:t>
            </w:r>
            <w:r>
              <w:rPr/>
              <w:fldChar w:fldCharType="begin"/>
            </w:r>
            <w:r>
              <w:instrText>NOTEREF _Ref_Footnote_4 \h \f</w:instrText>
            </w:r>
            <w:r>
              <w:rPr/>
              <w:fldChar w:fldCharType="separate"/>
            </w:r>
            <w:r>
              <w:rPr>
                <w:vertAlign w:val="superscript"/>
              </w:rPr>
              <w:t>4</w:t>
            </w:r>
            <w:r>
              <w:rPr/>
              <w:fldChar w:fldCharType="end"/>
            </w:r>
          </w:p>
        </w:tc>
        <w:tc>
          <w:tcPr>
            <w:tcW w:w="0" w:type="auto"/>
            <w:tcBorders/>
          </w:tcPr>
          <w:p w14:paraId="0F0A3780">
            <w:pPr>
              <w:pStyle w:val="style4098"/>
              <w:jc w:val="left"/>
              <w:rPr/>
            </w:pPr>
            <w:r>
              <w:t>125-500ms（依赖VMM）</w:t>
            </w:r>
            <w:r>
              <w:rPr/>
              <w:fldChar w:fldCharType="begin"/>
            </w:r>
            <w:r>
              <w:instrText>NOTEREF _Ref_Footnote_88 \h \f</w:instrText>
            </w:r>
            <w:r>
              <w:rPr/>
              <w:fldChar w:fldCharType="separate"/>
            </w:r>
            <w:r>
              <w:rPr>
                <w:vertAlign w:val="superscript"/>
              </w:rPr>
              <w:t>88</w:t>
            </w:r>
            <w:r>
              <w:rPr/>
              <w:fldChar w:fldCharType="end"/>
            </w:r>
            <w:r>
              <w:t xml:space="preserve"> </w:t>
            </w:r>
            <w:r>
              <w:rPr/>
              <w:fldChar w:fldCharType="begin"/>
            </w:r>
            <w:r>
              <w:instrText>NOTEREF _Ref_Footnote_83 \h \f</w:instrText>
            </w:r>
            <w:r>
              <w:rPr/>
              <w:fldChar w:fldCharType="separate"/>
            </w:r>
            <w:r>
              <w:rPr>
                <w:vertAlign w:val="superscript"/>
              </w:rPr>
              <w:t>83</w:t>
            </w:r>
            <w:r>
              <w:rPr/>
              <w:fldChar w:fldCharType="end"/>
            </w:r>
          </w:p>
        </w:tc>
        <w:tc>
          <w:tcPr>
            <w:tcW w:w="0" w:type="auto"/>
            <w:tcBorders/>
          </w:tcPr>
          <w:p w14:paraId="0B4B05D3">
            <w:pPr>
              <w:pStyle w:val="style4098"/>
              <w:jc w:val="left"/>
              <w:rPr/>
            </w:pPr>
            <w:r>
              <w:t>秒级</w:t>
            </w:r>
          </w:p>
        </w:tc>
      </w:tr>
      <w:tr w14:paraId="C4A5165C">
        <w:tblPrEx/>
        <w:trPr/>
        <w:tc>
          <w:tcPr>
            <w:tcW w:w="0" w:type="auto"/>
            <w:tcBorders/>
          </w:tcPr>
          <w:p w14:paraId="021AF736">
            <w:pPr>
              <w:pStyle w:val="style4098"/>
              <w:jc w:val="left"/>
              <w:rPr/>
            </w:pPr>
            <w:r>
              <w:t>内存开销（增量）</w:t>
            </w:r>
          </w:p>
        </w:tc>
        <w:tc>
          <w:tcPr>
            <w:tcW w:w="0" w:type="auto"/>
            <w:tcBorders/>
          </w:tcPr>
          <w:p w14:paraId="4F406426">
            <w:pPr>
              <w:pStyle w:val="style4098"/>
              <w:jc w:val="left"/>
              <w:rPr/>
            </w:pPr>
            <w:r>
              <w:t>&lt;5MB/实例</w:t>
            </w:r>
            <w:r>
              <w:t xml:space="preserve"> </w:t>
            </w:r>
            <w:r>
              <w:rPr/>
              <w:fldChar w:fldCharType="begin"/>
            </w:r>
            <w:r>
              <w:instrText>NOTEREF _Ref_Footnote_55 \h \f</w:instrText>
            </w:r>
            <w:r>
              <w:rPr/>
              <w:fldChar w:fldCharType="separate"/>
            </w:r>
            <w:r>
              <w:rPr>
                <w:vertAlign w:val="superscript"/>
              </w:rPr>
              <w:t>55</w:t>
            </w:r>
            <w:r>
              <w:rPr/>
              <w:fldChar w:fldCharType="end"/>
            </w:r>
          </w:p>
        </w:tc>
        <w:tc>
          <w:tcPr>
            <w:tcW w:w="0" w:type="auto"/>
            <w:tcBorders/>
          </w:tcPr>
          <w:p w14:paraId="9CCB49C6">
            <w:pPr>
              <w:pStyle w:val="style4098"/>
              <w:jc w:val="left"/>
              <w:rPr/>
            </w:pPr>
            <w:r>
              <w:t>5-256MB/Pod（依赖VMM）</w:t>
            </w:r>
            <w:r>
              <w:rPr/>
              <w:fldChar w:fldCharType="begin"/>
            </w:r>
            <w:r>
              <w:instrText>NOTEREF _Ref_Footnote_88 \h \f</w:instrText>
            </w:r>
            <w:r>
              <w:rPr/>
              <w:fldChar w:fldCharType="separate"/>
            </w:r>
            <w:r>
              <w:rPr>
                <w:vertAlign w:val="superscript"/>
              </w:rPr>
              <w:t>88</w:t>
            </w:r>
            <w:r>
              <w:rPr/>
              <w:fldChar w:fldCharType="end"/>
            </w:r>
            <w:r>
              <w:t xml:space="preserve"> </w:t>
            </w:r>
            <w:r>
              <w:rPr/>
              <w:fldChar w:fldCharType="begin"/>
            </w:r>
            <w:r>
              <w:instrText>NOTEREF _Ref_Footnote_59 \h \f</w:instrText>
            </w:r>
            <w:r>
              <w:rPr/>
              <w:fldChar w:fldCharType="separate"/>
            </w:r>
            <w:r>
              <w:rPr>
                <w:vertAlign w:val="superscript"/>
              </w:rPr>
              <w:t>59</w:t>
            </w:r>
            <w:r>
              <w:rPr/>
              <w:fldChar w:fldCharType="end"/>
            </w:r>
          </w:p>
        </w:tc>
        <w:tc>
          <w:tcPr>
            <w:tcW w:w="0" w:type="auto"/>
            <w:tcBorders/>
          </w:tcPr>
          <w:p w14:paraId="AECA995A">
            <w:pPr>
              <w:pStyle w:val="style4098"/>
              <w:jc w:val="left"/>
              <w:rPr/>
            </w:pPr>
            <w:r>
              <w:t>~2MB（LXC）</w:t>
            </w:r>
          </w:p>
        </w:tc>
      </w:tr>
      <w:tr w14:paraId="6DF05291">
        <w:tblPrEx/>
        <w:trPr/>
        <w:tc>
          <w:tcPr>
            <w:tcW w:w="0" w:type="auto"/>
            <w:tcBorders/>
          </w:tcPr>
          <w:p w14:paraId="A9423F6F">
            <w:pPr>
              <w:pStyle w:val="style4098"/>
              <w:jc w:val="left"/>
              <w:rPr/>
            </w:pPr>
            <w:r>
              <w:t>隔离级别</w:t>
            </w:r>
          </w:p>
        </w:tc>
        <w:tc>
          <w:tcPr>
            <w:tcW w:w="0" w:type="auto"/>
            <w:tcBorders/>
          </w:tcPr>
          <w:p w14:paraId="F30D1980">
            <w:pPr>
              <w:pStyle w:val="style4098"/>
              <w:jc w:val="left"/>
              <w:rPr/>
            </w:pPr>
            <w:r>
              <w:t>KVM MicroVM + eBPF</w:t>
            </w:r>
            <w:r>
              <w:t xml:space="preserve"> </w:t>
            </w:r>
            <w:r>
              <w:rPr/>
              <w:fldChar w:fldCharType="begin"/>
            </w:r>
            <w:r>
              <w:instrText>NOTEREF _Ref_Footnote_8 \h \f</w:instrText>
            </w:r>
            <w:r>
              <w:rPr/>
              <w:fldChar w:fldCharType="separate"/>
            </w:r>
            <w:r>
              <w:rPr>
                <w:vertAlign w:val="superscript"/>
              </w:rPr>
              <w:t>8</w:t>
            </w:r>
            <w:r>
              <w:rPr/>
              <w:fldChar w:fldCharType="end"/>
            </w:r>
          </w:p>
        </w:tc>
        <w:tc>
          <w:tcPr>
            <w:tcW w:w="0" w:type="auto"/>
            <w:tcBorders/>
          </w:tcPr>
          <w:p w14:paraId="699D0436">
            <w:pPr>
              <w:pStyle w:val="style4098"/>
              <w:jc w:val="left"/>
              <w:rPr/>
            </w:pPr>
            <w:r>
              <w:t>KVM MicroVM</w:t>
            </w:r>
            <w:r>
              <w:t xml:space="preserve"> </w:t>
            </w:r>
            <w:r>
              <w:rPr/>
              <w:fldChar w:fldCharType="begin"/>
            </w:r>
            <w:r>
              <w:instrText>NOTEREF _Ref_Footnote_66 \h \f</w:instrText>
            </w:r>
            <w:r>
              <w:rPr/>
              <w:fldChar w:fldCharType="separate"/>
            </w:r>
            <w:r>
              <w:rPr>
                <w:vertAlign w:val="superscript"/>
              </w:rPr>
              <w:t>66</w:t>
            </w:r>
            <w:r>
              <w:rPr/>
              <w:fldChar w:fldCharType="end"/>
            </w:r>
          </w:p>
        </w:tc>
        <w:tc>
          <w:tcPr>
            <w:tcW w:w="0" w:type="auto"/>
            <w:tcBorders/>
          </w:tcPr>
          <w:p w14:paraId="AE826711">
            <w:pPr>
              <w:pStyle w:val="style4098"/>
              <w:jc w:val="left"/>
              <w:rPr/>
            </w:pPr>
            <w:r>
              <w:t>命名空间/QEMU-KVM</w:t>
            </w:r>
          </w:p>
        </w:tc>
      </w:tr>
      <w:tr w14:paraId="19F40A09">
        <w:tblPrEx/>
        <w:trPr/>
        <w:tc>
          <w:tcPr>
            <w:tcW w:w="0" w:type="auto"/>
            <w:tcBorders/>
          </w:tcPr>
          <w:p w14:paraId="6FCD2970">
            <w:pPr>
              <w:pStyle w:val="style4098"/>
              <w:jc w:val="left"/>
              <w:rPr/>
            </w:pPr>
            <w:r>
              <w:t>生态兼容</w:t>
            </w:r>
          </w:p>
        </w:tc>
        <w:tc>
          <w:tcPr>
            <w:tcW w:w="0" w:type="auto"/>
            <w:tcBorders/>
          </w:tcPr>
          <w:p w14:paraId="1409C788">
            <w:pPr>
              <w:pStyle w:val="style4098"/>
              <w:jc w:val="left"/>
              <w:rPr/>
            </w:pPr>
            <w:r>
              <w:t>E2B SDK</w:t>
            </w:r>
            <w:r>
              <w:t xml:space="preserve"> </w:t>
            </w:r>
            <w:r>
              <w:rPr/>
              <w:fldChar w:fldCharType="begin"/>
            </w:r>
            <w:r>
              <w:instrText>NOTEREF _Ref_Footnote_3 \h \f</w:instrText>
            </w:r>
            <w:r>
              <w:rPr/>
              <w:fldChar w:fldCharType="separate"/>
            </w:r>
            <w:r>
              <w:rPr>
                <w:vertAlign w:val="superscript"/>
              </w:rPr>
              <w:t>3</w:t>
            </w:r>
            <w:r>
              <w:rPr/>
              <w:fldChar w:fldCharType="end"/>
            </w:r>
          </w:p>
        </w:tc>
        <w:tc>
          <w:tcPr>
            <w:tcW w:w="0" w:type="auto"/>
            <w:tcBorders/>
          </w:tcPr>
          <w:p w14:paraId="6F8BB3E7">
            <w:pPr>
              <w:pStyle w:val="style4098"/>
              <w:jc w:val="left"/>
              <w:rPr/>
            </w:pPr>
            <w:r>
              <w:t>OCI/CRI/K8s</w:t>
            </w:r>
            <w:r>
              <w:t xml:space="preserve"> </w:t>
            </w:r>
            <w:r>
              <w:rPr/>
              <w:fldChar w:fldCharType="begin"/>
            </w:r>
            <w:r>
              <w:instrText>NOTEREF _Ref_Footnote_52 \h \f</w:instrText>
            </w:r>
            <w:r>
              <w:rPr/>
              <w:fldChar w:fldCharType="separate"/>
            </w:r>
            <w:r>
              <w:rPr>
                <w:vertAlign w:val="superscript"/>
              </w:rPr>
              <w:t>52</w:t>
            </w:r>
            <w:r>
              <w:rPr/>
              <w:fldChar w:fldCharType="end"/>
            </w:r>
          </w:p>
        </w:tc>
        <w:tc>
          <w:tcPr>
            <w:tcW w:w="0" w:type="auto"/>
            <w:tcBorders/>
          </w:tcPr>
          <w:p w14:paraId="9A8B9A62">
            <w:pPr>
              <w:pStyle w:val="style4098"/>
              <w:jc w:val="left"/>
              <w:rPr/>
            </w:pPr>
            <w:r>
              <w:t>LXC+QEMU 统一API</w:t>
            </w:r>
            <w:r>
              <w:t xml:space="preserve"> </w:t>
            </w:r>
            <w:r>
              <w:rPr/>
              <w:fldChar w:fldCharType="begin"/>
            </w:r>
            <w:r>
              <w:instrText>NOTEREF _Ref_Footnote_98 \h \f</w:instrText>
            </w:r>
            <w:r>
              <w:rPr/>
              <w:fldChar w:fldCharType="separate"/>
            </w:r>
            <w:r>
              <w:rPr>
                <w:vertAlign w:val="superscript"/>
              </w:rPr>
              <w:t>98</w:t>
            </w:r>
            <w:r>
              <w:rPr/>
              <w:fldChar w:fldCharType="end"/>
            </w:r>
          </w:p>
        </w:tc>
      </w:tr>
      <w:tr w14:paraId="FBFD5BE5">
        <w:tblPrEx/>
        <w:trPr/>
        <w:tc>
          <w:tcPr>
            <w:tcW w:w="0" w:type="auto"/>
            <w:tcBorders/>
          </w:tcPr>
          <w:p w14:paraId="053699AE">
            <w:pPr>
              <w:pStyle w:val="style4098"/>
              <w:jc w:val="left"/>
              <w:rPr/>
            </w:pPr>
            <w:r>
              <w:t>生产验证</w:t>
            </w:r>
          </w:p>
        </w:tc>
        <w:tc>
          <w:tcPr>
            <w:tcW w:w="0" w:type="auto"/>
            <w:tcBorders/>
          </w:tcPr>
          <w:p w14:paraId="4BB9DAF0">
            <w:pPr>
              <w:pStyle w:val="style4098"/>
              <w:jc w:val="left"/>
              <w:rPr/>
            </w:pPr>
            <w:r>
              <w:t>腾讯云百亿级调用</w:t>
            </w:r>
            <w:r>
              <w:t xml:space="preserve"> </w:t>
            </w:r>
            <w:r>
              <w:rPr/>
              <w:fldChar w:fldCharType="begin"/>
            </w:r>
            <w:r>
              <w:instrText>NOTEREF _Ref_Footnote_12 \h \f</w:instrText>
            </w:r>
            <w:r>
              <w:rPr/>
              <w:fldChar w:fldCharType="separate"/>
            </w:r>
            <w:r>
              <w:rPr>
                <w:vertAlign w:val="superscript"/>
              </w:rPr>
              <w:t>12</w:t>
            </w:r>
            <w:r>
              <w:rPr/>
              <w:fldChar w:fldCharType="end"/>
            </w:r>
          </w:p>
        </w:tc>
        <w:tc>
          <w:tcPr>
            <w:tcW w:w="0" w:type="auto"/>
            <w:tcBorders/>
          </w:tcPr>
          <w:p w14:paraId="C628EEBE">
            <w:pPr>
              <w:pStyle w:val="style4098"/>
              <w:jc w:val="left"/>
              <w:rPr/>
            </w:pPr>
            <w:r>
              <w:t>阿里云50亿次/日</w:t>
            </w:r>
            <w:r>
              <w:t xml:space="preserve"> </w:t>
            </w:r>
            <w:r>
              <w:rPr/>
              <w:fldChar w:fldCharType="begin"/>
            </w:r>
            <w:r>
              <w:instrText>NOTEREF _Ref_Footnote_92 \h \f</w:instrText>
            </w:r>
            <w:r>
              <w:rPr/>
              <w:fldChar w:fldCharType="separate"/>
            </w:r>
            <w:r>
              <w:rPr>
                <w:vertAlign w:val="superscript"/>
              </w:rPr>
              <w:t>92</w:t>
            </w:r>
            <w:r>
              <w:rPr/>
              <w:fldChar w:fldCharType="end"/>
            </w:r>
          </w:p>
        </w:tc>
        <w:tc>
          <w:tcPr>
            <w:tcW w:w="0" w:type="auto"/>
            <w:tcBorders/>
          </w:tcPr>
          <w:p w14:paraId="76E8D4AC">
            <w:pPr>
              <w:pStyle w:val="style4098"/>
              <w:jc w:val="left"/>
              <w:rPr/>
            </w:pPr>
            <w:r>
              <w:t>社区维护</w:t>
            </w:r>
          </w:p>
        </w:tc>
      </w:tr>
    </w:tbl>
    <w:p w14:paraId="DD61F289">
      <w:pPr>
        <w:pStyle w:val="style66"/>
        <w:rPr/>
      </w:pPr>
      <w:r>
        <w:t>冷启动差异尤为显著。CubeSandbox 的 &lt;60ms 建立在资源池预置与 CoW 快照克隆的激进优化之上，牺牲了部分通用性（设备模型裁剪至仅 6 个核心设备）</w:t>
      </w:r>
      <w:r>
        <w:rPr/>
        <w:fldChar w:fldCharType="begin"/>
      </w:r>
      <w:r>
        <w:instrText>NOTEREF _Ref_Footnote_3 \h \f</w:instrText>
      </w:r>
      <w:r>
        <w:rPr/>
        <w:fldChar w:fldCharType="separate"/>
      </w:r>
      <w:r>
        <w:rPr>
          <w:vertAlign w:val="superscript"/>
        </w:rPr>
        <w:t>3</w:t>
      </w:r>
      <w:r>
        <w:rPr/>
        <w:fldChar w:fldCharType="end"/>
      </w:r>
      <w:r>
        <w:t>。Kata 的范围（125-500ms）反映后端选择的灵活性——Firecracker 约 125ms，Dragonball 约 150ms，Cloud Hypervisor 约 200ms，QEMU 需 1-3 秒</w:t>
      </w:r>
      <w:r>
        <w:t xml:space="preserve"> </w:t>
      </w:r>
      <w:r>
        <w:rPr/>
        <w:fldChar w:fldCharType="begin"/>
      </w:r>
      <w:r>
        <w:instrText>NOTEREF _Ref_Footnote_87 \h \f</w:instrText>
      </w:r>
      <w:r>
        <w:rPr/>
        <w:fldChar w:fldCharType="separate"/>
      </w:r>
      <w:r>
        <w:rPr>
          <w:vertAlign w:val="superscript"/>
        </w:rPr>
        <w:t>87</w:t>
      </w:r>
      <w:r>
        <w:rPr/>
        <w:fldChar w:fldCharType="end"/>
      </w:r>
      <w:r>
        <w:t xml:space="preserve"> </w:t>
      </w:r>
      <w:r>
        <w:rPr/>
        <w:fldChar w:fldCharType="begin"/>
      </w:r>
      <w:r>
        <w:instrText>NOTEREF _Ref_Footnote_88 \h \f</w:instrText>
      </w:r>
      <w:r>
        <w:rPr/>
        <w:fldChar w:fldCharType="separate"/>
      </w:r>
      <w:r>
        <w:rPr>
          <w:vertAlign w:val="superscript"/>
        </w:rPr>
        <w:t>88</w:t>
      </w:r>
      <w:r>
        <w:rPr/>
        <w:fldChar w:fldCharType="end"/>
      </w:r>
      <w:r>
        <w:t xml:space="preserve"> </w:t>
      </w:r>
      <w:r>
        <w:rPr/>
        <w:fldChar w:fldCharType="begin"/>
      </w:r>
      <w:r>
        <w:instrText>NOTEREF _Ref_Footnote_83 \h \f</w:instrText>
      </w:r>
      <w:r>
        <w:rPr/>
        <w:fldChar w:fldCharType="separate"/>
      </w:r>
      <w:r>
        <w:rPr>
          <w:vertAlign w:val="superscript"/>
        </w:rPr>
        <w:t>83</w:t>
      </w:r>
      <w:r>
        <w:rPr/>
        <w:fldChar w:fldCharType="end"/>
      </w:r>
      <w:r>
        <w:t>。内存开销层面，CubeSandbox 的 &lt;5MB 是 CoW 共享后的增量开销</w:t>
      </w:r>
      <w:r>
        <w:t xml:space="preserve"> </w:t>
      </w:r>
      <w:r>
        <w:rPr/>
        <w:fldChar w:fldCharType="begin"/>
      </w:r>
      <w:r>
        <w:instrText>NOTEREF _Ref_Footnote_81 \h \f</w:instrText>
      </w:r>
      <w:r>
        <w:rPr/>
        <w:fldChar w:fldCharType="separate"/>
      </w:r>
      <w:r>
        <w:rPr>
          <w:vertAlign w:val="superscript"/>
        </w:rPr>
        <w:t>81</w:t>
      </w:r>
      <w:r>
        <w:rPr/>
        <w:fldChar w:fldCharType="end"/>
      </w:r>
      <w:r>
        <w:t>，Kata 的 128-256MB 完整 Pod 开销包含 Guest 内核（20-50MB）、kata-agent（~300KB）、VMM 进程（5-20MB）等组件</w:t>
      </w:r>
      <w:r>
        <w:t xml:space="preserve"> </w:t>
      </w:r>
      <w:r>
        <w:rPr>
          <w:vertAlign w:val="superscript"/>
        </w:rPr>
        <w:footnoteReference w:id="104"/>
      </w:r>
      <w:r>
        <w:t xml:space="preserve"> </w:t>
      </w:r>
      <w:r>
        <w:rPr>
          <w:vertAlign w:val="superscript"/>
        </w:rPr>
        <w:footnoteReference w:id="105"/>
      </w:r>
      <w:r>
        <w:t>。</w:t>
      </w:r>
    </w:p>
    <w:bookmarkStart w:id="61" w:name="工作负载分配策略"/>
    <w:bookmarkEnd w:id="60"/>
    <w:p w14:paraId="6EBB6984">
      <w:pPr>
        <w:pStyle w:val="style4104"/>
        <w:rPr/>
      </w:pPr>
      <w:r>
        <w:t>3.4.2 工作负载分配策略</w:t>
      </w:r>
    </w:p>
    <w:p w14:paraId="E8D438F3">
      <w:pPr>
        <w:pStyle w:val="style4097"/>
        <w:rPr/>
      </w:pPr>
      <w:r>
        <w:t>基于能力矩阵，工作负载分配遵循”速度-兼容-管理”三角匹配原则。AI Agent 代码执行场景对启动延迟极度敏感（Agent 交互式体验要求沙箱在请求到达后百毫秒内就绪），同时需要执行不可信用户代码（要求硬件级隔离）。CubeSandbox 的 &lt;60ms 冷启动与 KVM MicroVM 隔离恰好满足这一需求组合，E2B SDK 兼容性使现有应用可零成本迁移</w:t>
      </w:r>
      <w:r>
        <w:t xml:space="preserve"> </w:t>
      </w:r>
      <w:r>
        <w:rPr/>
        <w:fldChar w:fldCharType="begin"/>
      </w:r>
      <w:r>
        <w:instrText>NOTEREF _Ref_Footnote_55 \h \f</w:instrText>
      </w:r>
      <w:r>
        <w:rPr/>
        <w:fldChar w:fldCharType="separate"/>
      </w:r>
      <w:r>
        <w:rPr>
          <w:vertAlign w:val="superscript"/>
        </w:rPr>
        <w:t>55</w:t>
      </w:r>
      <w:r>
        <w:rPr/>
        <w:fldChar w:fldCharType="end"/>
      </w:r>
      <w:r>
        <w:t>，腾讯云生产环境已承载百亿级调用</w:t>
      </w:r>
      <w:r>
        <w:t xml:space="preserve"> </w:t>
      </w:r>
      <w:r>
        <w:rPr/>
        <w:fldChar w:fldCharType="begin"/>
      </w:r>
      <w:r>
        <w:instrText>NOTEREF _Ref_Footnote_12 \h \f</w:instrText>
      </w:r>
      <w:r>
        <w:rPr/>
        <w:fldChar w:fldCharType="separate"/>
      </w:r>
      <w:r>
        <w:rPr>
          <w:vertAlign w:val="superscript"/>
        </w:rPr>
        <w:t>12</w:t>
      </w:r>
      <w:r>
        <w:rPr/>
        <w:fldChar w:fldCharType="end"/>
      </w:r>
      <w:r>
        <w:t>。某外部头部大模型客户使用 Cube 商业化版本，1 分钟可拉起数十万实例</w:t>
      </w:r>
      <w:r>
        <w:t xml:space="preserve"> </w:t>
      </w:r>
      <w:r>
        <w:rPr/>
        <w:fldChar w:fldCharType="begin"/>
      </w:r>
      <w:r>
        <w:instrText>NOTEREF _Ref_Footnote_11 \h \f</w:instrText>
      </w:r>
      <w:r>
        <w:rPr/>
        <w:fldChar w:fldCharType="separate"/>
      </w:r>
      <w:r>
        <w:rPr>
          <w:vertAlign w:val="superscript"/>
        </w:rPr>
        <w:t>11</w:t>
      </w:r>
      <w:r>
        <w:rPr/>
        <w:fldChar w:fldCharType="end"/>
      </w:r>
      <w:r>
        <w:t>。</w:t>
      </w:r>
    </w:p>
    <w:p w14:paraId="4FB3A0B3">
      <w:pPr>
        <w:pStyle w:val="style66"/>
        <w:rPr/>
      </w:pPr>
      <w:r>
        <w:t>多租户安全容器场景要求完整的 OCI（Open Container Initiative）与 Kubernetes 生态兼容性，同时提供 VM 级隔离。Kata 通过 RuntimeClass 原生集成 Kubernetes，支持完整的 CRI（Container Runtime Interface）规范，多 VMM 后端允许在安全强度与性能之间按需权衡</w:t>
      </w:r>
      <w:r>
        <w:t xml:space="preserve"> </w:t>
      </w:r>
      <w:r>
        <w:rPr/>
        <w:fldChar w:fldCharType="begin"/>
      </w:r>
      <w:r>
        <w:instrText>NOTEREF _Ref_Footnote_95 \h \f</w:instrText>
      </w:r>
      <w:r>
        <w:rPr/>
        <w:fldChar w:fldCharType="separate"/>
      </w:r>
      <w:r>
        <w:rPr>
          <w:vertAlign w:val="superscript"/>
        </w:rPr>
        <w:t>95</w:t>
      </w:r>
      <w:r>
        <w:rPr/>
        <w:fldChar w:fldCharType="end"/>
      </w:r>
      <w:r>
        <w:t>。Confidential Containers 扩展进一步提供了 TEE（Trusted Execution Environment，可信执行环境）级别的硬件加密隔离</w:t>
      </w:r>
      <w:r>
        <w:t xml:space="preserve"> </w:t>
      </w:r>
      <w:r>
        <w:rPr/>
        <w:fldChar w:fldCharType="begin"/>
      </w:r>
      <w:r>
        <w:instrText>NOTEREF _Ref_Footnote_28 \h \f</w:instrText>
      </w:r>
      <w:r>
        <w:rPr/>
        <w:fldChar w:fldCharType="separate"/>
      </w:r>
      <w:r>
        <w:rPr>
          <w:vertAlign w:val="superscript"/>
        </w:rPr>
        <w:t>28</w:t>
      </w:r>
      <w:r>
        <w:rPr/>
        <w:fldChar w:fldCharType="end"/>
      </w:r>
      <w:r>
        <w:t>。系统容器与完整 VM 场景需要持久化生命周期管理、实时迁移、HA（High Availability）故障转移等企业级特性，Incus 的统一 instances/ 端点将容器与 VM 纳入同一管理模型，Cowsql + Raft 集群架构提供自动故障转移，VM 实时迁移支持零停机维护</w:t>
      </w:r>
      <w:r>
        <w:t xml:space="preserve"> </w:t>
      </w:r>
      <w:r>
        <w:rPr/>
        <w:fldChar w:fldCharType="begin"/>
      </w:r>
      <w:r>
        <w:instrText>NOTEREF _Ref_Footnote_103 \h \f</w:instrText>
      </w:r>
      <w:r>
        <w:rPr/>
        <w:fldChar w:fldCharType="separate"/>
      </w:r>
      <w:r>
        <w:rPr>
          <w:vertAlign w:val="superscript"/>
        </w:rPr>
        <w:t>103</w:t>
      </w:r>
      <w:r>
        <w:rPr/>
        <w:fldChar w:fldCharType="end"/>
      </w:r>
      <w:r>
        <w:t>。</w:t>
      </w:r>
    </w:p>
    <w:bookmarkStart w:id="62" w:name="runtimeclass-统一调度"/>
    <w:bookmarkEnd w:id="61"/>
    <w:p w14:paraId="E00171DD">
      <w:pPr>
        <w:pStyle w:val="style4104"/>
        <w:rPr/>
      </w:pPr>
      <w:r>
        <w:t>3.4.3 RuntimeClass 统一调度</w:t>
      </w:r>
    </w:p>
    <w:p w14:paraId="B25DE672">
      <w:pPr>
        <w:pStyle w:val="style4097"/>
        <w:rPr/>
      </w:pPr>
      <w:r>
        <w:t>Kubernetes RuntimeClass 是实现三运行时统一调度的技术基础。三种 RuntimeClass 的 CRD 定义方案为：</w:t>
      </w:r>
      <w:r>
        <w:rPr>
          <w:rStyle w:val="style4120"/>
        </w:rPr>
        <w:t>runtimeclass-cube</w:t>
      </w:r>
      <w:r>
        <w:t>（handler:</w:t>
      </w:r>
      <w:r>
        <w:t xml:space="preserve"> </w:t>
      </w:r>
      <w:r>
        <w:rPr>
          <w:rStyle w:val="style4120"/>
        </w:rPr>
        <w:t>cube</w:t>
      </w:r>
      <w:r>
        <w:t>，overhead: memory 32Mi/cpu 50m，nodeSelector:</w:t>
      </w:r>
      <w:r>
        <w:t xml:space="preserve"> </w:t>
      </w:r>
      <w:r>
        <w:rPr>
          <w:rStyle w:val="style4120"/>
        </w:rPr>
        <w:t>cubesandbox.io/enabled: "true"</w:t>
      </w:r>
      <w:r>
        <w:t>）；</w:t>
      </w:r>
      <w:r>
        <w:rPr>
          <w:rStyle w:val="style4120"/>
        </w:rPr>
        <w:t>runtimeclass-kata-clh</w:t>
      </w:r>
      <w:r>
        <w:t>（handler:</w:t>
      </w:r>
      <w:r>
        <w:t xml:space="preserve"> </w:t>
      </w:r>
      <w:r>
        <w:rPr>
          <w:rStyle w:val="style4120"/>
        </w:rPr>
        <w:t>kata-clh</w:t>
      </w:r>
      <w:r>
        <w:t>，overhead: memory 160Mi/cpu 250m，nodeSelector:</w:t>
      </w:r>
      <w:r>
        <w:t xml:space="preserve"> </w:t>
      </w:r>
      <w:r>
        <w:rPr>
          <w:rStyle w:val="style4120"/>
        </w:rPr>
        <w:t>katacontainers.io/enabled: "true"</w:t>
      </w:r>
      <w:r>
        <w:t>）；</w:t>
      </w:r>
      <w:r>
        <w:rPr>
          <w:rStyle w:val="style4120"/>
        </w:rPr>
        <w:t>runtimeclass-incus</w:t>
      </w:r>
      <w:r>
        <w:t>（handler:</w:t>
      </w:r>
      <w:r>
        <w:t xml:space="preserve"> </w:t>
      </w:r>
      <w:r>
        <w:rPr>
          <w:rStyle w:val="style4120"/>
        </w:rPr>
        <w:t>incus</w:t>
      </w:r>
      <w:r>
        <w:t>，overhead 动态计算，nodeSelector:</w:t>
      </w:r>
      <w:r>
        <w:t xml:space="preserve"> </w:t>
      </w:r>
      <w:r>
        <w:rPr>
          <w:rStyle w:val="style4120"/>
        </w:rPr>
        <w:t>incus.io/enabled: "true"</w:t>
      </w:r>
      <w:r>
        <w:t>）。</w:t>
      </w:r>
    </w:p>
    <w:p w14:paraId="EC217148">
      <w:pPr>
        <w:pStyle w:val="style66"/>
        <w:rPr/>
      </w:pPr>
      <w:r>
        <w:t>自动选择逻辑在 Admission Controller 层实现：Pod 携带</w:t>
      </w:r>
      <w:r>
        <w:t xml:space="preserve"> </w:t>
      </w:r>
      <w:r>
        <w:rPr>
          <w:rStyle w:val="style4120"/>
        </w:rPr>
        <w:t>workload-type: ai-agent</w:t>
      </w:r>
      <w:r>
        <w:t xml:space="preserve"> </w:t>
      </w:r>
      <w:r>
        <w:t>标签注入</w:t>
      </w:r>
      <w:r>
        <w:t xml:space="preserve"> </w:t>
      </w:r>
      <w:r>
        <w:rPr>
          <w:rStyle w:val="style4120"/>
        </w:rPr>
        <w:t>runtimeclass-cube</w:t>
      </w:r>
      <w:r>
        <w:t>；携带</w:t>
      </w:r>
      <w:r>
        <w:t xml:space="preserve"> </w:t>
      </w:r>
      <w:r>
        <w:rPr>
          <w:rStyle w:val="style4120"/>
        </w:rPr>
        <w:t>security-level: high</w:t>
      </w:r>
      <w:r>
        <w:t xml:space="preserve"> </w:t>
      </w:r>
      <w:r>
        <w:t>标签注入</w:t>
      </w:r>
      <w:r>
        <w:t xml:space="preserve"> </w:t>
      </w:r>
      <w:r>
        <w:rPr>
          <w:rStyle w:val="style4120"/>
        </w:rPr>
        <w:t>runtimeclass-kata-clh</w:t>
      </w:r>
      <w:r>
        <w:t>；请求 VM 或实时迁移能力注入</w:t>
      </w:r>
      <w:r>
        <w:t xml:space="preserve"> </w:t>
      </w:r>
      <w:r>
        <w:rPr>
          <w:rStyle w:val="style4120"/>
        </w:rPr>
        <w:t>runtimeclass-incus</w:t>
      </w:r>
      <w:r>
        <w:t>。这一机制确保上层应用无需关心底层运行时细节，平台根据工作负载特征自动匹配最优运行时。</w:t>
      </w:r>
    </w:p>
    <w:bookmarkStart w:id="63" w:name="跨运行时资源协同"/>
    <w:bookmarkEnd w:id="62"/>
    <w:p w14:paraId="180DF251">
      <w:pPr>
        <w:pStyle w:val="style4104"/>
        <w:rPr/>
      </w:pPr>
      <w:r>
        <w:t>3.4.4 跨运行时资源协同</w:t>
      </w:r>
    </w:p>
    <w:p w14:paraId="7DCFF1D5">
      <w:pPr>
        <w:pStyle w:val="style4097"/>
        <w:rPr/>
      </w:pPr>
      <w:r>
        <w:t>三运行时在存储、内存和网络三个维度需要统一抽象。CoW 内存共享方面，CubeSandbox 的 CoW 快照池、Kata 的 VM Template 池与 Incus 的镜像卷池均基于 Copy-on-Write，但实现层次不同。建议构建统一的 CoW 内存管理器，协调各运行时共享资源并监控去重率。</w:t>
      </w:r>
    </w:p>
    <w:p w14:paraId="05EB86CB">
      <w:pPr>
        <w:pStyle w:val="style66"/>
        <w:rPr/>
      </w:pPr>
      <w:r>
        <w:t>统一存储后端采用分层一致性策略：L0 virtio-fs + DAX 作为容器 rootfs（660MB/s 顺序读）</w:t>
      </w:r>
      <w:r>
        <w:rPr/>
        <w:fldChar w:fldCharType="begin"/>
      </w:r>
      <w:r>
        <w:instrText>NOTEREF _Ref_Footnote_85 \h \f</w:instrText>
      </w:r>
      <w:r>
        <w:rPr/>
        <w:fldChar w:fldCharType="separate"/>
      </w:r>
      <w:r>
        <w:rPr>
          <w:vertAlign w:val="superscript"/>
        </w:rPr>
        <w:t>85</w:t>
      </w:r>
      <w:r>
        <w:rPr/>
        <w:fldChar w:fldCharType="end"/>
      </w:r>
      <w:r>
        <w:t>；L1 ZFS/Btrfs 作为本地临时存储；L2 Ceph RBD 作为持久块存储（3x 复制）</w:t>
      </w:r>
      <w:r>
        <w:rPr/>
        <w:fldChar w:fldCharType="begin"/>
      </w:r>
      <w:r>
        <w:instrText>NOTEREF _Ref_Footnote_67 \h \f</w:instrText>
      </w:r>
      <w:r>
        <w:rPr/>
        <w:fldChar w:fldCharType="separate"/>
      </w:r>
      <w:r>
        <w:rPr>
          <w:vertAlign w:val="superscript"/>
        </w:rPr>
        <w:t>67</w:t>
      </w:r>
      <w:r>
        <w:rPr/>
        <w:fldChar w:fldCharType="end"/>
      </w:r>
      <w:r>
        <w:t>。关键风险在于不同层级的”一致性错觉”——virtio-fs 提供最终一致性，ZFS 提供单机强一致性，Ceph RBD 提供跨节点线性一致性。建议设计存储访问模式标记（read-only / local-write / distributed-write），按模式路由到对应层级。</w:t>
      </w:r>
    </w:p>
    <w:p w14:paraId="7294D2A2">
      <w:pPr>
        <w:pStyle w:val="style66"/>
        <w:rPr/>
      </w:pPr>
      <w:r>
        <w:t>统一网络命名空间采用分层 eBPF 策略：OVN 作为 SDN 基础设施提供多租户 VNI 隔离；Cilium 作为 Kubernetes CNI 提供 Pod 网络（吞吐量 9.2Gbps，延迟 2-5μs）</w:t>
      </w:r>
      <w:r>
        <w:rPr/>
        <w:fldChar w:fldCharType="begin"/>
      </w:r>
      <w:r>
        <w:instrText>NOTEREF _Ref_Footnote_15 \h \f</w:instrText>
      </w:r>
      <w:r>
        <w:rPr/>
        <w:fldChar w:fldCharType="separate"/>
      </w:r>
      <w:r>
        <w:rPr>
          <w:vertAlign w:val="superscript"/>
        </w:rPr>
        <w:t>15</w:t>
      </w:r>
      <w:r>
        <w:rPr/>
        <w:fldChar w:fldCharType="end"/>
      </w:r>
      <w:r>
        <w:t>；CubeVS 作为 MicroVM 网络层提供 TAP 接口加速（24Mpps/核）</w:t>
      </w:r>
      <w:r>
        <w:rPr/>
        <w:fldChar w:fldCharType="begin"/>
      </w:r>
      <w:r>
        <w:instrText>NOTEREF _Ref_Footnote_22 \h \f</w:instrText>
      </w:r>
      <w:r>
        <w:rPr/>
        <w:fldChar w:fldCharType="separate"/>
      </w:r>
      <w:r>
        <w:rPr>
          <w:vertAlign w:val="superscript"/>
        </w:rPr>
        <w:t>22</w:t>
      </w:r>
      <w:r>
        <w:rPr/>
        <w:fldChar w:fldCharType="end"/>
      </w:r>
      <w:r>
        <w:t>。三层 eBPF 堆叠需要统一资源协调——BPF Map 条目上限分配、加载顺序规范（基础设施→容器→MicroVM），以及冲突时降级至标准 TAP + iptables 的应急方案。</w:t>
      </w:r>
    </w:p>
    <w:p w14:paraId="ECC91813">
      <w:pPr>
        <w:pStyle w:val="style0"/>
        <w:rPr/>
      </w:pPr>
      <w:r>
        <w:rPr/>
        <w:pict>
          <v:rect id="1035" stroked="t" style="margin-left:0.0pt;margin-top:0.0pt;width:0.0pt;height:1.5pt;mso-wrap-distance-left:0.0pt;mso-wrap-distance-right:0.0pt;visibility:visible;" o:hr="t" o:hralign="center" o:hrstd="t">
            <v:fill/>
          </v:rect>
        </w:pict>
      </w:r>
    </w:p>
    <w:bookmarkStart w:id="64" w:name="网络架构设计"/>
    <w:bookmarkEnd w:id="63"/>
    <w:bookmarkEnd w:id="59"/>
    <w:bookmarkEnd w:id="43"/>
    <w:p w14:paraId="BD8319A5">
      <w:pPr>
        <w:pStyle w:val="style4102"/>
        <w:rPr/>
      </w:pPr>
      <w:r>
        <w:t>4. 网络架构设计</w:t>
      </w:r>
    </w:p>
    <w:p w14:paraId="0DE64D1A">
      <w:pPr>
        <w:pStyle w:val="style4097"/>
        <w:rPr/>
      </w:pPr>
      <w:r>
        <w:t>容器与虚拟机（VM）的混合运行环境对网络架构提出了多重挑战：不同隔离级别的工作负载需要统一的寻址与连通性模型，多租户场景要求严格的网络边界隔离，而高并发微服务通信又对数据面性能提出极致要求。本章基于 CNI（Container Network Interface）规范、SDN（Software-Defined Networking）技术与 eBPF（extended Berkeley Packet Filter）数据面的深度分析，提出一套面向 CubeSandbox 混合平台的五层网络架构方案，覆盖从物理网络到零信任安全策略的完整协议栈。</w:t>
      </w:r>
    </w:p>
    <w:bookmarkStart w:id="65" w:name="网络分层架构"/>
    <w:p w14:paraId="F88406D9">
      <w:pPr>
        <w:pStyle w:val="style4103"/>
        <w:rPr/>
      </w:pPr>
      <w:r>
        <w:t>4.1 网络分层架构</w:t>
      </w:r>
    </w:p>
    <w:bookmarkStart w:id="66" w:name="五层网络模型"/>
    <w:p w14:paraId="3E57C0DF">
      <w:pPr>
        <w:pStyle w:val="style4104"/>
        <w:rPr/>
      </w:pPr>
      <w:r>
        <w:t>4.1.1 五层网络模型</w:t>
      </w:r>
    </w:p>
    <w:p w14:paraId="C40378DC">
      <w:pPr>
        <w:pStyle w:val="style4097"/>
        <w:rPr/>
      </w:pPr>
      <w:r>
        <w:t>经过对 Cilium eBPF、OVN SDN 及 CubeVS XDP 数据面的交叉验证 [交叉验证#5^]，本架构采用自底向上的五层网络模型：物理网络层（L1）→ OVN SDN 层（L2）→ Cilium CNI 层（L3）→ CubeVS MicroVM 层（L4）→ 零信任安全层（L5）。图 4.1 展示了该五层架构的逻辑组成与数据流向。</w:t>
      </w:r>
    </w:p>
    <w:p w14:paraId="4D429986">
      <w:pPr>
        <w:pStyle w:val="style4118"/>
        <w:rPr/>
      </w:pPr>
      <w:r>
        <w:rPr/>
        <w:drawing>
          <wp:inline distL="0" distT="0" distB="0" distR="0">
            <wp:extent cx="5334000" cy="3795715"/>
            <wp:effectExtent l="0" t="0" r="0" b="0"/>
            <wp:docPr id="1036" name="Picture" descr="图 4.1 CubeSandbox 网络分层架构"/>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pic:cNvPicPr/>
                  </pic:nvPicPr>
                  <pic:blipFill>
                    <a:blip r:embed="rId8" cstate="print"/>
                    <a:srcRect l="0" t="0" r="0" b="0"/>
                    <a:stretch/>
                  </pic:blipFill>
                  <pic:spPr>
                    <a:xfrm rot="0">
                      <a:off x="0" y="0"/>
                      <a:ext cx="5334000" cy="3795715"/>
                    </a:xfrm>
                    <a:prstGeom prst="rect"/>
                    <a:ln>
                      <a:noFill/>
                    </a:ln>
                  </pic:spPr>
                </pic:pic>
              </a:graphicData>
            </a:graphic>
          </wp:inline>
        </w:drawing>
      </w:r>
    </w:p>
    <w:p w14:paraId="2F1C641C">
      <w:pPr>
        <w:pStyle w:val="style4116"/>
        <w:rPr/>
      </w:pPr>
      <w:r>
        <w:t>图 4.1 CubeSandbox 网络分层架构</w:t>
      </w:r>
    </w:p>
    <w:p w14:paraId="EA6CE9C3">
      <w:pPr>
        <w:pStyle w:val="style66"/>
        <w:rPr/>
      </w:pPr>
      <w:r>
        <w:rPr>
          <w:i/>
          <w:iCs/>
        </w:rPr>
        <w:t>图 4.1 CubeSandbox 网络五层架构模型：物理网络层提供硬件加速与 Overlay 封装；OVN SDN 层负责逻辑网络抽象与多租户 VPC 隔离；Cilium CNI 层通过 eBPF 实现容器网络的高速数据面；CubeVS MicroVM 层基于 XDP 提供虚拟交换；零信任安全层在 L3-L7 执行统一网络策略。</w:t>
      </w:r>
    </w:p>
    <w:p w14:paraId="73AA4006">
      <w:pPr>
        <w:pStyle w:val="style66"/>
        <w:rPr/>
      </w:pPr>
      <w:r>
        <w:t>L1 物理网络层承载网卡硬件与 Overlay 封装协议。L2 OVN SDN 层通过逻辑交换机与路由器抽象物理拓扑，为多租户环境提供 VPC（Virtual Private Cloud）级别的网络隔离。L3 Cilium CNI 层基于 eBPF 实现 Kubernetes Pod 网络的高性能数据面，替代 iptables 线性规则遍历路径。L4 CubeVS MicroVM 层专为 CubeSandbox 的 MicroVM 工作负载设计，通过 eBPF/XDP 在 TAP 接口层面完成虚拟交换。最顶层的 L5 零信任安全层跨 L3-L7 执行网络策略。这种分层设计的核心思想源于交叉验证发现：</w:t>
      </w:r>
      <w:r>
        <w:t>“</w:t>
      </w:r>
      <w:r>
        <w:t>CubeVS 处理 MicroVM 内部 TAP 网络，Cilium 处理 K8s 容器网络，OVN 提供 SDN 基础设施——三者互补而非竞争</w:t>
      </w:r>
      <w:r>
        <w:t>”</w:t>
      </w:r>
      <w:r>
        <w:t xml:space="preserve"> </w:t>
      </w:r>
      <w:r>
        <w:t>[交叉验证#5^]。</w:t>
      </w:r>
    </w:p>
    <w:bookmarkStart w:id="67" w:name="各层职责定义与接口契约"/>
    <w:bookmarkEnd w:id="66"/>
    <w:p w14:paraId="9379576B">
      <w:pPr>
        <w:pStyle w:val="style4104"/>
        <w:rPr/>
      </w:pPr>
      <w:r>
        <w:t>4.1.2 各层职责定义与接口契约</w:t>
      </w:r>
    </w:p>
    <w:p w14:paraId="73973FF8">
      <w:pPr>
        <w:pStyle w:val="style4097"/>
        <w:rPr/>
      </w:pPr>
      <w:r>
        <w:t>每一层通过明确定义的接口与相邻层交互，确保数据面与控制面的解耦。表 4.1 详细定义了各层的职责边界与接口契约。</w:t>
      </w:r>
    </w:p>
    <w:p w14:paraId="210A4805">
      <w:pPr>
        <w:pStyle w:val="style66"/>
        <w:rPr/>
      </w:pPr>
      <w:r>
        <w:rPr>
          <w:b/>
          <w:bCs/>
        </w:rPr>
        <w:t>表 4.1 网络分层职责定义与接口契约</w:t>
      </w:r>
    </w:p>
    <w:tbl>
      <w:tblPr>
        <w:tblStyle w:val="style4111"/>
        <w:tblW w:w="5000" w:type="pct"/>
        <w:tblLook w:val="0020" w:firstRow="1" w:lastRow="0" w:firstColumn="0" w:lastColumn="0" w:noHBand="0" w:noVBand="0"/>
      </w:tblPr>
      <w:tblGrid>
        <w:gridCol w:w="524"/>
        <w:gridCol w:w="1225"/>
        <w:gridCol w:w="2526"/>
        <w:gridCol w:w="1624"/>
        <w:gridCol w:w="2018"/>
      </w:tblGrid>
      <w:tr w14:paraId="98BE1A3F">
        <w:trPr>
          <w:tblHeader/>
        </w:trPr>
        <w:tc>
          <w:tcPr>
            <w:tcW w:w="0" w:type="auto"/>
            <w:tcBorders/>
          </w:tcPr>
          <w:p w14:paraId="4C4F3F37">
            <w:pPr>
              <w:pStyle w:val="style4098"/>
              <w:jc w:val="left"/>
              <w:rPr/>
            </w:pPr>
            <w:r>
              <w:t>层级</w:t>
            </w:r>
          </w:p>
        </w:tc>
        <w:tc>
          <w:tcPr>
            <w:tcW w:w="0" w:type="auto"/>
            <w:tcBorders/>
          </w:tcPr>
          <w:p w14:paraId="585A0915">
            <w:pPr>
              <w:pStyle w:val="style4098"/>
              <w:jc w:val="left"/>
              <w:rPr/>
            </w:pPr>
            <w:r>
              <w:t>组件</w:t>
            </w:r>
          </w:p>
        </w:tc>
        <w:tc>
          <w:tcPr>
            <w:tcW w:w="0" w:type="auto"/>
            <w:tcBorders/>
          </w:tcPr>
          <w:p w14:paraId="8EDFAFD1">
            <w:pPr>
              <w:pStyle w:val="style4098"/>
              <w:jc w:val="left"/>
              <w:rPr/>
            </w:pPr>
            <w:r>
              <w:t>核心职责</w:t>
            </w:r>
          </w:p>
        </w:tc>
        <w:tc>
          <w:tcPr>
            <w:tcW w:w="0" w:type="auto"/>
            <w:tcBorders/>
          </w:tcPr>
          <w:p w14:paraId="69C7085F">
            <w:pPr>
              <w:pStyle w:val="style4098"/>
              <w:jc w:val="left"/>
              <w:rPr/>
            </w:pPr>
            <w:r>
              <w:t>北向接口</w:t>
            </w:r>
          </w:p>
        </w:tc>
        <w:tc>
          <w:tcPr>
            <w:tcW w:w="0" w:type="auto"/>
            <w:tcBorders/>
          </w:tcPr>
          <w:p w14:paraId="957643F8">
            <w:pPr>
              <w:pStyle w:val="style4098"/>
              <w:jc w:val="left"/>
              <w:rPr/>
            </w:pPr>
            <w:r>
              <w:t>南向接口</w:t>
            </w:r>
          </w:p>
        </w:tc>
      </w:tr>
      <w:tr w14:paraId="EC67405C">
        <w:tblPrEx/>
        <w:trPr/>
        <w:tc>
          <w:tcPr>
            <w:tcW w:w="0" w:type="auto"/>
            <w:tcBorders/>
          </w:tcPr>
          <w:p w14:paraId="1925E73B">
            <w:pPr>
              <w:pStyle w:val="style4098"/>
              <w:jc w:val="left"/>
              <w:rPr/>
            </w:pPr>
            <w:r>
              <w:t>L5</w:t>
            </w:r>
          </w:p>
        </w:tc>
        <w:tc>
          <w:tcPr>
            <w:tcW w:w="0" w:type="auto"/>
            <w:tcBorders/>
          </w:tcPr>
          <w:p w14:paraId="7B126663">
            <w:pPr>
              <w:pStyle w:val="style4098"/>
              <w:jc w:val="left"/>
              <w:rPr/>
            </w:pPr>
            <w:r>
              <w:t>零信任策略引擎</w:t>
            </w:r>
          </w:p>
        </w:tc>
        <w:tc>
          <w:tcPr>
            <w:tcW w:w="0" w:type="auto"/>
            <w:tcBorders/>
          </w:tcPr>
          <w:p w14:paraId="43422404">
            <w:pPr>
              <w:pStyle w:val="style4098"/>
              <w:jc w:val="left"/>
              <w:rPr/>
            </w:pPr>
            <w:r>
              <w:t>身份认证、L7 策略执行、流量审计</w:t>
            </w:r>
          </w:p>
        </w:tc>
        <w:tc>
          <w:tcPr>
            <w:tcW w:w="0" w:type="auto"/>
            <w:tcBorders/>
          </w:tcPr>
          <w:p w14:paraId="EA843352">
            <w:pPr>
              <w:pStyle w:val="style4098"/>
              <w:jc w:val="left"/>
              <w:rPr/>
            </w:pPr>
            <w:r>
              <w:t>应用层服务声明</w:t>
            </w:r>
          </w:p>
        </w:tc>
        <w:tc>
          <w:tcPr>
            <w:tcW w:w="0" w:type="auto"/>
            <w:tcBorders/>
          </w:tcPr>
          <w:p w14:paraId="B9138AF7">
            <w:pPr>
              <w:pStyle w:val="style4098"/>
              <w:jc w:val="left"/>
              <w:rPr/>
            </w:pPr>
            <w:r>
              <w:t>L3/L4 策略指令</w:t>
            </w:r>
          </w:p>
        </w:tc>
      </w:tr>
      <w:tr w14:paraId="520F0E41">
        <w:tblPrEx/>
        <w:trPr/>
        <w:tc>
          <w:tcPr>
            <w:tcW w:w="0" w:type="auto"/>
            <w:tcBorders/>
          </w:tcPr>
          <w:p w14:paraId="4CBC2832">
            <w:pPr>
              <w:pStyle w:val="style4098"/>
              <w:jc w:val="left"/>
              <w:rPr/>
            </w:pPr>
            <w:r>
              <w:t>L4</w:t>
            </w:r>
          </w:p>
        </w:tc>
        <w:tc>
          <w:tcPr>
            <w:tcW w:w="0" w:type="auto"/>
            <w:tcBorders/>
          </w:tcPr>
          <w:p w14:paraId="5DD2D017">
            <w:pPr>
              <w:pStyle w:val="style4098"/>
              <w:jc w:val="left"/>
              <w:rPr/>
            </w:pPr>
            <w:r>
              <w:t>CubeVS</w:t>
            </w:r>
          </w:p>
        </w:tc>
        <w:tc>
          <w:tcPr>
            <w:tcW w:w="0" w:type="auto"/>
            <w:tcBorders/>
          </w:tcPr>
          <w:p w14:paraId="CF1828F5">
            <w:pPr>
              <w:pStyle w:val="style4098"/>
              <w:jc w:val="left"/>
              <w:rPr/>
            </w:pPr>
            <w:r>
              <w:t>MicroVM TAP 交换、SNAT/DNAT、沙箱隔离</w:t>
            </w:r>
          </w:p>
        </w:tc>
        <w:tc>
          <w:tcPr>
            <w:tcW w:w="0" w:type="auto"/>
            <w:tcBorders/>
          </w:tcPr>
          <w:p w14:paraId="0D1A6559">
            <w:pPr>
              <w:pStyle w:val="style4098"/>
              <w:jc w:val="left"/>
              <w:rPr/>
            </w:pPr>
            <w:r>
              <w:t>virtio-net/vhost-net</w:t>
            </w:r>
          </w:p>
        </w:tc>
        <w:tc>
          <w:tcPr>
            <w:tcW w:w="0" w:type="auto"/>
            <w:tcBorders/>
          </w:tcPr>
          <w:p w14:paraId="5CD85A0F">
            <w:pPr>
              <w:pStyle w:val="style4098"/>
              <w:jc w:val="left"/>
              <w:rPr/>
            </w:pPr>
            <w:r>
              <w:t>物理网桥/OVS</w:t>
            </w:r>
          </w:p>
        </w:tc>
      </w:tr>
      <w:tr w14:paraId="B7314328">
        <w:tblPrEx/>
        <w:trPr/>
        <w:tc>
          <w:tcPr>
            <w:tcW w:w="0" w:type="auto"/>
            <w:tcBorders/>
          </w:tcPr>
          <w:p w14:paraId="19357CCD">
            <w:pPr>
              <w:pStyle w:val="style4098"/>
              <w:jc w:val="left"/>
              <w:rPr/>
            </w:pPr>
            <w:r>
              <w:t>L3</w:t>
            </w:r>
          </w:p>
        </w:tc>
        <w:tc>
          <w:tcPr>
            <w:tcW w:w="0" w:type="auto"/>
            <w:tcBorders/>
          </w:tcPr>
          <w:p w14:paraId="606C9E79">
            <w:pPr>
              <w:pStyle w:val="style4098"/>
              <w:jc w:val="left"/>
              <w:rPr/>
            </w:pPr>
            <w:r>
              <w:t>Cilium CNI</w:t>
            </w:r>
          </w:p>
        </w:tc>
        <w:tc>
          <w:tcPr>
            <w:tcW w:w="0" w:type="auto"/>
            <w:tcBorders/>
          </w:tcPr>
          <w:p w14:paraId="D9467B08">
            <w:pPr>
              <w:pStyle w:val="style4098"/>
              <w:jc w:val="left"/>
              <w:rPr/>
            </w:pPr>
            <w:r>
              <w:t>Pod IP 管理、服务负载均衡、NetworkPolicy</w:t>
            </w:r>
          </w:p>
        </w:tc>
        <w:tc>
          <w:tcPr>
            <w:tcW w:w="0" w:type="auto"/>
            <w:tcBorders/>
          </w:tcPr>
          <w:p w14:paraId="8CBABCCC">
            <w:pPr>
              <w:pStyle w:val="style4098"/>
              <w:jc w:val="left"/>
              <w:rPr/>
            </w:pPr>
            <w:r>
              <w:t>Kubernetes CNI API</w:t>
            </w:r>
          </w:p>
        </w:tc>
        <w:tc>
          <w:tcPr>
            <w:tcW w:w="0" w:type="auto"/>
            <w:tcBorders/>
          </w:tcPr>
          <w:p w14:paraId="FBC586F9">
            <w:pPr>
              <w:pStyle w:val="style4098"/>
              <w:jc w:val="left"/>
              <w:rPr/>
            </w:pPr>
            <w:r>
              <w:t>VXLAN/Geneve 隧道</w:t>
            </w:r>
          </w:p>
        </w:tc>
      </w:tr>
      <w:tr w14:paraId="F20754A0">
        <w:tblPrEx/>
        <w:trPr/>
        <w:tc>
          <w:tcPr>
            <w:tcW w:w="0" w:type="auto"/>
            <w:tcBorders/>
          </w:tcPr>
          <w:p w14:paraId="74DE89ED">
            <w:pPr>
              <w:pStyle w:val="style4098"/>
              <w:jc w:val="left"/>
              <w:rPr/>
            </w:pPr>
            <w:r>
              <w:t>L2</w:t>
            </w:r>
          </w:p>
        </w:tc>
        <w:tc>
          <w:tcPr>
            <w:tcW w:w="0" w:type="auto"/>
            <w:tcBorders/>
          </w:tcPr>
          <w:p w14:paraId="39EC947A">
            <w:pPr>
              <w:pStyle w:val="style4098"/>
              <w:jc w:val="left"/>
              <w:rPr/>
            </w:pPr>
            <w:r>
              <w:t>OVN SDN</w:t>
            </w:r>
          </w:p>
        </w:tc>
        <w:tc>
          <w:tcPr>
            <w:tcW w:w="0" w:type="auto"/>
            <w:tcBorders/>
          </w:tcPr>
          <w:p w14:paraId="1CDC09BA">
            <w:pPr>
              <w:pStyle w:val="style4098"/>
              <w:jc w:val="left"/>
              <w:rPr/>
            </w:pPr>
            <w:r>
              <w:t>逻辑网络编排、VPC 路由、DHCP/DNS/ACL</w:t>
            </w:r>
          </w:p>
        </w:tc>
        <w:tc>
          <w:tcPr>
            <w:tcW w:w="0" w:type="auto"/>
            <w:tcBorders/>
          </w:tcPr>
          <w:p w14:paraId="E6533029">
            <w:pPr>
              <w:pStyle w:val="style4098"/>
              <w:jc w:val="left"/>
              <w:rPr/>
            </w:pPr>
            <w:r>
              <w:t>Incus OVN API</w:t>
            </w:r>
          </w:p>
        </w:tc>
        <w:tc>
          <w:tcPr>
            <w:tcW w:w="0" w:type="auto"/>
            <w:tcBorders/>
          </w:tcPr>
          <w:p w14:paraId="C435F17B">
            <w:pPr>
              <w:pStyle w:val="style4098"/>
              <w:jc w:val="left"/>
              <w:rPr/>
            </w:pPr>
            <w:r>
              <w:t>物理网络 Underlay</w:t>
            </w:r>
          </w:p>
        </w:tc>
      </w:tr>
      <w:tr w14:paraId="2B1B90B5">
        <w:tblPrEx/>
        <w:trPr/>
        <w:tc>
          <w:tcPr>
            <w:tcW w:w="0" w:type="auto"/>
            <w:tcBorders/>
          </w:tcPr>
          <w:p w14:paraId="37D52B04">
            <w:pPr>
              <w:pStyle w:val="style4098"/>
              <w:jc w:val="left"/>
              <w:rPr/>
            </w:pPr>
            <w:r>
              <w:t>L1</w:t>
            </w:r>
          </w:p>
        </w:tc>
        <w:tc>
          <w:tcPr>
            <w:tcW w:w="0" w:type="auto"/>
            <w:tcBorders/>
          </w:tcPr>
          <w:p w14:paraId="7ED762E5">
            <w:pPr>
              <w:pStyle w:val="style4098"/>
              <w:jc w:val="left"/>
              <w:rPr/>
            </w:pPr>
            <w:r>
              <w:t>物理网络</w:t>
            </w:r>
          </w:p>
        </w:tc>
        <w:tc>
          <w:tcPr>
            <w:tcW w:w="0" w:type="auto"/>
            <w:tcBorders/>
          </w:tcPr>
          <w:p w14:paraId="5D2F2C89">
            <w:pPr>
              <w:pStyle w:val="style4098"/>
              <w:jc w:val="left"/>
              <w:rPr/>
            </w:pPr>
            <w:r>
              <w:t>NIC 硬件卸载、DPU 加速、Overlay 封装</w:t>
            </w:r>
          </w:p>
        </w:tc>
        <w:tc>
          <w:tcPr>
            <w:tcW w:w="0" w:type="auto"/>
            <w:tcBorders/>
          </w:tcPr>
          <w:p w14:paraId="390FAEB5">
            <w:pPr>
              <w:pStyle w:val="style4098"/>
              <w:jc w:val="left"/>
              <w:rPr/>
            </w:pPr>
            <w:r>
              <w:t>SR-IOV VF / vDPA</w:t>
            </w:r>
          </w:p>
        </w:tc>
        <w:tc>
          <w:tcPr>
            <w:tcW w:w="0" w:type="auto"/>
            <w:tcBorders/>
          </w:tcPr>
          <w:p w14:paraId="0C9C9FCD">
            <w:pPr>
              <w:pStyle w:val="style4098"/>
              <w:jc w:val="left"/>
              <w:rPr/>
            </w:pPr>
            <w:r>
              <w:t>交换机/路由器</w:t>
            </w:r>
          </w:p>
        </w:tc>
      </w:tr>
    </w:tbl>
    <w:p w14:paraId="2BD8ABE2">
      <w:pPr>
        <w:pStyle w:val="style66"/>
        <w:rPr/>
      </w:pPr>
      <w:r>
        <w:t>L2 OVN SDN 层作为控制面中枢，通过 ovn-northd 将逻辑配置转换为 OpenFlow 流表，通过 ovn-controller 下发到每个节点的 OVS 实例</w:t>
      </w:r>
      <w:r>
        <w:t xml:space="preserve"> </w:t>
      </w:r>
      <w:r>
        <w:rPr>
          <w:vertAlign w:val="superscript"/>
        </w:rPr>
        <w:footnoteReference w:id="106"/>
      </w:r>
      <w:r>
        <w:t>。Incus 从 6.3 版本起使用原生 OVSDB 客户端与 OVN 交互，不再依赖 ovn-nbctl 命令行工具，显著提升了大规模场景下的配置效率</w:t>
      </w:r>
      <w:r>
        <w:t xml:space="preserve"> </w:t>
      </w:r>
      <w:r>
        <w:rPr>
          <w:vertAlign w:val="superscript"/>
        </w:rPr>
        <w:footnoteReference w:id="107"/>
      </w:r>
      <w:r>
        <w:t>。L3 Cilium CNI 的数据面通过 eBPF 直接在内核中处理网络流量，Cilium Agent 在每个节点上负责加载 eBPF 程序并与 Kubernetes API Server 通信</w:t>
      </w:r>
      <w:r>
        <w:t xml:space="preserve"> </w:t>
      </w:r>
      <w:r>
        <w:rPr/>
        <w:fldChar w:fldCharType="begin"/>
      </w:r>
      <w:r>
        <w:instrText>NOTEREF _Ref_Footnote_15 \h \f</w:instrText>
      </w:r>
      <w:r>
        <w:rPr/>
        <w:fldChar w:fldCharType="separate"/>
      </w:r>
      <w:r>
        <w:rPr>
          <w:vertAlign w:val="superscript"/>
        </w:rPr>
        <w:t>15</w:t>
      </w:r>
      <w:r>
        <w:rPr/>
        <w:fldChar w:fldCharType="end"/>
      </w:r>
      <w:r>
        <w:t>。L4 CubeVS 层的接口基于 TAP 设备与 virtio-net 驱动：v0.2.0 版本修复了 virtio-net TAP 硬件卸载（TSO/UFO/CSUM）导致的多租户网络问题，该问题曾引发主 NIC 的网络错误并影响其他租户</w:t>
      </w:r>
      <w:r>
        <w:t xml:space="preserve"> </w:t>
      </w:r>
      <w:r>
        <w:rPr>
          <w:vertAlign w:val="superscript"/>
        </w:rPr>
        <w:footnoteReference w:id="108"/>
      </w:r>
      <w:r>
        <w:t>。</w:t>
      </w:r>
    </w:p>
    <w:bookmarkStart w:id="68" w:name="数据面与控制面分离"/>
    <w:bookmarkEnd w:id="67"/>
    <w:p w14:paraId="3847CA45">
      <w:pPr>
        <w:pStyle w:val="style4104"/>
        <w:rPr/>
      </w:pPr>
      <w:r>
        <w:t>4.1.3 数据面与控制面分离</w:t>
      </w:r>
    </w:p>
    <w:p w14:paraId="DFE605CE">
      <w:pPr>
        <w:pStyle w:val="style4097"/>
        <w:rPr/>
      </w:pPr>
      <w:r>
        <w:t>架构遵循严格的数据面与控制面分离原则。控制面由 OVN 的 ovn-northd 和 Cilium Agent 组成，负责网络拓扑计算与策略编排；数据面由 eBPF/XDP 程序和 OVS 内核 datapath 组成，负责高性能包处理。</w:t>
      </w:r>
    </w:p>
    <w:p w14:paraId="D7620C3A">
      <w:pPr>
        <w:pStyle w:val="style66"/>
        <w:rPr/>
      </w:pPr>
      <w:r>
        <w:t>控制面路径上，OVN 将逻辑网络配置转换为 OpenFlow 流表下发到 OVS 实例</w:t>
      </w:r>
      <w:r>
        <w:t xml:space="preserve"> </w:t>
      </w:r>
      <w:r>
        <w:rPr/>
        <w:fldChar w:fldCharType="begin"/>
      </w:r>
      <w:r>
        <w:instrText>NOTEREF _Ref_Footnote_106 \h \f</w:instrText>
      </w:r>
      <w:r>
        <w:rPr/>
        <w:fldChar w:fldCharType="separate"/>
      </w:r>
      <w:r>
        <w:rPr>
          <w:vertAlign w:val="superscript"/>
        </w:rPr>
        <w:t>106</w:t>
      </w:r>
      <w:r>
        <w:rPr/>
        <w:fldChar w:fldCharType="end"/>
      </w:r>
      <w:r>
        <w:t>；Cilium Agent 监听 Kubernetes Service 和 EndpointSlice 变化，将服务映射更新到 eBPF Map 中，实现 O(1) 复杂度的服务查找</w:t>
      </w:r>
      <w:r>
        <w:t xml:space="preserve"> </w:t>
      </w:r>
      <w:r>
        <w:rPr/>
        <w:fldChar w:fldCharType="begin"/>
      </w:r>
      <w:r>
        <w:instrText>NOTEREF _Ref_Footnote_26 \h \f</w:instrText>
      </w:r>
      <w:r>
        <w:rPr/>
        <w:fldChar w:fldCharType="separate"/>
      </w:r>
      <w:r>
        <w:rPr>
          <w:vertAlign w:val="superscript"/>
        </w:rPr>
        <w:t>26</w:t>
      </w:r>
      <w:r>
        <w:rPr/>
        <w:fldChar w:fldCharType="end"/>
      </w:r>
      <w:r>
        <w:t>。数据面路径上，eBPF 程序在 XDP（网络驱动层）、tc（traffic control）以及 cgroup/connect（socket 层）三个关键 hook 点介入</w:t>
      </w:r>
      <w:r>
        <w:t xml:space="preserve"> </w:t>
      </w:r>
      <w:r>
        <w:rPr/>
        <w:fldChar w:fldCharType="begin"/>
      </w:r>
      <w:r>
        <w:instrText>NOTEREF _Ref_Footnote_26 \h \f</w:instrText>
      </w:r>
      <w:r>
        <w:rPr/>
        <w:fldChar w:fldCharType="separate"/>
      </w:r>
      <w:r>
        <w:rPr>
          <w:vertAlign w:val="superscript"/>
        </w:rPr>
        <w:t>26</w:t>
      </w:r>
      <w:r>
        <w:rPr/>
        <w:fldChar w:fldCharType="end"/>
      </w:r>
      <w:r>
        <w:t>。XDP 程序可实现 XDP_PASS（继续网络栈）、XDP_DROP（立即丢弃）、XDP_TX（同接口反弹）、XDP_REDIRECT（重定向到其他接口）以及 XDP_ABORTED（丢弃并记录错误）五种处理结果</w:t>
      </w:r>
      <w:r>
        <w:t xml:space="preserve"> </w:t>
      </w:r>
      <w:r>
        <w:rPr/>
        <w:fldChar w:fldCharType="begin"/>
      </w:r>
      <w:r>
        <w:instrText>NOTEREF _Ref_Footnote_47 \h \f</w:instrText>
      </w:r>
      <w:r>
        <w:rPr/>
        <w:fldChar w:fldCharType="separate"/>
      </w:r>
      <w:r>
        <w:rPr>
          <w:vertAlign w:val="superscript"/>
        </w:rPr>
        <w:t>47</w:t>
      </w:r>
      <w:r>
        <w:rPr/>
        <w:fldChar w:fldCharType="end"/>
      </w:r>
      <w:r>
        <w:t>。这种分离确保控制面的策略变更不会阻塞数据面的包转发。</w:t>
      </w:r>
    </w:p>
    <w:bookmarkStart w:id="69" w:name="ebpf-数据面设计"/>
    <w:bookmarkEnd w:id="68"/>
    <w:bookmarkEnd w:id="65"/>
    <w:p w14:paraId="24FC344E">
      <w:pPr>
        <w:pStyle w:val="style4103"/>
        <w:rPr/>
      </w:pPr>
      <w:r>
        <w:t>4.2 eBPF 数据面设计</w:t>
      </w:r>
    </w:p>
    <w:bookmarkStart w:id="70" w:name="cubevs-实现"/>
    <w:p w14:paraId="E020694E">
      <w:pPr>
        <w:pStyle w:val="style4104"/>
        <w:rPr/>
      </w:pPr>
      <w:r>
        <w:t>4.2.1 CubeVS 实现</w:t>
      </w:r>
    </w:p>
    <w:p w14:paraId="9954B1C2">
      <w:pPr>
        <w:pStyle w:val="style4097"/>
        <w:rPr/>
      </w:pPr>
      <w:r>
        <w:t>CubeVS 是 CubeSandbox 内置的基于 eBPF/XDP 的虚拟交换机，核心功能在内核态完成，避免了用户态与内核态的频繁上下文切换</w:t>
      </w:r>
      <w:r>
        <w:t xml:space="preserve"> </w:t>
      </w:r>
      <w:r>
        <w:rPr/>
        <w:fldChar w:fldCharType="begin"/>
      </w:r>
      <w:r>
        <w:instrText>NOTEREF _Ref_Footnote_3 \h \f</w:instrText>
      </w:r>
      <w:r>
        <w:rPr/>
        <w:fldChar w:fldCharType="separate"/>
      </w:r>
      <w:r>
        <w:rPr>
          <w:vertAlign w:val="superscript"/>
        </w:rPr>
        <w:t>3</w:t>
      </w:r>
      <w:r>
        <w:rPr/>
        <w:fldChar w:fldCharType="end"/>
      </w:r>
      <w:r>
        <w:t>。CubeVS 采用三层隔离模型：L2 转发层处理以太网帧交换，L3 路由层负责 IP 包路由查找，L4 策略层执行基于端口的访问控制。在性能层面，XDP 可实现单核 2{,}400 万包/秒（24 Mpps）的处理能力，比传统内核网络栈提升约 10 倍</w:t>
      </w:r>
      <w:r>
        <w:t xml:space="preserve"> </w:t>
      </w:r>
      <w:r>
        <w:rPr/>
        <w:fldChar w:fldCharType="begin"/>
      </w:r>
      <w:r>
        <w:instrText>NOTEREF _Ref_Footnote_22 \h \f</w:instrText>
      </w:r>
      <w:r>
        <w:rPr/>
        <w:fldChar w:fldCharType="separate"/>
      </w:r>
      <w:r>
        <w:rPr>
          <w:vertAlign w:val="superscript"/>
        </w:rPr>
        <w:t>22</w:t>
      </w:r>
      <w:r>
        <w:rPr/>
        <w:fldChar w:fldCharType="end"/>
      </w:r>
      <w:r>
        <w:t>。</w:t>
      </w:r>
    </w:p>
    <w:p w14:paraId="F2F08AF7">
      <w:pPr>
        <w:pStyle w:val="style66"/>
        <w:rPr/>
      </w:pPr>
      <w:r>
        <w:t>CubeVS 的核心 eBPF 逻辑遵循”无策略默认拒绝”原则：每个入站包解析 Ethernet 与 IP 头后，通过 bpf_map 查找目标沙箱的网络策略，仅当目标端口显式允许时才放行（XDP_PASS），否则丢弃（XDP_DROP）</w:t>
      </w:r>
      <w:r>
        <w:rPr/>
        <w:fldChar w:fldCharType="begin"/>
      </w:r>
      <w:r>
        <w:instrText>NOTEREF _Ref_Footnote_3 \h \f</w:instrText>
      </w:r>
      <w:r>
        <w:rPr/>
        <w:fldChar w:fldCharType="separate"/>
      </w:r>
      <w:r>
        <w:rPr>
          <w:vertAlign w:val="superscript"/>
        </w:rPr>
        <w:t>3</w:t>
      </w:r>
      <w:r>
        <w:rPr/>
        <w:fldChar w:fldCharType="end"/>
      </w:r>
      <w:r>
        <w:t>。出站流量执行 SNAT（Source Network Address Translation）将沙箱私有 IP 转换为宿主机 IP，入站流量执行 DNAT 将外部请求映射到目标沙箱。每个 MicroVM 沙箱由此拥有独立的网络命名空间与 IP 地址，同时可与外部网络进行受控通信。</w:t>
      </w:r>
    </w:p>
    <w:bookmarkStart w:id="71" w:name="cilium-ebpf-集成"/>
    <w:bookmarkEnd w:id="70"/>
    <w:p w14:paraId="F816FFAD">
      <w:pPr>
        <w:pStyle w:val="style4104"/>
        <w:rPr/>
      </w:pPr>
      <w:r>
        <w:t>4.2.2 Cilium eBPF 集成</w:t>
      </w:r>
    </w:p>
    <w:p w14:paraId="2C1042E7">
      <w:pPr>
        <w:pStyle w:val="style4097"/>
        <w:rPr/>
      </w:pPr>
      <w:r>
        <w:t>Cilium 的 eBPF 实现从根本上改变了 Kubernetes 网络的处理方式。传统 kube-proxy 的 iptables 模式采用线性规则链遍历，查找复杂度为 O(N)，在 1{,}000 个 Service 场景下查找延迟为 50-200 μs；IPVS 模式将延迟降至 5-20 μs，但仍依赖内核 IPVS 模块。Cilium 通过 eBPF hash 映射将查找复杂度降为 O(1)，每次查找延迟仅 2-5 μs</w:t>
      </w:r>
      <w:r>
        <w:t xml:space="preserve"> </w:t>
      </w:r>
      <w:r>
        <w:rPr>
          <w:vertAlign w:val="superscript"/>
        </w:rPr>
        <w:footnoteReference w:id="109"/>
      </w:r>
      <w:r>
        <w:t>。Google 内部测量表明，从 iptables 切换到 IPVS 在最大规模集群中降低了 30% 的尾延迟（p99）</w:t>
      </w:r>
      <w:r>
        <w:rPr/>
        <w:fldChar w:fldCharType="begin"/>
      </w:r>
      <w:r>
        <w:instrText>NOTEREF _Ref_Footnote_109 \h \f</w:instrText>
      </w:r>
      <w:r>
        <w:rPr/>
        <w:fldChar w:fldCharType="separate"/>
      </w:r>
      <w:r>
        <w:rPr>
          <w:vertAlign w:val="superscript"/>
        </w:rPr>
        <w:t>109</w:t>
      </w:r>
      <w:r>
        <w:rPr/>
        <w:fldChar w:fldCharType="end"/>
      </w:r>
      <w:r>
        <w:t>；Cilium 的 eBPF 模式则在此基础上进一步将延迟降低 40-50%</w:t>
      </w:r>
      <w:r>
        <w:t xml:space="preserve"> </w:t>
      </w:r>
      <w:r>
        <w:rPr>
          <w:vertAlign w:val="superscript"/>
        </w:rPr>
        <w:footnoteReference w:id="110"/>
      </w:r>
      <w:r>
        <w:t>。</w:t>
      </w:r>
    </w:p>
    <w:p w14:paraId="3283A6B9">
      <w:pPr>
        <w:pStyle w:val="style66"/>
        <w:rPr/>
      </w:pPr>
      <w:r>
        <w:t>在吞吐量方面，Cilium 在 Pod-to-Pod 测试中达到 9.2 Gbps，在 Pod-to-Service 测试（40 Gbps 网络）中达到 28.5 Gbps，比 Calico 的 22.1 Gbps 高出约 25%</w:t>
      </w:r>
      <w:r>
        <w:t xml:space="preserve"> </w:t>
      </w:r>
      <w:r>
        <w:rPr/>
        <w:fldChar w:fldCharType="begin"/>
      </w:r>
      <w:r>
        <w:instrText>NOTEREF _Ref_Footnote_7 \h \f</w:instrText>
      </w:r>
      <w:r>
        <w:rPr/>
        <w:fldChar w:fldCharType="separate"/>
      </w:r>
      <w:r>
        <w:rPr>
          <w:vertAlign w:val="superscript"/>
        </w:rPr>
        <w:t>7</w:t>
      </w:r>
      <w:r>
        <w:rPr/>
        <w:fldChar w:fldCharType="end"/>
      </w:r>
      <w:r>
        <w:t>。Cilium 的 eBPF 集成还提供了完整的 sidecar-less 服务网格能力：2026 年基准测试显示 Cilium Service Mesh 的 P99 延迟开销仅 0.5-1 ms，每代理内存消耗 10-15 MB，控制平面内存 500 MB-1 GB，均显著优于 Istio（P99 开销 3-5 ms，每代理 50-100 MB）</w:t>
      </w:r>
      <w:r>
        <w:rPr/>
        <w:fldChar w:fldCharType="begin"/>
      </w:r>
      <w:r>
        <w:instrText>NOTEREF _Ref_Footnote_83 \h \f</w:instrText>
      </w:r>
      <w:r>
        <w:rPr/>
        <w:fldChar w:fldCharType="separate"/>
      </w:r>
      <w:r>
        <w:rPr>
          <w:vertAlign w:val="superscript"/>
        </w:rPr>
        <w:t>83</w:t>
      </w:r>
      <w:r>
        <w:rPr/>
        <w:fldChar w:fldCharType="end"/>
      </w:r>
      <w:r>
        <w:t xml:space="preserve"> </w:t>
      </w:r>
      <w:r>
        <w:rPr/>
        <w:fldChar w:fldCharType="begin"/>
      </w:r>
      <w:r>
        <w:instrText>NOTEREF _Ref_Footnote_102 \h \f</w:instrText>
      </w:r>
      <w:r>
        <w:rPr/>
        <w:fldChar w:fldCharType="separate"/>
      </w:r>
      <w:r>
        <w:rPr>
          <w:vertAlign w:val="superscript"/>
        </w:rPr>
        <w:t>102</w:t>
      </w:r>
      <w:r>
        <w:rPr/>
        <w:fldChar w:fldCharType="end"/>
      </w:r>
      <w:r>
        <w:t>。</w:t>
      </w:r>
    </w:p>
    <w:bookmarkStart w:id="72" w:name="三层-ebpf-资源协调"/>
    <w:bookmarkEnd w:id="71"/>
    <w:p w14:paraId="6280483E">
      <w:pPr>
        <w:pStyle w:val="style4104"/>
        <w:rPr/>
      </w:pPr>
      <w:r>
        <w:t>4.2.3 三层 eBPF 资源协调</w:t>
      </w:r>
    </w:p>
    <w:p w14:paraId="C5ECEAC2">
      <w:pPr>
        <w:pStyle w:val="style4097"/>
        <w:rPr/>
      </w:pPr>
      <w:r>
        <w:t>五层架构中同时存在三个 eBPF 组件：CubeVS（L4 MicroVM 网络）、Cilium（L3 容器网络）以及 eBPF LSM（安全策略）。三者共享同一内核 eBPF 虚拟机基础设施，但使用不同的 BPF Map 和 Program，存在隐性冲突风险 [洞察#12^]。BPF Map 是内核全局资源，默认限制约 64K 条目；eBPF Verifier 是单线程组件，复杂程序可能超过 100 ms 验证时间。</w:t>
      </w:r>
    </w:p>
    <w:p w14:paraId="63A91386">
      <w:pPr>
        <w:pStyle w:val="style66"/>
        <w:rPr/>
      </w:pPr>
      <w:r>
        <w:t>架构采用以下协调机制：第一，BPF Map 配额机制——为 CubeVS、Cilium 和安全 eBPF 分别分配 Map 条目上限（如 CubeVS 占 20%、Cilium 占 60%、安全 eBPF 占 20%）。第二，加载顺序规范——采用”基础设施→容器→MicroVM”的串行加载顺序，避免并发加载竞争 Verifier 时间。第三，降级方案——当 CubeVS 与 Cilium 的 eBPF 程序冲突时，CubeVS 可降级到标准 TAP 配合 iptables 进行包过滤，性能下降但功能保持。</w:t>
      </w:r>
    </w:p>
    <w:bookmarkStart w:id="73" w:name="多租户网络隔离"/>
    <w:bookmarkEnd w:id="72"/>
    <w:bookmarkEnd w:id="69"/>
    <w:p w14:paraId="0C7F09FD">
      <w:pPr>
        <w:pStyle w:val="style4103"/>
        <w:rPr/>
      </w:pPr>
      <w:r>
        <w:t>4.3 多租户网络隔离</w:t>
      </w:r>
    </w:p>
    <w:bookmarkStart w:id="74" w:name="ovn-sdn-方案"/>
    <w:p w14:paraId="CEA1C723">
      <w:pPr>
        <w:pStyle w:val="style4104"/>
        <w:rPr/>
      </w:pPr>
      <w:r>
        <w:t>4.3.1 OVN SDN 方案</w:t>
      </w:r>
    </w:p>
    <w:p w14:paraId="B87B8DAF">
      <w:pPr>
        <w:pStyle w:val="style4097"/>
        <w:rPr/>
      </w:pPr>
      <w:r>
        <w:t>OVN（Open Virtual Network）是 Incus 推荐的 SDN 方案，适用于需要高级网络隔离的私有云部署</w:t>
      </w:r>
      <w:r>
        <w:t xml:space="preserve"> </w:t>
      </w:r>
      <w:r>
        <w:rPr/>
        <w:fldChar w:fldCharType="begin"/>
      </w:r>
      <w:r>
        <w:instrText>NOTEREF _Ref_Footnote_107 \h \f</w:instrText>
      </w:r>
      <w:r>
        <w:rPr/>
        <w:fldChar w:fldCharType="separate"/>
      </w:r>
      <w:r>
        <w:rPr>
          <w:vertAlign w:val="superscript"/>
        </w:rPr>
        <w:t>107</w:t>
      </w:r>
      <w:r>
        <w:rPr/>
        <w:fldChar w:fldCharType="end"/>
      </w:r>
      <w:r>
        <w:t>。OVN 提供逻辑交换机（Logical Switch）和逻辑路由器（Logical Router）抽象，每个租户可分配独立的 VPC，VPC 之间通过分布式虚拟路由（DVR）实现受控互通。OVN 在 Incus 中的核心能力包括：内置 DHCP 和 DNS 服务、网络 ACL（支持有状态和无状态规则）、负载均衡以及 OVN 对等路由（peer routing）</w:t>
      </w:r>
      <w:r>
        <w:rPr>
          <w:vertAlign w:val="superscript"/>
        </w:rPr>
        <w:footnoteReference w:id="111"/>
      </w:r>
      <w:r>
        <w:t>。OVN 的隔离模型基于 VNI（VXLAN Network Identifier），每个租户分配独立的 VNI，不同 VNI 的流量在数据链路层完全隔离，隔离强度等价于公有云 VPC 的网络边界</w:t>
      </w:r>
      <w:r>
        <w:t xml:space="preserve"> </w:t>
      </w:r>
      <w:r>
        <w:rPr/>
        <w:fldChar w:fldCharType="begin"/>
      </w:r>
      <w:r>
        <w:instrText>NOTEREF _Ref_Footnote_82 \h \f</w:instrText>
      </w:r>
      <w:r>
        <w:rPr/>
        <w:fldChar w:fldCharType="separate"/>
      </w:r>
      <w:r>
        <w:rPr>
          <w:vertAlign w:val="superscript"/>
        </w:rPr>
        <w:t>82</w:t>
      </w:r>
      <w:r>
        <w:rPr/>
        <w:fldChar w:fldCharType="end"/>
      </w:r>
      <w:r>
        <w:t>。</w:t>
      </w:r>
    </w:p>
    <w:bookmarkStart w:id="75" w:name="网络策略执行三级策略模型"/>
    <w:bookmarkEnd w:id="74"/>
    <w:p w14:paraId="8C61E17B">
      <w:pPr>
        <w:pStyle w:val="style4104"/>
        <w:rPr/>
      </w:pPr>
      <w:r>
        <w:t>4.3.2 网络策略执行：三级策略模型</w:t>
      </w:r>
    </w:p>
    <w:p w14:paraId="E090FE3B">
      <w:pPr>
        <w:pStyle w:val="style4097"/>
        <w:rPr/>
      </w:pPr>
      <w:r>
        <w:t>在 L5 零信任安全层，架构采用三级策略模型实现从网络层到应用层的纵深防御。第一级 Kubernetes NetworkPolicy 执行 L3/L4 基础隔离，通过 podSelector、namespaceSelector 和端口规则定义流量允许/拒绝行为</w:t>
      </w:r>
      <w:r>
        <w:t xml:space="preserve"> </w:t>
      </w:r>
      <w:r>
        <w:rPr/>
        <w:fldChar w:fldCharType="begin"/>
      </w:r>
      <w:r>
        <w:instrText>NOTEREF _Ref_Footnote_89 \h \f</w:instrText>
      </w:r>
      <w:r>
        <w:rPr/>
        <w:fldChar w:fldCharType="separate"/>
      </w:r>
      <w:r>
        <w:rPr>
          <w:vertAlign w:val="superscript"/>
        </w:rPr>
        <w:t>89</w:t>
      </w:r>
      <w:r>
        <w:rPr/>
        <w:fldChar w:fldCharType="end"/>
      </w:r>
      <w:r>
        <w:t xml:space="preserve"> </w:t>
      </w:r>
      <w:r>
        <w:rPr>
          <w:vertAlign w:val="superscript"/>
        </w:rPr>
        <w:footnoteReference w:id="112"/>
      </w:r>
      <w:r>
        <w:t>。启用默认拒绝（Default Deny）策略后，仅显式允许的流量可通过——CiliumClusterwideNetworkPolicy 可通过空 endpointSelector 实现全集群范围的默认拒绝</w:t>
      </w:r>
      <w:r>
        <w:t xml:space="preserve"> </w:t>
      </w:r>
      <w:r>
        <w:rPr>
          <w:vertAlign w:val="superscript"/>
        </w:rPr>
        <w:footnoteReference w:id="113"/>
      </w:r>
      <w:r>
        <w:t>。</w:t>
      </w:r>
    </w:p>
    <w:p w14:paraId="BD77675E">
      <w:pPr>
        <w:pStyle w:val="style66"/>
        <w:rPr/>
      </w:pPr>
      <w:r>
        <w:t>第二级 CiliumNetworkPolicy 扩展至 L7 应用层策略。Cilium 为每个 Pod 分配数字化安全身份（Security Identity），策略按身份而非 IP 地址执行，避免了 Pod 重建后 IP 变化导致的策略失效</w:t>
      </w:r>
      <w:r>
        <w:t xml:space="preserve"> </w:t>
      </w:r>
      <w:r>
        <w:rPr/>
        <w:fldChar w:fldCharType="begin"/>
      </w:r>
      <w:r>
        <w:instrText>NOTEREF _Ref_Footnote_12 \h \f</w:instrText>
      </w:r>
      <w:r>
        <w:rPr/>
        <w:fldChar w:fldCharType="separate"/>
      </w:r>
      <w:r>
        <w:rPr>
          <w:vertAlign w:val="superscript"/>
        </w:rPr>
        <w:t>12</w:t>
      </w:r>
      <w:r>
        <w:rPr/>
        <w:fldChar w:fldCharType="end"/>
      </w:r>
      <w:r>
        <w:t>。L7 策略支持 HTTP 方法/路径级控制、gRPC 方法级控制和 DNS 请求过滤</w:t>
      </w:r>
      <w:r>
        <w:t xml:space="preserve"> </w:t>
      </w:r>
      <w:r>
        <w:rPr/>
        <w:fldChar w:fldCharType="begin"/>
      </w:r>
      <w:r>
        <w:instrText>NOTEREF _Ref_Footnote_12 \h \f</w:instrText>
      </w:r>
      <w:r>
        <w:rPr/>
        <w:fldChar w:fldCharType="separate"/>
      </w:r>
      <w:r>
        <w:rPr>
          <w:vertAlign w:val="superscript"/>
        </w:rPr>
        <w:t>12</w:t>
      </w:r>
      <w:r>
        <w:rPr/>
        <w:fldChar w:fldCharType="end"/>
      </w:r>
      <w:r>
        <w:t>。第三级 CubeVS 沙箱级策略专门针对 MicroVM 网络，在每个沙箱的 TAP 接口上执行 eBPF 策略，控制粒度精细到单个 MicroVM 实例，策略查找复杂度为 O(1)。三级策略的执行优先级为：CubeVS 沙箱策略（最严格）→ CiliumNetworkPolicy L7 → NetworkPolicy L3/L4（基础层），形成由外到内的多层防御体系。</w:t>
      </w:r>
    </w:p>
    <w:bookmarkStart w:id="76" w:name="高性能网络加速"/>
    <w:bookmarkEnd w:id="75"/>
    <w:p w14:paraId="E225A68D">
      <w:pPr>
        <w:pStyle w:val="style4104"/>
        <w:rPr/>
      </w:pPr>
      <w:r>
        <w:t>4.3.3 高性能网络加速</w:t>
      </w:r>
    </w:p>
    <w:p w14:paraId="151EF2FC">
      <w:pPr>
        <w:pStyle w:val="style4097"/>
        <w:rPr/>
      </w:pPr>
      <w:r>
        <w:t>对于 NFV、高频交易和视频流等延迟敏感场景，架构提供三条可选的硬件加速路径。SR-IOV（Single Root I/O Virtualization）提供接近物理网卡的性能：单个物理 NIC 可暴露多个 Virtual Function（VF），每个 VF 直接分配给 Pod 或 VM，绕过主机软件交换层，支持 10 Gbps/25 Gbps/100 Gbps 线速，延迟低于 100 μs</w:t>
      </w:r>
      <w:r>
        <w:t xml:space="preserve"> </w:t>
      </w:r>
      <w:r>
        <w:rPr>
          <w:vertAlign w:val="superscript"/>
        </w:rPr>
        <w:footnoteReference w:id="114"/>
      </w:r>
      <w:r>
        <w:t xml:space="preserve"> </w:t>
      </w:r>
      <w:r>
        <w:rPr/>
        <w:fldChar w:fldCharType="begin"/>
      </w:r>
      <w:r>
        <w:instrText>NOTEREF _Ref_Footnote_103 \h \f</w:instrText>
      </w:r>
      <w:r>
        <w:rPr/>
        <w:fldChar w:fldCharType="separate"/>
      </w:r>
      <w:r>
        <w:rPr>
          <w:vertAlign w:val="superscript"/>
        </w:rPr>
        <w:t>103</w:t>
      </w:r>
      <w:r>
        <w:rPr/>
        <w:fldChar w:fldCharType="end"/>
      </w:r>
      <w:r>
        <w:t>。SR-IOV 接口绕过主 CNI 数据路径，NetworkPolicy 可能不适用，建议在交换机层面实现安全策略</w:t>
      </w:r>
      <w:r>
        <w:t xml:space="preserve"> </w:t>
      </w:r>
      <w:r>
        <w:rPr/>
        <w:fldChar w:fldCharType="begin"/>
      </w:r>
      <w:r>
        <w:instrText>NOTEREF _Ref_Footnote_114 \h \f</w:instrText>
      </w:r>
      <w:r>
        <w:rPr/>
        <w:fldChar w:fldCharType="separate"/>
      </w:r>
      <w:r>
        <w:rPr>
          <w:vertAlign w:val="superscript"/>
        </w:rPr>
        <w:t>114</w:t>
      </w:r>
      <w:r>
        <w:rPr/>
        <w:fldChar w:fldCharType="end"/>
      </w:r>
      <w:r>
        <w:t>。</w:t>
      </w:r>
    </w:p>
    <w:p w14:paraId="CF201274">
      <w:pPr>
        <w:pStyle w:val="style66"/>
        <w:rPr/>
      </w:pPr>
      <w:r>
        <w:t>vDPA（virtio Data Path Acceleration）兼顾性能与灵活性，提供与 SR-IOV 相当的线速性能，同时基于 Virtio 开放标准实现无厂商锁定，并支持 VM 热迁移</w:t>
      </w:r>
      <w:r>
        <w:t xml:space="preserve"> </w:t>
      </w:r>
      <w:r>
        <w:rPr>
          <w:vertAlign w:val="superscript"/>
        </w:rPr>
        <w:footnoteReference w:id="115"/>
      </w:r>
      <w:r>
        <w:t>。DPU/SmartNIC（如 NVIDIA BlueField-3）提供最高性能的卸载能力，支持 400 Gbps+ 吞吐</w:t>
      </w:r>
      <w:r>
        <w:t xml:space="preserve"> </w:t>
      </w:r>
      <w:r>
        <w:rPr>
          <w:vertAlign w:val="superscript"/>
        </w:rPr>
        <w:footnoteReference w:id="116"/>
      </w:r>
      <w:r>
        <w:t xml:space="preserve"> </w:t>
      </w:r>
      <w:r>
        <w:rPr>
          <w:vertAlign w:val="superscript"/>
        </w:rPr>
        <w:footnoteReference w:id="117"/>
      </w:r>
      <w:r>
        <w:t>，适合超大规模部署，但硬件成本较高，建议按需选配。</w:t>
      </w:r>
    </w:p>
    <w:bookmarkStart w:id="77" w:name="跨节点网络方案"/>
    <w:bookmarkEnd w:id="76"/>
    <w:bookmarkEnd w:id="73"/>
    <w:p w14:paraId="90E9EE03">
      <w:pPr>
        <w:pStyle w:val="style4103"/>
        <w:rPr/>
      </w:pPr>
      <w:r>
        <w:t>4.4 跨节点网络方案</w:t>
      </w:r>
    </w:p>
    <w:bookmarkStart w:id="78" w:name="overlay-方案选型"/>
    <w:p w14:paraId="5FDF4D3E">
      <w:pPr>
        <w:pStyle w:val="style4104"/>
        <w:rPr/>
      </w:pPr>
      <w:r>
        <w:t>4.4.1 Overlay 方案选型</w:t>
      </w:r>
    </w:p>
    <w:p w14:paraId="36B3BF90">
      <w:pPr>
        <w:pStyle w:val="style4097"/>
        <w:rPr/>
      </w:pPr>
      <w:r>
        <w:t>跨节点网络需要在 Underlay 物理网络上构建 Overlay 虚拟网络，使不同物理机上的 Pod/VM 透明通信。表 4.2 对比了三种主流方案的技术特性。</w:t>
      </w:r>
    </w:p>
    <w:p w14:paraId="D0B53FBB">
      <w:pPr>
        <w:pStyle w:val="style66"/>
        <w:rPr/>
      </w:pPr>
      <w:r>
        <w:rPr>
          <w:b/>
          <w:bCs/>
        </w:rPr>
        <w:t>表 4.2 跨节点 Overlay 技术对比</w:t>
      </w:r>
    </w:p>
    <w:tbl>
      <w:tblPr>
        <w:tblStyle w:val="style4111"/>
        <w:tblW w:w="5000" w:type="pct"/>
        <w:tblLook w:val="0020" w:firstRow="1" w:lastRow="0" w:firstColumn="0" w:lastColumn="0" w:noHBand="0" w:noVBand="0"/>
      </w:tblPr>
      <w:tblGrid>
        <w:gridCol w:w="1176"/>
        <w:gridCol w:w="2168"/>
        <w:gridCol w:w="2754"/>
        <w:gridCol w:w="1817"/>
      </w:tblGrid>
      <w:tr w14:paraId="B0559542">
        <w:trPr>
          <w:tblHeader/>
        </w:trPr>
        <w:tc>
          <w:tcPr>
            <w:tcW w:w="0" w:type="auto"/>
            <w:tcBorders/>
          </w:tcPr>
          <w:p w14:paraId="4F98185F">
            <w:pPr>
              <w:pStyle w:val="style4098"/>
              <w:jc w:val="left"/>
              <w:rPr/>
            </w:pPr>
            <w:r>
              <w:t>特性</w:t>
            </w:r>
          </w:p>
        </w:tc>
        <w:tc>
          <w:tcPr>
            <w:tcW w:w="0" w:type="auto"/>
            <w:tcBorders/>
          </w:tcPr>
          <w:p w14:paraId="97EB853C">
            <w:pPr>
              <w:pStyle w:val="style4098"/>
              <w:jc w:val="left"/>
              <w:rPr/>
            </w:pPr>
            <w:r>
              <w:t>VXLAN</w:t>
            </w:r>
          </w:p>
        </w:tc>
        <w:tc>
          <w:tcPr>
            <w:tcW w:w="0" w:type="auto"/>
            <w:tcBorders/>
          </w:tcPr>
          <w:p w14:paraId="93095E81">
            <w:pPr>
              <w:pStyle w:val="style4098"/>
              <w:jc w:val="left"/>
              <w:rPr/>
            </w:pPr>
            <w:r>
              <w:t>Geneve</w:t>
            </w:r>
          </w:p>
        </w:tc>
        <w:tc>
          <w:tcPr>
            <w:tcW w:w="0" w:type="auto"/>
            <w:tcBorders/>
          </w:tcPr>
          <w:p w14:paraId="B6273619">
            <w:pPr>
              <w:pStyle w:val="style4098"/>
              <w:jc w:val="left"/>
              <w:rPr/>
            </w:pPr>
            <w:r>
              <w:t>BGP (Underlay)</w:t>
            </w:r>
          </w:p>
        </w:tc>
      </w:tr>
      <w:tr w14:paraId="5E6E43A3">
        <w:tblPrEx/>
        <w:trPr/>
        <w:tc>
          <w:tcPr>
            <w:tcW w:w="0" w:type="auto"/>
            <w:tcBorders/>
          </w:tcPr>
          <w:p w14:paraId="160E25B1">
            <w:pPr>
              <w:pStyle w:val="style4098"/>
              <w:jc w:val="left"/>
              <w:rPr/>
            </w:pPr>
            <w:r>
              <w:t>UDP 端口</w:t>
            </w:r>
          </w:p>
        </w:tc>
        <w:tc>
          <w:tcPr>
            <w:tcW w:w="0" w:type="auto"/>
            <w:tcBorders/>
          </w:tcPr>
          <w:p w14:paraId="F7C53833">
            <w:pPr>
              <w:pStyle w:val="style4098"/>
              <w:jc w:val="left"/>
              <w:rPr/>
            </w:pPr>
            <w:r>
              <w:t>4{,}789</w:t>
            </w:r>
            <w:r>
              <w:t xml:space="preserve"> </w:t>
            </w:r>
            <w:r>
              <w:rPr>
                <w:vertAlign w:val="superscript"/>
              </w:rPr>
              <w:footnoteReference w:id="118"/>
            </w:r>
          </w:p>
        </w:tc>
        <w:tc>
          <w:tcPr>
            <w:tcW w:w="0" w:type="auto"/>
            <w:tcBorders/>
          </w:tcPr>
          <w:p w14:paraId="54FB0975">
            <w:pPr>
              <w:pStyle w:val="style4098"/>
              <w:jc w:val="left"/>
              <w:rPr/>
            </w:pPr>
            <w:r>
              <w:t>6{,}081</w:t>
            </w:r>
            <w:r>
              <w:t xml:space="preserve"> </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8F775BB6">
            <w:pPr>
              <w:pStyle w:val="style4098"/>
              <w:jc w:val="left"/>
              <w:rPr/>
            </w:pPr>
            <w:r>
              <w:t>TCP 179</w:t>
            </w:r>
          </w:p>
        </w:tc>
      </w:tr>
      <w:tr w14:paraId="1CB728FC">
        <w:tblPrEx/>
        <w:trPr/>
        <w:tc>
          <w:tcPr>
            <w:tcW w:w="0" w:type="auto"/>
            <w:tcBorders/>
          </w:tcPr>
          <w:p w14:paraId="788FE61D">
            <w:pPr>
              <w:pStyle w:val="style4098"/>
              <w:jc w:val="left"/>
              <w:rPr/>
            </w:pPr>
            <w:r>
              <w:t>头部大小</w:t>
            </w:r>
          </w:p>
        </w:tc>
        <w:tc>
          <w:tcPr>
            <w:tcW w:w="0" w:type="auto"/>
            <w:tcBorders/>
          </w:tcPr>
          <w:p w14:paraId="BE3B7203">
            <w:pPr>
              <w:pStyle w:val="style4098"/>
              <w:jc w:val="left"/>
              <w:rPr/>
            </w:pPr>
            <w:r>
              <w:t>固定 8 字节</w:t>
            </w:r>
            <w:r>
              <w:t xml:space="preserve"> </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3CC29E5E">
            <w:pPr>
              <w:pStyle w:val="style4098"/>
              <w:jc w:val="left"/>
              <w:rPr/>
            </w:pPr>
            <w:r>
              <w:t>8 字节 + 可选 TLV</w:t>
            </w:r>
            <w:r>
              <w:t xml:space="preserve"> </w:t>
            </w:r>
            <w:r>
              <w:rPr>
                <w:vertAlign w:val="superscript"/>
              </w:rPr>
              <w:footnoteReference w:id="119"/>
            </w:r>
          </w:p>
        </w:tc>
        <w:tc>
          <w:tcPr>
            <w:tcW w:w="0" w:type="auto"/>
            <w:tcBorders/>
          </w:tcPr>
          <w:p w14:paraId="4C4BBB4A">
            <w:pPr>
              <w:pStyle w:val="style4098"/>
              <w:jc w:val="left"/>
              <w:rPr/>
            </w:pPr>
            <w:r>
              <w:t>无封装开销</w:t>
            </w:r>
          </w:p>
        </w:tc>
      </w:tr>
      <w:tr w14:paraId="7AB34CCF">
        <w:tblPrEx/>
        <w:trPr/>
        <w:tc>
          <w:tcPr>
            <w:tcW w:w="0" w:type="auto"/>
            <w:tcBorders/>
          </w:tcPr>
          <w:p w14:paraId="B301D0E8">
            <w:pPr>
              <w:pStyle w:val="style4098"/>
              <w:jc w:val="left"/>
              <w:rPr/>
            </w:pPr>
            <w:r>
              <w:t>扩展能力</w:t>
            </w:r>
          </w:p>
        </w:tc>
        <w:tc>
          <w:tcPr>
            <w:tcW w:w="0" w:type="auto"/>
            <w:tcBorders/>
          </w:tcPr>
          <w:p w14:paraId="CC23E02B">
            <w:pPr>
              <w:pStyle w:val="style4098"/>
              <w:jc w:val="left"/>
              <w:rPr/>
            </w:pPr>
            <w:r>
              <w:t>仅 VNI</w:t>
            </w:r>
            <w:r>
              <w:t xml:space="preserve"> </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292C7736">
            <w:pPr>
              <w:pStyle w:val="style4098"/>
              <w:jc w:val="left"/>
              <w:rPr/>
            </w:pPr>
            <w:r>
              <w:t>TLV 可扩展字段</w:t>
            </w:r>
            <w:r>
              <w:t xml:space="preserve"> </w:t>
            </w:r>
            <w:r>
              <w:rPr/>
              <w:fldChar w:fldCharType="begin"/>
            </w:r>
            <w:r>
              <w:instrText>NOTEREF _Ref_Footnote_119 \h \f</w:instrText>
            </w:r>
            <w:r>
              <w:rPr/>
              <w:fldChar w:fldCharType="separate"/>
            </w:r>
            <w:r>
              <w:rPr>
                <w:vertAlign w:val="superscript"/>
              </w:rPr>
              <w:t>119</w:t>
            </w:r>
            <w:r>
              <w:rPr/>
              <w:fldChar w:fldCharType="end"/>
            </w:r>
          </w:p>
        </w:tc>
        <w:tc>
          <w:tcPr>
            <w:tcW w:w="0" w:type="auto"/>
            <w:tcBorders/>
          </w:tcPr>
          <w:p w14:paraId="E336A2F2">
            <w:pPr>
              <w:pStyle w:val="style4098"/>
              <w:jc w:val="left"/>
              <w:rPr/>
            </w:pPr>
            <w:r>
              <w:t>依赖路由策略</w:t>
            </w:r>
          </w:p>
        </w:tc>
      </w:tr>
      <w:tr w14:paraId="2ECFDA0C">
        <w:tblPrEx/>
        <w:trPr/>
        <w:tc>
          <w:tcPr>
            <w:tcW w:w="0" w:type="auto"/>
            <w:tcBorders/>
          </w:tcPr>
          <w:p w14:paraId="6B5D8985">
            <w:pPr>
              <w:pStyle w:val="style4098"/>
              <w:jc w:val="left"/>
              <w:rPr/>
            </w:pPr>
            <w:r>
              <w:t>硬件卸载</w:t>
            </w:r>
          </w:p>
        </w:tc>
        <w:tc>
          <w:tcPr>
            <w:tcW w:w="0" w:type="auto"/>
            <w:tcBorders/>
          </w:tcPr>
          <w:p w14:paraId="5373FC3E">
            <w:pPr>
              <w:pStyle w:val="style4098"/>
              <w:jc w:val="left"/>
              <w:rPr/>
            </w:pPr>
            <w:r>
              <w:t>广泛支持</w:t>
            </w:r>
            <w:r>
              <w:t xml:space="preserve"> </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EEF6B48F">
            <w:pPr>
              <w:pStyle w:val="style4098"/>
              <w:jc w:val="left"/>
              <w:rPr/>
            </w:pPr>
            <w:r>
              <w:t>逐步支持（BlueField-3）</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F99BC9CD">
            <w:pPr>
              <w:pStyle w:val="style4098"/>
              <w:jc w:val="left"/>
              <w:rPr/>
            </w:pPr>
            <w:r>
              <w:t>广泛支持</w:t>
            </w:r>
          </w:p>
        </w:tc>
      </w:tr>
      <w:tr w14:paraId="A52666E9">
        <w:tblPrEx/>
        <w:trPr/>
        <w:tc>
          <w:tcPr>
            <w:tcW w:w="0" w:type="auto"/>
            <w:tcBorders/>
          </w:tcPr>
          <w:p w14:paraId="9986467A">
            <w:pPr>
              <w:pStyle w:val="style4098"/>
              <w:jc w:val="left"/>
              <w:rPr/>
            </w:pPr>
            <w:r>
              <w:t>性能</w:t>
            </w:r>
          </w:p>
        </w:tc>
        <w:tc>
          <w:tcPr>
            <w:tcW w:w="0" w:type="auto"/>
            <w:tcBorders/>
          </w:tcPr>
          <w:p w14:paraId="6D7DDCBE">
            <w:pPr>
              <w:pStyle w:val="style4098"/>
              <w:jc w:val="left"/>
              <w:rPr/>
            </w:pPr>
            <w:r>
              <w:t>有封装开销</w:t>
            </w:r>
          </w:p>
        </w:tc>
        <w:tc>
          <w:tcPr>
            <w:tcW w:w="0" w:type="auto"/>
            <w:tcBorders/>
          </w:tcPr>
          <w:p w14:paraId="2ECD9290">
            <w:pPr>
              <w:pStyle w:val="style4098"/>
              <w:jc w:val="left"/>
              <w:rPr/>
            </w:pPr>
            <w:r>
              <w:t>有封装开销</w:t>
            </w:r>
          </w:p>
        </w:tc>
        <w:tc>
          <w:tcPr>
            <w:tcW w:w="0" w:type="auto"/>
            <w:tcBorders/>
          </w:tcPr>
          <w:p w14:paraId="C4F0D8E3">
            <w:pPr>
              <w:pStyle w:val="style4098"/>
              <w:jc w:val="left"/>
              <w:rPr/>
            </w:pPr>
            <w:r>
              <w:t>最优（无封装）</w:t>
            </w:r>
          </w:p>
        </w:tc>
      </w:tr>
      <w:tr w14:paraId="20F5E1A7">
        <w:tblPrEx/>
        <w:trPr/>
        <w:tc>
          <w:tcPr>
            <w:tcW w:w="0" w:type="auto"/>
            <w:tcBorders/>
          </w:tcPr>
          <w:p w14:paraId="20FD4C26">
            <w:pPr>
              <w:pStyle w:val="style4098"/>
              <w:jc w:val="left"/>
              <w:rPr/>
            </w:pPr>
            <w:r>
              <w:t>适用场景</w:t>
            </w:r>
          </w:p>
        </w:tc>
        <w:tc>
          <w:tcPr>
            <w:tcW w:w="0" w:type="auto"/>
            <w:tcBorders/>
          </w:tcPr>
          <w:p w14:paraId="863920C3">
            <w:pPr>
              <w:pStyle w:val="style4098"/>
              <w:jc w:val="left"/>
              <w:rPr/>
            </w:pPr>
            <w:r>
              <w:t>K8s 通用 Overlay</w:t>
            </w:r>
            <w:r>
              <w:t xml:space="preserve"> </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DB87FB90">
            <w:pPr>
              <w:pStyle w:val="style4098"/>
              <w:jc w:val="left"/>
              <w:rPr/>
            </w:pPr>
            <w:r>
              <w:t>高级虚拟化/多租户</w:t>
            </w:r>
            <w:r>
              <w:t xml:space="preserve"> </w:t>
            </w:r>
            <w:r>
              <w:rPr/>
              <w:fldChar w:fldCharType="begin"/>
            </w:r>
            <w:r>
              <w:instrText>NOTEREF _Ref_Footnote_118 \h \f</w:instrText>
            </w:r>
            <w:r>
              <w:rPr/>
              <w:fldChar w:fldCharType="separate"/>
            </w:r>
            <w:r>
              <w:rPr>
                <w:vertAlign w:val="superscript"/>
              </w:rPr>
              <w:t>118</w:t>
            </w:r>
            <w:r>
              <w:rPr/>
              <w:fldChar w:fldCharType="end"/>
            </w:r>
          </w:p>
        </w:tc>
        <w:tc>
          <w:tcPr>
            <w:tcW w:w="0" w:type="auto"/>
            <w:tcBorders/>
          </w:tcPr>
          <w:p w14:paraId="D23E3BB1">
            <w:pPr>
              <w:pStyle w:val="style4098"/>
              <w:jc w:val="left"/>
              <w:rPr/>
            </w:pPr>
            <w:r>
              <w:t>私有数据中心</w:t>
            </w:r>
            <w:r>
              <w:t xml:space="preserve"> </w:t>
            </w:r>
            <w:r>
              <w:rPr/>
              <w:fldChar w:fldCharType="begin"/>
            </w:r>
            <w:r>
              <w:instrText>NOTEREF _Ref_Footnote_48 \h \f</w:instrText>
            </w:r>
            <w:r>
              <w:rPr/>
              <w:fldChar w:fldCharType="separate"/>
            </w:r>
            <w:r>
              <w:rPr>
                <w:vertAlign w:val="superscript"/>
              </w:rPr>
              <w:t>48</w:t>
            </w:r>
            <w:r>
              <w:rPr/>
              <w:fldChar w:fldCharType="end"/>
            </w:r>
          </w:p>
        </w:tc>
      </w:tr>
    </w:tbl>
    <w:p w14:paraId="3AA250B0">
      <w:pPr>
        <w:pStyle w:val="style66"/>
        <w:rPr/>
      </w:pPr>
      <w:r>
        <w:t>VXLAN 是 Cilium 的默认 Overlay 模式，市场份额约 75%（2025 年），具有最广泛的硬件兼容性</w:t>
      </w:r>
      <w:r>
        <w:t xml:space="preserve"> </w:t>
      </w:r>
      <w:r>
        <w:rPr/>
        <w:fldChar w:fldCharType="begin"/>
      </w:r>
      <w:r>
        <w:instrText>NOTEREF _Ref_Footnote_118 \h \f</w:instrText>
      </w:r>
      <w:r>
        <w:rPr/>
        <w:fldChar w:fldCharType="separate"/>
      </w:r>
      <w:r>
        <w:rPr>
          <w:vertAlign w:val="superscript"/>
        </w:rPr>
        <w:t>118</w:t>
      </w:r>
      <w:r>
        <w:rPr/>
        <w:fldChar w:fldCharType="end"/>
      </w:r>
      <w:r>
        <w:t>。Geneve 的优势在于 TLV（Type-Length-Value）扩展能力，可在隧道头中携带安全哈希、服务链标签和带内网络遥测（INT）等元数据</w:t>
      </w:r>
      <w:r>
        <w:t xml:space="preserve"> </w:t>
      </w:r>
      <w:r>
        <w:rPr/>
        <w:fldChar w:fldCharType="begin"/>
      </w:r>
      <w:r>
        <w:instrText>NOTEREF _Ref_Footnote_119 \h \f</w:instrText>
      </w:r>
      <w:r>
        <w:rPr/>
        <w:fldChar w:fldCharType="separate"/>
      </w:r>
      <w:r>
        <w:rPr>
          <w:vertAlign w:val="superscript"/>
        </w:rPr>
        <w:t>119</w:t>
      </w:r>
      <w:r>
        <w:rPr/>
        <w:fldChar w:fldCharType="end"/>
      </w:r>
      <w:r>
        <w:t xml:space="preserve"> </w:t>
      </w:r>
      <w:r>
        <w:rPr/>
        <w:fldChar w:fldCharType="begin"/>
      </w:r>
      <w:r>
        <w:instrText>NOTEREF _Ref_Footnote_5 \h \f</w:instrText>
      </w:r>
      <w:r>
        <w:rPr/>
        <w:fldChar w:fldCharType="separate"/>
      </w:r>
      <w:r>
        <w:rPr>
          <w:vertAlign w:val="superscript"/>
        </w:rPr>
        <w:t>5</w:t>
      </w:r>
      <w:r>
        <w:rPr/>
        <w:fldChar w:fldCharType="end"/>
      </w:r>
      <w:r>
        <w:t>——对于高级多租户场景，Geneve 的 TLV 字段可用于传递 Cilium 的 Security Identity 和 Policy ID，实现跨节点的策略上下文传递。BGP 模式提供 Underlay 级别的最佳性能，无封装开销，Pod IP 可直接路由，但要求底层网络支持 BGP 会话</w:t>
      </w:r>
      <w:r>
        <w:t xml:space="preserve"> </w:t>
      </w:r>
      <w:r>
        <w:rPr/>
        <w:fldChar w:fldCharType="begin"/>
      </w:r>
      <w:r>
        <w:instrText>NOTEREF _Ref_Footnote_48 \h \f</w:instrText>
      </w:r>
      <w:r>
        <w:rPr/>
        <w:fldChar w:fldCharType="separate"/>
      </w:r>
      <w:r>
        <w:rPr>
          <w:vertAlign w:val="superscript"/>
        </w:rPr>
        <w:t>48</w:t>
      </w:r>
      <w:r>
        <w:rPr/>
        <w:fldChar w:fldCharType="end"/>
      </w:r>
      <w:r>
        <w:t xml:space="preserve"> </w:t>
      </w:r>
      <w:r>
        <w:rPr>
          <w:vertAlign w:val="superscript"/>
        </w:rPr>
        <w:footnoteReference w:id="120"/>
      </w:r>
      <w:r>
        <w:t>。</w:t>
      </w:r>
    </w:p>
    <w:p w14:paraId="DB98396C">
      <w:pPr>
        <w:pStyle w:val="style66"/>
        <w:rPr/>
      </w:pPr>
      <w:r>
        <w:t>架构推荐采用混合策略：默认使用 VXLAN Overlay（兼容性最佳），私有数据中心可选 BGP Underlay（性能最优），高级多租户场景启用 Geneve（扩展能力最强）。对于多可用区部署，采用 CrossSubnet 模式优化：同子网 Pod 间通信无封装直接路由，跨子网使用 VXLAN/IPIP 封装</w:t>
      </w:r>
      <w:r>
        <w:t xml:space="preserve"> </w:t>
      </w:r>
      <w:r>
        <w:rPr/>
        <w:fldChar w:fldCharType="begin"/>
      </w:r>
      <w:r>
        <w:instrText>NOTEREF _Ref_Footnote_68 \h \f</w:instrText>
      </w:r>
      <w:r>
        <w:rPr/>
        <w:fldChar w:fldCharType="separate"/>
      </w:r>
      <w:r>
        <w:rPr>
          <w:vertAlign w:val="superscript"/>
        </w:rPr>
        <w:t>68</w:t>
      </w:r>
      <w:r>
        <w:rPr/>
        <w:fldChar w:fldCharType="end"/>
      </w:r>
      <w:r>
        <w:t xml:space="preserve"> </w:t>
      </w:r>
      <w:r>
        <w:rPr/>
        <w:fldChar w:fldCharType="begin"/>
      </w:r>
      <w:r>
        <w:instrText>NOTEREF _Ref_Footnote_69 \h \f</w:instrText>
      </w:r>
      <w:r>
        <w:rPr/>
        <w:fldChar w:fldCharType="separate"/>
      </w:r>
      <w:r>
        <w:rPr>
          <w:vertAlign w:val="superscript"/>
        </w:rPr>
        <w:t>69</w:t>
      </w:r>
      <w:r>
        <w:rPr/>
        <w:fldChar w:fldCharType="end"/>
      </w:r>
      <w:r>
        <w:t>。</w:t>
      </w:r>
    </w:p>
    <w:bookmarkStart w:id="79" w:name="跨集群网络"/>
    <w:bookmarkEnd w:id="78"/>
    <w:p w14:paraId="DC624BBC">
      <w:pPr>
        <w:pStyle w:val="style4104"/>
        <w:rPr/>
      </w:pPr>
      <w:r>
        <w:t>4.4.2 跨集群网络</w:t>
      </w:r>
    </w:p>
    <w:p w14:paraId="3E287546">
      <w:pPr>
        <w:pStyle w:val="style4097"/>
        <w:rPr/>
      </w:pPr>
      <w:r>
        <w:t>在多集群场景下，架构提供两种互联方案。方案一采用 OVN Inter-connect（OVN IC），通过 OVN 的互联路由器（Interconnection Router）实现跨集群逻辑网络互通。每个集群部署一个互联网关（Transit Switch），集群间流量通过 Geneve 隧道加密传输，与 Incus 的集群模式天然集成。方案二采用 BGP 路由联邦：每个集群作为一个 BGP 自治系统（AS），通过 eBGP 会话与上游路由器或对等集群交换 Pod CIDR 路由。Cilium 从 1.12 版本起支持 BGP 控制面，可自动宣告集群内的 Service IP 和 Pod CIDR</w:t>
      </w:r>
      <w:r>
        <w:t xml:space="preserve"> </w:t>
      </w:r>
      <w:r>
        <w:rPr/>
        <w:fldChar w:fldCharType="begin"/>
      </w:r>
      <w:r>
        <w:instrText>NOTEREF _Ref_Footnote_15 \h \f</w:instrText>
      </w:r>
      <w:r>
        <w:rPr/>
        <w:fldChar w:fldCharType="separate"/>
      </w:r>
      <w:r>
        <w:rPr>
          <w:vertAlign w:val="superscript"/>
        </w:rPr>
        <w:t>15</w:t>
      </w:r>
      <w:r>
        <w:rPr/>
        <w:fldChar w:fldCharType="end"/>
      </w:r>
      <w:r>
        <w:t>。</w:t>
      </w:r>
    </w:p>
    <w:p w14:paraId="88523282">
      <w:pPr>
        <w:pStyle w:val="style66"/>
        <w:rPr/>
      </w:pPr>
      <w:r>
        <w:t>对于需要跨集群服务发现与策略执行的场景，Cilium Cluster Mesh 提供统一解决方案，支持跨集群 Pod 身份共享、统一安全策略执行以及跨集群负载均衡，流量通过 WireGuard 加密传输</w:t>
      </w:r>
      <w:r>
        <w:t xml:space="preserve"> </w:t>
      </w:r>
      <w:r>
        <w:rPr/>
        <w:fldChar w:fldCharType="begin"/>
      </w:r>
      <w:r>
        <w:instrText>NOTEREF _Ref_Footnote_83 \h \f</w:instrText>
      </w:r>
      <w:r>
        <w:rPr/>
        <w:fldChar w:fldCharType="separate"/>
      </w:r>
      <w:r>
        <w:rPr>
          <w:vertAlign w:val="superscript"/>
        </w:rPr>
        <w:t>83</w:t>
      </w:r>
      <w:r>
        <w:rPr/>
        <w:fldChar w:fldCharType="end"/>
      </w:r>
      <w:r>
        <w:t xml:space="preserve"> </w:t>
      </w:r>
      <w:r>
        <w:rPr/>
        <w:fldChar w:fldCharType="begin"/>
      </w:r>
      <w:r>
        <w:instrText>NOTEREF _Ref_Footnote_97 \h \f</w:instrText>
      </w:r>
      <w:r>
        <w:rPr/>
        <w:fldChar w:fldCharType="separate"/>
      </w:r>
      <w:r>
        <w:rPr>
          <w:vertAlign w:val="superscript"/>
        </w:rPr>
        <w:t>97</w:t>
      </w:r>
      <w:r>
        <w:rPr/>
        <w:fldChar w:fldCharType="end"/>
      </w:r>
      <w:r>
        <w:t>。在 1{,}000 节点、50{,}000 Pod 的规模下，Cluster Mesh 在小于 500 节点场景中表现优异；超过 500 节点时需监控 API Server 压力并准备分片方案</w:t>
      </w:r>
      <w:r>
        <w:t xml:space="preserve"> </w:t>
      </w:r>
      <w:r>
        <w:rPr>
          <w:vertAlign w:val="superscript"/>
        </w:rPr>
        <w:footnoteReference w:id="121"/>
      </w:r>
      <w:r>
        <w:t xml:space="preserve"> </w:t>
      </w:r>
      <w:r>
        <w:rPr/>
        <w:fldChar w:fldCharType="begin"/>
      </w:r>
      <w:r>
        <w:instrText>NOTEREF _Ref_Footnote_97 \h \f</w:instrText>
      </w:r>
      <w:r>
        <w:rPr/>
        <w:fldChar w:fldCharType="separate"/>
      </w:r>
      <w:r>
        <w:rPr>
          <w:vertAlign w:val="superscript"/>
        </w:rPr>
        <w:t>97</w:t>
      </w:r>
      <w:r>
        <w:rPr/>
        <w:fldChar w:fldCharType="end"/>
      </w:r>
      <w:r>
        <w:t>。服务网格层面，Cilium Service Mesh 提供 sidecar-less 的跨集群流量管理（P99 延迟开销 0.5-1 ms），如需更丰富的 L7 功能可通过 Istio Ambient 模式与 Cilium 集成</w:t>
      </w:r>
      <w:r>
        <w:t xml:space="preserve"> </w:t>
      </w:r>
      <w:r>
        <w:rPr/>
        <w:fldChar w:fldCharType="begin"/>
      </w:r>
      <w:r>
        <w:instrText>NOTEREF _Ref_Footnote_83 \h \f</w:instrText>
      </w:r>
      <w:r>
        <w:rPr/>
        <w:fldChar w:fldCharType="separate"/>
      </w:r>
      <w:r>
        <w:rPr>
          <w:vertAlign w:val="superscript"/>
        </w:rPr>
        <w:t>83</w:t>
      </w:r>
      <w:r>
        <w:rPr/>
        <w:fldChar w:fldCharType="end"/>
      </w:r>
      <w:r>
        <w:t xml:space="preserve"> </w:t>
      </w:r>
      <w:r>
        <w:rPr/>
        <w:fldChar w:fldCharType="begin"/>
      </w:r>
      <w:r>
        <w:instrText>NOTEREF _Ref_Footnote_102 \h \f</w:instrText>
      </w:r>
      <w:r>
        <w:rPr/>
        <w:fldChar w:fldCharType="separate"/>
      </w:r>
      <w:r>
        <w:rPr>
          <w:vertAlign w:val="superscript"/>
        </w:rPr>
        <w:t>102</w:t>
      </w:r>
      <w:r>
        <w:rPr/>
        <w:fldChar w:fldCharType="end"/>
      </w:r>
      <w:r>
        <w:t>。</w:t>
      </w:r>
    </w:p>
    <w:p w14:paraId="C1104EBB">
      <w:pPr>
        <w:pStyle w:val="style66"/>
        <w:rPr/>
      </w:pPr>
      <w:r>
        <w:t>综合以上分析，CubeSandbox 的网络架构通过五层分层模型实现了物理网络到零信任安全的完整覆盖。eBPF 数据面（Cilium + CubeVS）提供 O(1) 复杂度的服务查找与包处理，OVN SDN 提供多租户 VPC 隔离，三级策略模型实现从 L3 到 L7 的纵深防御，跨节点方案通过 VXLAN/Geneve Overlay 与 BGP Underlay 的灵活组合适配从单数据中心到全球分布式部署的多种场景。</w:t>
      </w:r>
    </w:p>
    <w:p w14:paraId="575CBAD0">
      <w:pPr>
        <w:pStyle w:val="style0"/>
        <w:rPr/>
      </w:pPr>
      <w:r>
        <w:rPr/>
        <w:pict>
          <v:rect id="1037" stroked="t" style="margin-left:0.0pt;margin-top:0.0pt;width:0.0pt;height:1.5pt;mso-wrap-distance-left:0.0pt;mso-wrap-distance-right:0.0pt;visibility:visible;" o:hr="t" o:hralign="center" o:hrstd="t">
            <v:fill/>
          </v:rect>
        </w:pict>
      </w:r>
    </w:p>
    <w:bookmarkStart w:id="80" w:name="存储架构设计"/>
    <w:bookmarkEnd w:id="79"/>
    <w:bookmarkEnd w:id="77"/>
    <w:bookmarkEnd w:id="64"/>
    <w:p w14:paraId="EC46F457">
      <w:pPr>
        <w:pStyle w:val="style4102"/>
        <w:rPr/>
      </w:pPr>
      <w:r>
        <w:t>5. 存储架构设计</w:t>
      </w:r>
    </w:p>
    <w:p w14:paraId="02383014">
      <w:pPr>
        <w:pStyle w:val="style4097"/>
        <w:rPr/>
      </w:pPr>
      <w:r>
        <w:t>混合容器运行时环境的存储设计面临一组相互矛盾的约束：Kata Container 的 rootfs 需要极低延迟的共享文件访问，Incus VM 磁盘需要高可用的块设备语义，AI Agent 沙箱的临时数据则需要接近本地的写时复制（Copy-on-Write, CoW）性能。单一存储后端无法同时满足这些异构需求，分层架构成为必然选择。本章基于多维度技术分析的交叉验证结论 [交叉验证#14^]，提出六层存储模型，显式定义每层的一致性保证级别，并通过 CSI（Container Storage Interface）接口实现与 Kubernetes 编排层的统一集成。</w:t>
      </w:r>
    </w:p>
    <w:p w14:paraId="4F8033EE">
      <w:pPr>
        <w:pStyle w:val="style4118"/>
        <w:rPr/>
      </w:pPr>
      <w:r>
        <w:rPr/>
        <w:drawing>
          <wp:inline distL="0" distT="0" distB="0" distR="0">
            <wp:extent cx="5334000" cy="3989576"/>
            <wp:effectExtent l="0" t="0" r="0" b="0"/>
            <wp:docPr id="1038" name="Picture" descr="CubeSandbox 六层存储架构模型"/>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pic:cNvPicPr/>
                  </pic:nvPicPr>
                  <pic:blipFill>
                    <a:blip r:embed="rId9" cstate="print"/>
                    <a:srcRect l="0" t="0" r="0" b="0"/>
                    <a:stretch/>
                  </pic:blipFill>
                  <pic:spPr>
                    <a:xfrm rot="0">
                      <a:off x="0" y="0"/>
                      <a:ext cx="5334000" cy="3989576"/>
                    </a:xfrm>
                    <a:prstGeom prst="rect"/>
                    <a:ln>
                      <a:noFill/>
                    </a:ln>
                  </pic:spPr>
                </pic:pic>
              </a:graphicData>
            </a:graphic>
          </wp:inline>
        </w:drawing>
      </w:r>
    </w:p>
    <w:p w14:paraId="8685CE5A">
      <w:pPr>
        <w:pStyle w:val="style4116"/>
        <w:rPr/>
      </w:pPr>
      <w:r>
        <w:t>CubeSandbox 六层存储架构模型</w:t>
      </w:r>
    </w:p>
    <w:p w14:paraId="8F4E004A">
      <w:pPr>
        <w:pStyle w:val="style66"/>
        <w:rPr/>
      </w:pPr>
      <w:r>
        <w:t>上图展示了 CubeSandbox 平台的六层存储架构。自下而上，存储栈从物理介质逐步抽象到工作负载可见的语义层。每个层级对应特定的一致性保证和访问模式，运行时组件根据工作负载类型自动路由到合适的存储层级。架构的核心设计原则是</w:t>
      </w:r>
      <w:r>
        <w:rPr>
          <w:b/>
          <w:bCs/>
        </w:rPr>
        <w:t>一致性显式化</w:t>
      </w:r>
      <w:r>
        <w:t>——不同层级的一致性保证差异被明确标注，编排层通过存储访问模式标记将 I/O 请求路由到匹配语义的存储后端，避免跨层访问时的”一致性错觉” [洞察#8^]。</w:t>
      </w:r>
    </w:p>
    <w:bookmarkStart w:id="81" w:name="分层存储架构"/>
    <w:p w14:paraId="DB4182B7">
      <w:pPr>
        <w:pStyle w:val="style4103"/>
        <w:rPr/>
      </w:pPr>
      <w:r>
        <w:t>5.1 分层存储架构</w:t>
      </w:r>
    </w:p>
    <w:bookmarkStart w:id="82" w:name="六层存储模型"/>
    <w:p w14:paraId="3B4217EC">
      <w:pPr>
        <w:pStyle w:val="style4104"/>
        <w:rPr/>
      </w:pPr>
      <w:r>
        <w:t>5.1.1 六层存储模型</w:t>
      </w:r>
    </w:p>
    <w:p w14:paraId="7246EB07">
      <w:pPr>
        <w:pStyle w:val="style4097"/>
        <w:rPr/>
      </w:pPr>
      <w:r>
        <w:t>六层模型的划分依据来自对三类运行时存储需求的系统性分析。Kata Container 的 rootfs 通过 virtiofs 共享主机文件系统，要求毫秒级启动和高带宽顺序读；Incus 实例的本地存储依赖 ZFS 或 Btrfs 的 CoW 能力；持久化数据需要跨节点的 Ceph RBD 提供高可用块设备；多 Pod 共享数据依赖 CephFS；备份归档通过 Ceph RGW 兼容 S3 API；灾难恢复由 Longhorn Backup 提供增量备份。</w:t>
      </w:r>
    </w:p>
    <w:tbl>
      <w:tblPr>
        <w:tblStyle w:val="style4111"/>
        <w:tblW w:w="5000" w:type="pct"/>
        <w:tblLook w:val="0020" w:firstRow="1" w:lastRow="0" w:firstColumn="0" w:lastColumn="0" w:noHBand="0" w:noVBand="0"/>
      </w:tblPr>
      <w:tblGrid>
        <w:gridCol w:w="560"/>
        <w:gridCol w:w="1101"/>
        <w:gridCol w:w="1742"/>
        <w:gridCol w:w="1422"/>
        <w:gridCol w:w="1313"/>
        <w:gridCol w:w="1779"/>
      </w:tblGrid>
      <w:tr w14:paraId="7F2AFD60">
        <w:trPr>
          <w:tblHeader/>
        </w:trPr>
        <w:tc>
          <w:tcPr>
            <w:tcW w:w="0" w:type="auto"/>
            <w:tcBorders/>
          </w:tcPr>
          <w:p w14:paraId="424192EF">
            <w:pPr>
              <w:pStyle w:val="style4098"/>
              <w:jc w:val="center"/>
              <w:rPr/>
            </w:pPr>
            <w:r>
              <w:t>层级</w:t>
            </w:r>
          </w:p>
        </w:tc>
        <w:tc>
          <w:tcPr>
            <w:tcW w:w="0" w:type="auto"/>
            <w:tcBorders/>
          </w:tcPr>
          <w:p w14:paraId="4B415538">
            <w:pPr>
              <w:pStyle w:val="style4098"/>
              <w:jc w:val="left"/>
              <w:rPr/>
            </w:pPr>
            <w:r>
              <w:t>用途</w:t>
            </w:r>
          </w:p>
        </w:tc>
        <w:tc>
          <w:tcPr>
            <w:tcW w:w="0" w:type="auto"/>
            <w:tcBorders/>
          </w:tcPr>
          <w:p w14:paraId="FC19EE20">
            <w:pPr>
              <w:pStyle w:val="style4098"/>
              <w:jc w:val="left"/>
              <w:rPr/>
            </w:pPr>
            <w:r>
              <w:t>技术方案</w:t>
            </w:r>
          </w:p>
        </w:tc>
        <w:tc>
          <w:tcPr>
            <w:tcW w:w="0" w:type="auto"/>
            <w:tcBorders/>
          </w:tcPr>
          <w:p w14:paraId="B5F9516C">
            <w:pPr>
              <w:pStyle w:val="style4098"/>
              <w:jc w:val="left"/>
              <w:rPr/>
            </w:pPr>
            <w:r>
              <w:t>性能特征</w:t>
            </w:r>
          </w:p>
        </w:tc>
        <w:tc>
          <w:tcPr>
            <w:tcW w:w="0" w:type="auto"/>
            <w:tcBorders/>
          </w:tcPr>
          <w:p w14:paraId="AB9EDEDA">
            <w:pPr>
              <w:pStyle w:val="style4098"/>
              <w:jc w:val="left"/>
              <w:rPr/>
            </w:pPr>
            <w:r>
              <w:t>一致性保证</w:t>
            </w:r>
          </w:p>
        </w:tc>
        <w:tc>
          <w:tcPr>
            <w:tcW w:w="0" w:type="auto"/>
            <w:tcBorders/>
          </w:tcPr>
          <w:p w14:paraId="7EF5E5B8">
            <w:pPr>
              <w:pStyle w:val="style4098"/>
              <w:jc w:val="left"/>
              <w:rPr/>
            </w:pPr>
            <w:r>
              <w:t>典型工作负载</w:t>
            </w:r>
          </w:p>
        </w:tc>
      </w:tr>
      <w:tr w14:paraId="BA29474B">
        <w:tblPrEx/>
        <w:trPr/>
        <w:tc>
          <w:tcPr>
            <w:tcW w:w="0" w:type="auto"/>
            <w:tcBorders/>
          </w:tcPr>
          <w:p w14:paraId="E4701190">
            <w:pPr>
              <w:pStyle w:val="style4098"/>
              <w:jc w:val="center"/>
              <w:rPr/>
            </w:pPr>
            <w:r>
              <w:t>L0</w:t>
            </w:r>
          </w:p>
        </w:tc>
        <w:tc>
          <w:tcPr>
            <w:tcW w:w="0" w:type="auto"/>
            <w:tcBorders/>
          </w:tcPr>
          <w:p w14:paraId="21582A79">
            <w:pPr>
              <w:pStyle w:val="style4098"/>
              <w:jc w:val="left"/>
              <w:rPr/>
            </w:pPr>
            <w:r>
              <w:t>容器 rootfs</w:t>
            </w:r>
          </w:p>
        </w:tc>
        <w:tc>
          <w:tcPr>
            <w:tcW w:w="0" w:type="auto"/>
            <w:tcBorders/>
          </w:tcPr>
          <w:p w14:paraId="550DFC10">
            <w:pPr>
              <w:pStyle w:val="style4098"/>
              <w:jc w:val="left"/>
              <w:rPr/>
            </w:pPr>
            <w:r>
              <w:t>virtiofs + DAX</w:t>
            </w:r>
          </w:p>
        </w:tc>
        <w:tc>
          <w:tcPr>
            <w:tcW w:w="0" w:type="auto"/>
            <w:tcBorders/>
          </w:tcPr>
          <w:p w14:paraId="D2D7376B">
            <w:pPr>
              <w:pStyle w:val="style4098"/>
              <w:jc w:val="left"/>
              <w:rPr/>
            </w:pPr>
            <w:r>
              <w:t>660 MB/s 顺序读</w:t>
            </w:r>
            <w:r>
              <w:t xml:space="preserve"> </w:t>
            </w:r>
            <w:r>
              <w:rPr/>
              <w:fldChar w:fldCharType="begin"/>
            </w:r>
            <w:r>
              <w:instrText>NOTEREF _Ref_Footnote_48 \h \f</w:instrText>
            </w:r>
            <w:r>
              <w:rPr/>
              <w:fldChar w:fldCharType="separate"/>
            </w:r>
            <w:r>
              <w:rPr>
                <w:vertAlign w:val="superscript"/>
              </w:rPr>
              <w:t>48</w:t>
            </w:r>
            <w:r>
              <w:rPr/>
              <w:fldChar w:fldCharType="end"/>
            </w:r>
          </w:p>
        </w:tc>
        <w:tc>
          <w:tcPr>
            <w:tcW w:w="0" w:type="auto"/>
            <w:tcBorders/>
          </w:tcPr>
          <w:p w14:paraId="4D10BDF6">
            <w:pPr>
              <w:pStyle w:val="style4098"/>
              <w:jc w:val="left"/>
              <w:rPr/>
            </w:pPr>
            <w:r>
              <w:t>最终一致（主机页缓存）</w:t>
            </w:r>
          </w:p>
        </w:tc>
        <w:tc>
          <w:tcPr>
            <w:tcW w:w="0" w:type="auto"/>
            <w:tcBorders/>
          </w:tcPr>
          <w:p w14:paraId="732211F4">
            <w:pPr>
              <w:pStyle w:val="style4098"/>
              <w:jc w:val="left"/>
              <w:rPr/>
            </w:pPr>
            <w:r>
              <w:t>Kata Container 启动镜像</w:t>
            </w:r>
          </w:p>
        </w:tc>
      </w:tr>
      <w:tr w14:paraId="F6E8BBB7">
        <w:tblPrEx/>
        <w:trPr/>
        <w:tc>
          <w:tcPr>
            <w:tcW w:w="0" w:type="auto"/>
            <w:tcBorders/>
          </w:tcPr>
          <w:p w14:paraId="420EBA59">
            <w:pPr>
              <w:pStyle w:val="style4098"/>
              <w:jc w:val="center"/>
              <w:rPr/>
            </w:pPr>
            <w:r>
              <w:t>L1</w:t>
            </w:r>
          </w:p>
        </w:tc>
        <w:tc>
          <w:tcPr>
            <w:tcW w:w="0" w:type="auto"/>
            <w:tcBorders/>
          </w:tcPr>
          <w:p w14:paraId="AE0E8D4F">
            <w:pPr>
              <w:pStyle w:val="style4098"/>
              <w:jc w:val="left"/>
              <w:rPr/>
            </w:pPr>
            <w:r>
              <w:t>本地临时存储</w:t>
            </w:r>
          </w:p>
        </w:tc>
        <w:tc>
          <w:tcPr>
            <w:tcW w:w="0" w:type="auto"/>
            <w:tcBorders/>
          </w:tcPr>
          <w:p w14:paraId="5851735D">
            <w:pPr>
              <w:pStyle w:val="style4098"/>
              <w:jc w:val="left"/>
              <w:rPr/>
            </w:pPr>
            <w:r>
              <w:t>ZFS / Btrfs (Incus)</w:t>
            </w:r>
          </w:p>
        </w:tc>
        <w:tc>
          <w:tcPr>
            <w:tcW w:w="0" w:type="auto"/>
            <w:tcBorders/>
          </w:tcPr>
          <w:p w14:paraId="637ACDD1">
            <w:pPr>
              <w:pStyle w:val="style4098"/>
              <w:jc w:val="left"/>
              <w:rPr/>
            </w:pPr>
            <w:r>
              <w:t>CoW 快照几乎瞬时</w:t>
            </w:r>
            <w:r>
              <w:t xml:space="preserve"> </w:t>
            </w:r>
            <w:r>
              <w:rPr>
                <w:vertAlign w:val="superscript"/>
              </w:rPr>
              <w:footnoteReference w:id="122"/>
            </w:r>
          </w:p>
        </w:tc>
        <w:tc>
          <w:tcPr>
            <w:tcW w:w="0" w:type="auto"/>
            <w:tcBorders/>
          </w:tcPr>
          <w:p w14:paraId="AF5706A1">
            <w:pPr>
              <w:pStyle w:val="style4098"/>
              <w:jc w:val="left"/>
              <w:rPr/>
            </w:pPr>
            <w:r>
              <w:t>单机强一致</w:t>
            </w:r>
          </w:p>
        </w:tc>
        <w:tc>
          <w:tcPr>
            <w:tcW w:w="0" w:type="auto"/>
            <w:tcBorders/>
          </w:tcPr>
          <w:p w14:paraId="4B0183EB">
            <w:pPr>
              <w:pStyle w:val="style4098"/>
              <w:jc w:val="left"/>
              <w:rPr/>
            </w:pPr>
            <w:r>
              <w:t>沙箱缓存、构建产物</w:t>
            </w:r>
          </w:p>
        </w:tc>
      </w:tr>
      <w:tr w14:paraId="C59A51F0">
        <w:tblPrEx/>
        <w:trPr/>
        <w:tc>
          <w:tcPr>
            <w:tcW w:w="0" w:type="auto"/>
            <w:tcBorders/>
          </w:tcPr>
          <w:p w14:paraId="14FDC82E">
            <w:pPr>
              <w:pStyle w:val="style4098"/>
              <w:jc w:val="center"/>
              <w:rPr/>
            </w:pPr>
            <w:r>
              <w:t>L2</w:t>
            </w:r>
          </w:p>
        </w:tc>
        <w:tc>
          <w:tcPr>
            <w:tcW w:w="0" w:type="auto"/>
            <w:tcBorders/>
          </w:tcPr>
          <w:p w14:paraId="8E169EEA">
            <w:pPr>
              <w:pStyle w:val="style4098"/>
              <w:jc w:val="left"/>
              <w:rPr/>
            </w:pPr>
            <w:r>
              <w:t>持久块存储</w:t>
            </w:r>
          </w:p>
        </w:tc>
        <w:tc>
          <w:tcPr>
            <w:tcW w:w="0" w:type="auto"/>
            <w:tcBorders/>
          </w:tcPr>
          <w:p w14:paraId="3787D49A">
            <w:pPr>
              <w:pStyle w:val="style4098"/>
              <w:jc w:val="left"/>
              <w:rPr/>
            </w:pPr>
            <w:r>
              <w:t>Ceph RBD + CSI</w:t>
            </w:r>
          </w:p>
        </w:tc>
        <w:tc>
          <w:tcPr>
            <w:tcW w:w="0" w:type="auto"/>
            <w:tcBorders/>
          </w:tcPr>
          <w:p w14:paraId="EACF91CE">
            <w:pPr>
              <w:pStyle w:val="style4098"/>
              <w:jc w:val="left"/>
              <w:rPr/>
            </w:pPr>
            <w:r>
              <w:t>3x 复制，亚毫秒延迟</w:t>
            </w:r>
            <w:r>
              <w:t xml:space="preserve"> </w:t>
            </w:r>
            <w:r>
              <w:rPr/>
              <w:fldChar w:fldCharType="begin"/>
            </w:r>
            <w:r>
              <w:instrText>NOTEREF _Ref_Footnote_67 \h \f</w:instrText>
            </w:r>
            <w:r>
              <w:rPr/>
              <w:fldChar w:fldCharType="separate"/>
            </w:r>
            <w:r>
              <w:rPr>
                <w:vertAlign w:val="superscript"/>
              </w:rPr>
              <w:t>67</w:t>
            </w:r>
            <w:r>
              <w:rPr/>
              <w:fldChar w:fldCharType="end"/>
            </w:r>
          </w:p>
        </w:tc>
        <w:tc>
          <w:tcPr>
            <w:tcW w:w="0" w:type="auto"/>
            <w:tcBorders/>
          </w:tcPr>
          <w:p w14:paraId="27CF2BDA">
            <w:pPr>
              <w:pStyle w:val="style4098"/>
              <w:jc w:val="left"/>
              <w:rPr/>
            </w:pPr>
            <w:r>
              <w:t>跨节点线性一致</w:t>
            </w:r>
          </w:p>
        </w:tc>
        <w:tc>
          <w:tcPr>
            <w:tcW w:w="0" w:type="auto"/>
            <w:tcBorders/>
          </w:tcPr>
          <w:p w14:paraId="BDA406DC">
            <w:pPr>
              <w:pStyle w:val="style4098"/>
              <w:jc w:val="left"/>
              <w:rPr/>
            </w:pPr>
            <w:r>
              <w:t>VM 磁盘、数据库</w:t>
            </w:r>
          </w:p>
        </w:tc>
      </w:tr>
      <w:tr w14:paraId="F592ED7C">
        <w:tblPrEx/>
        <w:trPr/>
        <w:tc>
          <w:tcPr>
            <w:tcW w:w="0" w:type="auto"/>
            <w:tcBorders/>
          </w:tcPr>
          <w:p w14:paraId="89204583">
            <w:pPr>
              <w:pStyle w:val="style4098"/>
              <w:jc w:val="center"/>
              <w:rPr/>
            </w:pPr>
            <w:r>
              <w:t>L3</w:t>
            </w:r>
          </w:p>
        </w:tc>
        <w:tc>
          <w:tcPr>
            <w:tcW w:w="0" w:type="auto"/>
            <w:tcBorders/>
          </w:tcPr>
          <w:p w14:paraId="50491575">
            <w:pPr>
              <w:pStyle w:val="style4098"/>
              <w:jc w:val="left"/>
              <w:rPr/>
            </w:pPr>
            <w:r>
              <w:t>共享文件存储</w:t>
            </w:r>
          </w:p>
        </w:tc>
        <w:tc>
          <w:tcPr>
            <w:tcW w:w="0" w:type="auto"/>
            <w:tcBorders/>
          </w:tcPr>
          <w:p w14:paraId="1ABC0870">
            <w:pPr>
              <w:pStyle w:val="style4098"/>
              <w:jc w:val="left"/>
              <w:rPr/>
            </w:pPr>
            <w:r>
              <w:t>CephFS + CSI</w:t>
            </w:r>
          </w:p>
        </w:tc>
        <w:tc>
          <w:tcPr>
            <w:tcW w:w="0" w:type="auto"/>
            <w:tcBorders/>
          </w:tcPr>
          <w:p w14:paraId="F4A90247">
            <w:pPr>
              <w:pStyle w:val="style4098"/>
              <w:jc w:val="left"/>
              <w:rPr/>
            </w:pPr>
            <w:r>
              <w:t>MDS 协调</w:t>
            </w:r>
            <w:r>
              <w:t xml:space="preserve"> </w:t>
            </w:r>
            <w:r>
              <w:rPr>
                <w:vertAlign w:val="superscript"/>
              </w:rPr>
              <w:footnoteReference w:id="123"/>
            </w:r>
          </w:p>
        </w:tc>
        <w:tc>
          <w:tcPr>
            <w:tcW w:w="0" w:type="auto"/>
            <w:tcBorders/>
          </w:tcPr>
          <w:p w14:paraId="61BB9BFB">
            <w:pPr>
              <w:pStyle w:val="style4098"/>
              <w:jc w:val="left"/>
              <w:rPr/>
            </w:pPr>
            <w:r>
              <w:t>分布式强一致</w:t>
            </w:r>
          </w:p>
        </w:tc>
        <w:tc>
          <w:tcPr>
            <w:tcW w:w="0" w:type="auto"/>
            <w:tcBorders/>
          </w:tcPr>
          <w:p w14:paraId="F797E5B6">
            <w:pPr>
              <w:pStyle w:val="style4098"/>
              <w:jc w:val="left"/>
              <w:rPr/>
            </w:pPr>
            <w:r>
              <w:t>多容器共享配置</w:t>
            </w:r>
          </w:p>
        </w:tc>
      </w:tr>
      <w:tr w14:paraId="634842D2">
        <w:tblPrEx/>
        <w:trPr/>
        <w:tc>
          <w:tcPr>
            <w:tcW w:w="0" w:type="auto"/>
            <w:tcBorders/>
          </w:tcPr>
          <w:p w14:paraId="2D865063">
            <w:pPr>
              <w:pStyle w:val="style4098"/>
              <w:jc w:val="center"/>
              <w:rPr/>
            </w:pPr>
            <w:r>
              <w:t>L4</w:t>
            </w:r>
          </w:p>
        </w:tc>
        <w:tc>
          <w:tcPr>
            <w:tcW w:w="0" w:type="auto"/>
            <w:tcBorders/>
          </w:tcPr>
          <w:p w14:paraId="1C4D2E2F">
            <w:pPr>
              <w:pStyle w:val="style4098"/>
              <w:jc w:val="left"/>
              <w:rPr/>
            </w:pPr>
            <w:r>
              <w:t>对象存储</w:t>
            </w:r>
          </w:p>
        </w:tc>
        <w:tc>
          <w:tcPr>
            <w:tcW w:w="0" w:type="auto"/>
            <w:tcBorders/>
          </w:tcPr>
          <w:p w14:paraId="9414440B">
            <w:pPr>
              <w:pStyle w:val="style4098"/>
              <w:jc w:val="left"/>
              <w:rPr/>
            </w:pPr>
            <w:r>
              <w:t>Ceph RGW / S3</w:t>
            </w:r>
          </w:p>
        </w:tc>
        <w:tc>
          <w:tcPr>
            <w:tcW w:w="0" w:type="auto"/>
            <w:tcBorders/>
          </w:tcPr>
          <w:p w14:paraId="94288B03">
            <w:pPr>
              <w:pStyle w:val="style4098"/>
              <w:jc w:val="left"/>
              <w:rPr/>
            </w:pPr>
            <w:r>
              <w:t>兼容 S3 API，EC 4+2</w:t>
            </w:r>
            <w:r>
              <w:t xml:space="preserve"> </w:t>
            </w:r>
            <w:r>
              <w:rPr/>
              <w:fldChar w:fldCharType="begin"/>
            </w:r>
            <w:r>
              <w:instrText>NOTEREF _Ref_Footnote_113 \h \f</w:instrText>
            </w:r>
            <w:r>
              <w:rPr/>
              <w:fldChar w:fldCharType="separate"/>
            </w:r>
            <w:r>
              <w:rPr>
                <w:vertAlign w:val="superscript"/>
              </w:rPr>
              <w:t>113</w:t>
            </w:r>
            <w:r>
              <w:rPr/>
              <w:fldChar w:fldCharType="end"/>
            </w:r>
          </w:p>
        </w:tc>
        <w:tc>
          <w:tcPr>
            <w:tcW w:w="0" w:type="auto"/>
            <w:tcBorders/>
          </w:tcPr>
          <w:p w14:paraId="6D0A88AB">
            <w:pPr>
              <w:pStyle w:val="style4098"/>
              <w:jc w:val="left"/>
              <w:rPr/>
            </w:pPr>
            <w:r>
              <w:t>最终一致</w:t>
            </w:r>
          </w:p>
        </w:tc>
        <w:tc>
          <w:tcPr>
            <w:tcW w:w="0" w:type="auto"/>
            <w:tcBorders/>
          </w:tcPr>
          <w:p w14:paraId="AE14CBF8">
            <w:pPr>
              <w:pStyle w:val="style4098"/>
              <w:jc w:val="left"/>
              <w:rPr/>
            </w:pPr>
            <w:r>
              <w:t>备份归档、日志</w:t>
            </w:r>
          </w:p>
        </w:tc>
      </w:tr>
      <w:tr w14:paraId="D2605DF1">
        <w:tblPrEx/>
        <w:trPr/>
        <w:tc>
          <w:tcPr>
            <w:tcW w:w="0" w:type="auto"/>
            <w:tcBorders/>
          </w:tcPr>
          <w:p w14:paraId="F8AA06A4">
            <w:pPr>
              <w:pStyle w:val="style4098"/>
              <w:jc w:val="center"/>
              <w:rPr/>
            </w:pPr>
            <w:r>
              <w:t>L5</w:t>
            </w:r>
          </w:p>
        </w:tc>
        <w:tc>
          <w:tcPr>
            <w:tcW w:w="0" w:type="auto"/>
            <w:tcBorders/>
          </w:tcPr>
          <w:p w14:paraId="C38D621D">
            <w:pPr>
              <w:pStyle w:val="style4098"/>
              <w:jc w:val="left"/>
              <w:rPr/>
            </w:pPr>
            <w:r>
              <w:t>远程备份</w:t>
            </w:r>
          </w:p>
        </w:tc>
        <w:tc>
          <w:tcPr>
            <w:tcW w:w="0" w:type="auto"/>
            <w:tcBorders/>
          </w:tcPr>
          <w:p w14:paraId="6E56F013">
            <w:pPr>
              <w:pStyle w:val="style4098"/>
              <w:jc w:val="left"/>
              <w:rPr/>
            </w:pPr>
            <w:r>
              <w:t>Longhorn Backup → S3</w:t>
            </w:r>
          </w:p>
        </w:tc>
        <w:tc>
          <w:tcPr>
            <w:tcW w:w="0" w:type="auto"/>
            <w:tcBorders/>
          </w:tcPr>
          <w:p w14:paraId="87C5C232">
            <w:pPr>
              <w:pStyle w:val="style4098"/>
              <w:jc w:val="left"/>
              <w:rPr/>
            </w:pPr>
            <w:r>
              <w:t>2 MB 增量块</w:t>
            </w:r>
            <w:r>
              <w:t xml:space="preserve"> </w:t>
            </w:r>
            <w:r>
              <w:rPr>
                <w:vertAlign w:val="superscript"/>
              </w:rPr>
              <w:footnoteReference w:id="124"/>
            </w:r>
          </w:p>
        </w:tc>
        <w:tc>
          <w:tcPr>
            <w:tcW w:w="0" w:type="auto"/>
            <w:tcBorders/>
          </w:tcPr>
          <w:p w14:paraId="DE4597CB">
            <w:pPr>
              <w:pStyle w:val="style4098"/>
              <w:jc w:val="left"/>
              <w:rPr/>
            </w:pPr>
            <w:r>
              <w:t>异步复制</w:t>
            </w:r>
          </w:p>
        </w:tc>
        <w:tc>
          <w:tcPr>
            <w:tcW w:w="0" w:type="auto"/>
            <w:tcBorders/>
          </w:tcPr>
          <w:p w14:paraId="6177191A">
            <w:pPr>
              <w:pStyle w:val="style4098"/>
              <w:jc w:val="left"/>
              <w:rPr/>
            </w:pPr>
            <w:r>
              <w:t>灾难恢复副本</w:t>
            </w:r>
          </w:p>
        </w:tc>
      </w:tr>
    </w:tbl>
    <w:p w14:paraId="AB68A5B8">
      <w:pPr>
        <w:pStyle w:val="style66"/>
        <w:rPr/>
      </w:pPr>
      <w:r>
        <w:t>L0 层 virtiofs 采用 DAX（Direct Access）模式，通过 PCI BAR 在主机和客机之间共享内存窗口，消除 read/write 路径上的 VMEXIT，顺序读带宽达 660.3 MB/s，较无 DAX 模式提升约 6.7 倍</w:t>
      </w:r>
      <w:r>
        <w:t xml:space="preserve"> </w:t>
      </w:r>
      <w:r>
        <w:rPr/>
        <w:fldChar w:fldCharType="begin"/>
      </w:r>
      <w:r>
        <w:instrText>NOTEREF _Ref_Footnote_48 \h \f</w:instrText>
      </w:r>
      <w:r>
        <w:rPr/>
        <w:fldChar w:fldCharType="separate"/>
      </w:r>
      <w:r>
        <w:rPr>
          <w:vertAlign w:val="superscript"/>
        </w:rPr>
        <w:t>48</w:t>
      </w:r>
      <w:r>
        <w:rPr/>
        <w:fldChar w:fldCharType="end"/>
      </w:r>
      <w:r>
        <w:t>。DAX 的内存开销约为窗口大小的 1.56%，设计时建议窗口大小等于或略大于 rootfs 大小</w:t>
      </w:r>
      <w:r>
        <w:t xml:space="preserve"> </w:t>
      </w:r>
      <w:r>
        <w:rPr/>
        <w:fldChar w:fldCharType="begin"/>
      </w:r>
      <w:r>
        <w:instrText>NOTEREF _Ref_Footnote_48 \h \f</w:instrText>
      </w:r>
      <w:r>
        <w:rPr/>
        <w:fldChar w:fldCharType="separate"/>
      </w:r>
      <w:r>
        <w:rPr>
          <w:vertAlign w:val="superscript"/>
        </w:rPr>
        <w:t>48</w:t>
      </w:r>
      <w:r>
        <w:rPr/>
        <w:fldChar w:fldCharType="end"/>
      </w:r>
      <w:r>
        <w:t>。L1 层 ZFS 是 Incus 推荐的本地后端，每 1 TB 存储需约 1 GB ARC 缓存，提供去重、压缩和即时快照</w:t>
      </w:r>
      <w:r>
        <w:t xml:space="preserve"> </w:t>
      </w:r>
      <w:r>
        <w:rPr/>
        <w:fldChar w:fldCharType="begin"/>
      </w:r>
      <w:r>
        <w:instrText>NOTEREF _Ref_Footnote_122 \h \f</w:instrText>
      </w:r>
      <w:r>
        <w:rPr/>
        <w:fldChar w:fldCharType="separate"/>
      </w:r>
      <w:r>
        <w:rPr>
          <w:vertAlign w:val="superscript"/>
        </w:rPr>
        <w:t>122</w:t>
      </w:r>
      <w:r>
        <w:rPr/>
        <w:fldChar w:fldCharType="end"/>
      </w:r>
      <w:r>
        <w:t>；Btrfs 作为轻量替代，无显著内存开销。L2 层 Ceph RBD 建议启用 layering + fast-diff + object-map + exclusive-lock 四件套</w:t>
      </w:r>
      <w:r>
        <w:t xml:space="preserve"> </w:t>
      </w:r>
      <w:r>
        <w:rPr/>
        <w:fldChar w:fldCharType="begin"/>
      </w:r>
      <w:r>
        <w:instrText>NOTEREF _Ref_Footnote_67 \h \f</w:instrText>
      </w:r>
      <w:r>
        <w:rPr/>
        <w:fldChar w:fldCharType="separate"/>
      </w:r>
      <w:r>
        <w:rPr>
          <w:vertAlign w:val="superscript"/>
        </w:rPr>
        <w:t>67</w:t>
      </w:r>
      <w:r>
        <w:rPr/>
        <w:fldChar w:fldCharType="end"/>
      </w:r>
      <w:r>
        <w:t>。L4 层 EC k=4,m=2 配置下原始容量开销降至 1.5x，可用比率 67%，较 3x 复制的 33% 提升一倍</w:t>
      </w:r>
      <w:r>
        <w:t xml:space="preserve"> </w:t>
      </w:r>
      <w:r>
        <w:rPr/>
        <w:fldChar w:fldCharType="begin"/>
      </w:r>
      <w:r>
        <w:instrText>NOTEREF _Ref_Footnote_113 \h \f</w:instrText>
      </w:r>
      <w:r>
        <w:rPr/>
        <w:fldChar w:fldCharType="separate"/>
      </w:r>
      <w:r>
        <w:rPr>
          <w:vertAlign w:val="superscript"/>
        </w:rPr>
        <w:t>113</w:t>
      </w:r>
      <w:r>
        <w:rPr/>
        <w:fldChar w:fldCharType="end"/>
      </w:r>
      <w:r>
        <w:t>。L5 层 Longhorn 备份以 2 MB 块为单位增量传输，首次全量、后续增量</w:t>
      </w:r>
      <w:r>
        <w:t xml:space="preserve"> </w:t>
      </w:r>
      <w:r>
        <w:rPr/>
        <w:fldChar w:fldCharType="begin"/>
      </w:r>
      <w:r>
        <w:instrText>NOTEREF _Ref_Footnote_124 \h \f</w:instrText>
      </w:r>
      <w:r>
        <w:rPr/>
        <w:fldChar w:fldCharType="separate"/>
      </w:r>
      <w:r>
        <w:rPr>
          <w:vertAlign w:val="superscript"/>
        </w:rPr>
        <w:t>124</w:t>
      </w:r>
      <w:r>
        <w:rPr/>
        <w:fldChar w:fldCharType="end"/>
      </w:r>
      <w:r>
        <w:t>。</w:t>
      </w:r>
    </w:p>
    <w:bookmarkStart w:id="83" w:name="一致性保证显式设计"/>
    <w:bookmarkEnd w:id="82"/>
    <w:p w14:paraId="8062CF21">
      <w:pPr>
        <w:pStyle w:val="style4104"/>
        <w:rPr/>
      </w:pPr>
      <w:r>
        <w:t>5.1.2 一致性保证显式设计</w:t>
      </w:r>
    </w:p>
    <w:p w14:paraId="DFB87FBA">
      <w:pPr>
        <w:pStyle w:val="style4097"/>
        <w:rPr/>
      </w:pPr>
      <w:r>
        <w:t>六层架构中，一致性保证呈梯度分布。L1（ZFS/Btrfs）提供单机强一致性；L2（Ceph RBD）通过 exclusive-lock 确保跨节点线性一致</w:t>
      </w:r>
      <w:r>
        <w:t xml:space="preserve"> </w:t>
      </w:r>
      <w:r>
        <w:rPr/>
        <w:fldChar w:fldCharType="begin"/>
      </w:r>
      <w:r>
        <w:instrText>NOTEREF _Ref_Footnote_67 \h \f</w:instrText>
      </w:r>
      <w:r>
        <w:rPr/>
        <w:fldChar w:fldCharType="separate"/>
      </w:r>
      <w:r>
        <w:rPr>
          <w:vertAlign w:val="superscript"/>
        </w:rPr>
        <w:t>67</w:t>
      </w:r>
      <w:r>
        <w:rPr/>
        <w:fldChar w:fldCharType="end"/>
      </w:r>
      <w:r>
        <w:t>；L3（CephFS）借助 MDS 实现分布式强一致</w:t>
      </w:r>
      <w:r>
        <w:t xml:space="preserve"> </w:t>
      </w:r>
      <w:r>
        <w:rPr/>
        <w:fldChar w:fldCharType="begin"/>
      </w:r>
      <w:r>
        <w:instrText>NOTEREF _Ref_Footnote_123 \h \f</w:instrText>
      </w:r>
      <w:r>
        <w:rPr/>
        <w:fldChar w:fldCharType="separate"/>
      </w:r>
      <w:r>
        <w:rPr>
          <w:vertAlign w:val="superscript"/>
        </w:rPr>
        <w:t>123</w:t>
      </w:r>
      <w:r>
        <w:rPr/>
        <w:fldChar w:fldCharType="end"/>
      </w:r>
      <w:r>
        <w:t>。L0（virtiofs）、L4（Ceph RGW）和 L5（Longhorn Backup）提供最终一致性——virtiofs 依赖 FUSE 缓存失效语义，RGW 的 S3 语义天然为最终一致，Longhorn Backup 的异步复制导致可度量的复制滞后</w:t>
      </w:r>
      <w:r>
        <w:t xml:space="preserve"> </w:t>
      </w:r>
      <w:r>
        <w:rPr/>
        <w:fldChar w:fldCharType="begin"/>
      </w:r>
      <w:r>
        <w:instrText>NOTEREF _Ref_Footnote_124 \h \f</w:instrText>
      </w:r>
      <w:r>
        <w:rPr/>
        <w:fldChar w:fldCharType="separate"/>
      </w:r>
      <w:r>
        <w:rPr>
          <w:vertAlign w:val="superscript"/>
        </w:rPr>
        <w:t>124</w:t>
      </w:r>
      <w:r>
        <w:rPr/>
        <w:fldChar w:fldCharType="end"/>
      </w:r>
      <w:r>
        <w:t>。</w:t>
      </w:r>
    </w:p>
    <w:p w14:paraId="8A73909B">
      <w:pPr>
        <w:pStyle w:val="style66"/>
        <w:rPr/>
      </w:pPr>
      <w:r>
        <w:t>这种梯度是</w:t>
      </w:r>
      <w:r>
        <w:rPr>
          <w:b/>
          <w:bCs/>
        </w:rPr>
        <w:t>有意的工程权衡</w:t>
      </w:r>
      <w:r>
        <w:t>。只读 rootfs（L0）不需要强一致；对象归档（L4）和远程备份（L5）的异步特性在恢复场景下可接受。关键在于编排层必须显式知晓这些差异，不对所有存储类型统一施加强一致语义——否则将导致 L0 的 DAX 性能优势和 L4 的 EC 存储效率双双丧失。</w:t>
      </w:r>
    </w:p>
    <w:bookmarkStart w:id="84" w:name="存储访问模式标记"/>
    <w:bookmarkEnd w:id="83"/>
    <w:p w14:paraId="FE07969C">
      <w:pPr>
        <w:pStyle w:val="style4104"/>
        <w:rPr/>
      </w:pPr>
      <w:r>
        <w:t>5.1.3 存储访问模式标记</w:t>
      </w:r>
    </w:p>
    <w:p w14:paraId="E72D75D6">
      <w:pPr>
        <w:pStyle w:val="style4097"/>
        <w:rPr/>
      </w:pPr>
      <w:r>
        <w:t>平台引入三种存储访问模式标记。read-only 模式将 I/O 路由至 L0（virtiofs）或 L2 快照卷；local-write 模式路由至 L1（ZFS/Btrfs），适用于临时文件和构建缓存；distributed-write 模式路由至 L2（Ceph RBD）或 L3（CephFS），适用于数据库和共享配置。</w:t>
      </w:r>
    </w:p>
    <w:p w14:paraId="5BDAD074">
      <w:pPr>
        <w:pStyle w:val="style66"/>
        <w:rPr/>
      </w:pPr>
      <w:r>
        <w:t>访问模式在 Pod 的 volume 声明中通过 annotation 指定：</w:t>
      </w:r>
      <w:r>
        <w:rPr>
          <w:rStyle w:val="style4120"/>
        </w:rPr>
        <w:t>cubesandbox.io/storage-access-mode: read-only|local-write|distributed-write</w:t>
      </w:r>
      <w:r>
        <w:t>。CSI Node Plugin 根据该标记选择对应后端路径。未明确标记的卷按启发式规则默认分配：EmptyDir 自动使用 local-write 模式，PersistentVolumeClaim 使用 distributed-write 模式，virtiofs 挂载的 rootfs 自动为 read-only 模式。</w:t>
      </w:r>
    </w:p>
    <w:bookmarkStart w:id="85" w:name="存储引擎选型"/>
    <w:bookmarkEnd w:id="84"/>
    <w:bookmarkEnd w:id="81"/>
    <w:p w14:paraId="77317A53">
      <w:pPr>
        <w:pStyle w:val="style4103"/>
        <w:rPr/>
      </w:pPr>
      <w:r>
        <w:t>5.2 存储引擎选型</w:t>
      </w:r>
    </w:p>
    <w:bookmarkStart w:id="86" w:name="本地存储层zfs-vs-btrfs-vs-lvm-thin"/>
    <w:p w14:paraId="700974CB">
      <w:pPr>
        <w:pStyle w:val="style4104"/>
        <w:rPr/>
      </w:pPr>
      <w:r>
        <w:t>5.2.1 本地存储层：ZFS vs Btrfs vs LVM-thin</w:t>
      </w:r>
    </w:p>
    <w:p w14:paraId="BEE33057">
      <w:pPr>
        <w:pStyle w:val="style4097"/>
        <w:rPr/>
      </w:pPr>
      <w:r>
        <w:t>本地存储层的选择直接影响 Incus 实例的创建速度和快照效率。</w:t>
      </w:r>
    </w:p>
    <w:p w14:paraId="C5965C5F">
      <w:pPr>
        <w:pStyle w:val="style66"/>
        <w:rPr/>
      </w:pPr>
      <w:r>
        <w:rPr>
          <w:b/>
          <w:bCs/>
        </w:rPr>
        <w:t>ZFS</w:t>
      </w:r>
      <w:r>
        <w:t xml:space="preserve"> </w:t>
      </w:r>
      <w:r>
        <w:t>是 Incus 和 Proxmox VE 均推荐的后端</w:t>
      </w:r>
      <w:r>
        <w:t xml:space="preserve"> </w:t>
      </w:r>
      <w:r>
        <w:rPr/>
        <w:fldChar w:fldCharType="begin"/>
      </w:r>
      <w:r>
        <w:instrText>NOTEREF _Ref_Footnote_122 \h \f</w:instrText>
      </w:r>
      <w:r>
        <w:rPr/>
        <w:fldChar w:fldCharType="separate"/>
      </w:r>
      <w:r>
        <w:rPr>
          <w:vertAlign w:val="superscript"/>
        </w:rPr>
        <w:t>122</w:t>
      </w:r>
      <w:r>
        <w:rPr/>
        <w:fldChar w:fldCharType="end"/>
      </w:r>
      <w:r>
        <w:t xml:space="preserve"> </w:t>
      </w:r>
      <w:r>
        <w:rPr>
          <w:vertAlign w:val="superscript"/>
        </w:rPr>
        <w:footnoteReference w:id="125"/>
      </w:r>
      <w:r>
        <w:t>。核心优势在于完整 CoW 语义、内置 LZ4 压缩、去重能力和近乎瞬时的快照克隆。ZFS 快照基于事务组，创建仅涉及元数据更新，与数据量无关——740 GB 模板的全克隆可能需要 1 小时 20 分钟，而 thin 克隆仅需数分钟</w:t>
      </w:r>
      <w:r>
        <w:t xml:space="preserve"> </w:t>
      </w:r>
      <w:r>
        <w:rPr>
          <w:vertAlign w:val="superscript"/>
        </w:rPr>
        <w:footnoteReference w:id="126"/>
      </w:r>
      <w:r>
        <w:t>。主要约束是内存：每 1 TB 存储约需 1 GB ARC 缓存。</w:t>
      </w:r>
    </w:p>
    <w:p w14:paraId="A9303119">
      <w:pPr>
        <w:pStyle w:val="style66"/>
        <w:rPr/>
      </w:pPr>
      <w:r>
        <w:rPr>
          <w:b/>
          <w:bCs/>
        </w:rPr>
        <w:t>Btrfs</w:t>
      </w:r>
      <w:r>
        <w:t xml:space="preserve"> </w:t>
      </w:r>
      <w:r>
        <w:t>是 ZFS 的轻量替代，同样提供 CoW、快照和压缩，RAM 需求显著更低</w:t>
      </w:r>
      <w:r>
        <w:t xml:space="preserve"> </w:t>
      </w:r>
      <w:r>
        <w:rPr/>
        <w:fldChar w:fldCharType="begin"/>
      </w:r>
      <w:r>
        <w:instrText>NOTEREF _Ref_Footnote_122 \h \f</w:instrText>
      </w:r>
      <w:r>
        <w:rPr/>
        <w:fldChar w:fldCharType="separate"/>
      </w:r>
      <w:r>
        <w:rPr>
          <w:vertAlign w:val="superscript"/>
        </w:rPr>
        <w:t>122</w:t>
      </w:r>
      <w:r>
        <w:rPr/>
        <w:fldChar w:fldCharType="end"/>
      </w:r>
      <w:r>
        <w:t>。独特优势在于支持从旧快照直接回滚（ZFS 需通过克隆和 promote 间接实现），适合资源受限的边缘节点。</w:t>
      </w:r>
    </w:p>
    <w:p w14:paraId="A1EEB39B">
      <w:pPr>
        <w:pStyle w:val="style66"/>
        <w:rPr/>
      </w:pPr>
      <w:r>
        <w:rPr>
          <w:b/>
          <w:bCs/>
        </w:rPr>
        <w:t>LVM-thin</w:t>
      </w:r>
      <w:r>
        <w:t xml:space="preserve"> </w:t>
      </w:r>
      <w:r>
        <w:t>通过 thin pool 实现瘦分配，支持过量分配</w:t>
      </w:r>
      <w:r>
        <w:t xml:space="preserve"> </w:t>
      </w:r>
      <w:r>
        <w:rPr>
          <w:vertAlign w:val="superscript"/>
        </w:rPr>
        <w:footnoteReference w:id="127"/>
      </w:r>
      <w:r>
        <w:t xml:space="preserve"> </w:t>
      </w:r>
      <w:r>
        <w:rPr/>
        <w:fldChar w:fldCharType="begin"/>
      </w:r>
      <w:r>
        <w:instrText>NOTEREF _Ref_Footnote_50 \h \f</w:instrText>
      </w:r>
      <w:r>
        <w:rPr/>
        <w:fldChar w:fldCharType="separate"/>
      </w:r>
      <w:r>
        <w:rPr>
          <w:vertAlign w:val="superscript"/>
        </w:rPr>
        <w:t>50</w:t>
      </w:r>
      <w:r>
        <w:rPr/>
        <w:fldChar w:fldCharType="end"/>
      </w:r>
      <w:r>
        <w:t>。快照依赖 thin pool 内置 CoW，但克隆速度慢于 ZFS/Btrfs（需数据复制而非元数据操作），适合与现有 LVM 工具链深度集成的遗留场景。</w:t>
      </w:r>
    </w:p>
    <w:p w14:paraId="D847AA16">
      <w:pPr>
        <w:pStyle w:val="style66"/>
        <w:rPr/>
      </w:pPr>
      <w:r>
        <w:t>综合推荐：资源充足的计算节点优先 ZFS；边缘节点选 Btrfs；遗留兼容场景保留 LVM-thin 过渡。</w:t>
      </w:r>
    </w:p>
    <w:bookmarkStart w:id="87" w:name="分布式存储层ceph-vs-longhorn"/>
    <w:bookmarkEnd w:id="86"/>
    <w:p w14:paraId="B93F5A6B">
      <w:pPr>
        <w:pStyle w:val="style4104"/>
        <w:rPr/>
      </w:pPr>
      <w:r>
        <w:t>5.2.2 分布式存储层：Ceph vs Longhorn</w:t>
      </w:r>
    </w:p>
    <w:p w14:paraId="139DA3AA">
      <w:pPr>
        <w:pStyle w:val="style4097"/>
        <w:rPr/>
      </w:pPr>
      <w:r>
        <w:rPr>
          <w:b/>
          <w:bCs/>
        </w:rPr>
        <w:t>Ceph</w:t>
      </w:r>
      <w:r>
        <w:t xml:space="preserve"> </w:t>
      </w:r>
      <w:r>
        <w:t>通过 Rook Operator 在 Kubernetes 中自动化部署</w:t>
      </w:r>
      <w:r>
        <w:t xml:space="preserve"> </w:t>
      </w:r>
      <w:r>
        <w:rPr/>
        <w:fldChar w:fldCharType="begin"/>
      </w:r>
      <w:r>
        <w:instrText>NOTEREF _Ref_Footnote_77 \h \f</w:instrText>
      </w:r>
      <w:r>
        <w:rPr/>
        <w:fldChar w:fldCharType="separate"/>
      </w:r>
      <w:r>
        <w:rPr>
          <w:vertAlign w:val="superscript"/>
        </w:rPr>
        <w:t>77</w:t>
      </w:r>
      <w:r>
        <w:rPr/>
        <w:fldChar w:fldCharType="end"/>
      </w:r>
      <w:r>
        <w:t xml:space="preserve"> </w:t>
      </w:r>
      <w:r>
        <w:rPr>
          <w:vertAlign w:val="superscript"/>
        </w:rPr>
        <w:footnoteReference w:id="128"/>
      </w:r>
      <w:r>
        <w:t>，提供 RBD（块设备）、CephFS（文件系统）和 RGW（对象存储）三种接口，覆盖 L2/L3/L4 全部需求。核心优势在于经大规模验证的可靠性和丰富冗余选项（3x 复制、EC k=4,m=2 等）</w:t>
      </w:r>
      <w:r>
        <w:rPr/>
        <w:fldChar w:fldCharType="begin"/>
      </w:r>
      <w:r>
        <w:instrText>NOTEREF _Ref_Footnote_113 \h \f</w:instrText>
      </w:r>
      <w:r>
        <w:rPr/>
        <w:fldChar w:fldCharType="separate"/>
      </w:r>
      <w:r>
        <w:rPr>
          <w:vertAlign w:val="superscript"/>
        </w:rPr>
        <w:t>113</w:t>
      </w:r>
      <w:r>
        <w:rPr/>
        <w:fldChar w:fldCharType="end"/>
      </w:r>
      <w:r>
        <w:t>，挑战在于 OSD 故障恢复、PG 监控和 MON 仲裁管理的运维复杂度。</w:t>
      </w:r>
    </w:p>
    <w:p w14:paraId="4CF85782">
      <w:pPr>
        <w:pStyle w:val="style66"/>
        <w:rPr/>
      </w:pPr>
      <w:r>
        <w:rPr>
          <w:b/>
          <w:bCs/>
        </w:rPr>
        <w:t>Longhorn</w:t>
      </w:r>
      <w:r>
        <w:t xml:space="preserve"> </w:t>
      </w:r>
      <w:r>
        <w:t>采用微服务设计，每个 Engine 仅服务一个卷，通过内核 iSCSI 驱动创建块设备前端，同步复制确保数据持久性</w:t>
      </w:r>
      <w:r>
        <w:t xml:space="preserve"> </w:t>
      </w:r>
      <w:r>
        <w:rPr/>
        <w:fldChar w:fldCharType="begin"/>
      </w:r>
      <w:r>
        <w:instrText>NOTEREF _Ref_Footnote_15 \h \f</w:instrText>
      </w:r>
      <w:r>
        <w:rPr/>
        <w:fldChar w:fldCharType="separate"/>
      </w:r>
      <w:r>
        <w:rPr>
          <w:vertAlign w:val="superscript"/>
        </w:rPr>
        <w:t>15</w:t>
      </w:r>
      <w:r>
        <w:rPr/>
        <w:fldChar w:fldCharType="end"/>
      </w:r>
      <w:r>
        <w:t xml:space="preserve"> </w:t>
      </w:r>
      <w:r>
        <w:rPr/>
        <w:fldChar w:fldCharType="begin"/>
      </w:r>
      <w:r>
        <w:instrText>NOTEREF _Ref_Footnote_98 \h \f</w:instrText>
      </w:r>
      <w:r>
        <w:rPr/>
        <w:fldChar w:fldCharType="separate"/>
      </w:r>
      <w:r>
        <w:rPr>
          <w:vertAlign w:val="superscript"/>
        </w:rPr>
        <w:t>98</w:t>
      </w:r>
      <w:r>
        <w:rPr/>
        <w:fldChar w:fldCharType="end"/>
      </w:r>
      <w:r>
        <w:t xml:space="preserve"> </w:t>
      </w:r>
      <w:r>
        <w:rPr/>
        <w:fldChar w:fldCharType="begin"/>
      </w:r>
      <w:r>
        <w:instrText>NOTEREF _Ref_Footnote_82 \h \f</w:instrText>
      </w:r>
      <w:r>
        <w:rPr/>
        <w:fldChar w:fldCharType="separate"/>
      </w:r>
      <w:r>
        <w:rPr>
          <w:vertAlign w:val="superscript"/>
        </w:rPr>
        <w:t>82</w:t>
      </w:r>
      <w:r>
        <w:rPr/>
        <w:fldChar w:fldCharType="end"/>
      </w:r>
      <w:r>
        <w:t>。优势在于与 Kubernetes 的深度集成和简化运维体验</w:t>
      </w:r>
      <w:r>
        <w:t xml:space="preserve"> </w:t>
      </w:r>
      <w:r>
        <w:rPr/>
        <w:fldChar w:fldCharType="begin"/>
      </w:r>
      <w:r>
        <w:instrText>NOTEREF _Ref_Footnote_26 \h \f</w:instrText>
      </w:r>
      <w:r>
        <w:rPr/>
        <w:fldChar w:fldCharType="separate"/>
      </w:r>
      <w:r>
        <w:rPr>
          <w:vertAlign w:val="superscript"/>
        </w:rPr>
        <w:t>26</w:t>
      </w:r>
      <w:r>
        <w:rPr/>
        <w:fldChar w:fldCharType="end"/>
      </w:r>
      <w:r>
        <w:t>；局限在于仅支持块设备（无原生文件系统或对象存储接口），且 iSCSI 前端在极高 IOPS 场景下延迟高于 librbd 路径。</w:t>
      </w:r>
    </w:p>
    <w:p w14:paraId="6F11C725">
      <w:pPr>
        <w:pStyle w:val="style66"/>
        <w:rPr/>
      </w:pPr>
      <w:r>
        <w:t>适用划分：Ceph 作为主力覆盖 L2/L3/L4，通过 Rook 自动化运维；Longhorn 专用于 L5 备份层，利用其增量备份和跨集群灾难恢复能力</w:t>
      </w:r>
      <w:r>
        <w:t xml:space="preserve"> </w:t>
      </w:r>
      <w:r>
        <w:rPr/>
        <w:fldChar w:fldCharType="begin"/>
      </w:r>
      <w:r>
        <w:instrText>NOTEREF _Ref_Footnote_124 \h \f</w:instrText>
      </w:r>
      <w:r>
        <w:rPr/>
        <w:fldChar w:fldCharType="separate"/>
      </w:r>
      <w:r>
        <w:rPr>
          <w:vertAlign w:val="superscript"/>
        </w:rPr>
        <w:t>124</w:t>
      </w:r>
      <w:r>
        <w:rPr/>
        <w:fldChar w:fldCharType="end"/>
      </w:r>
      <w:r>
        <w:t xml:space="preserve"> </w:t>
      </w:r>
      <w:r>
        <w:rPr>
          <w:vertAlign w:val="superscript"/>
        </w:rPr>
        <w:footnoteReference w:id="129"/>
      </w:r>
      <w:r>
        <w:t>。</w:t>
      </w:r>
    </w:p>
    <w:bookmarkStart w:id="88" w:name="高性能存储spdk-vhost-usernvme-of"/>
    <w:bookmarkEnd w:id="87"/>
    <w:p w14:paraId="DAC066D0">
      <w:pPr>
        <w:pStyle w:val="style4104"/>
        <w:rPr/>
      </w:pPr>
      <w:r>
        <w:t>5.2.3 高性能存储：SPDK vhost-user、NVMe-oF</w:t>
      </w:r>
    </w:p>
    <w:p w14:paraId="69367D7C">
      <w:pPr>
        <w:pStyle w:val="style4097"/>
        <w:rPr/>
      </w:pPr>
      <w:r>
        <w:t>对于延迟敏感型工作负载，SPDK vhost-user 和 NVMe-oF 提供用户态 I/O 加速。</w:t>
      </w:r>
    </w:p>
    <w:p w14:paraId="8DFFE252">
      <w:pPr>
        <w:pStyle w:val="style66"/>
        <w:rPr/>
      </w:pPr>
      <w:r>
        <w:t>SPDK vhost-user 通过用户态轮询消除 QEMU 上下文切换：I/O 路径从 Guest OS → QEMU → Storage → QEMU → KVM → Guest OS 缩短为 Guest OS → Storage → KVM → Guest OS</w:t>
      </w:r>
      <w:r>
        <w:t xml:space="preserve"> </w:t>
      </w:r>
      <w:r>
        <w:rPr>
          <w:vertAlign w:val="superscript"/>
        </w:rPr>
        <w:footnoteReference w:id="130"/>
      </w:r>
      <w:r>
        <w:t xml:space="preserve"> </w:t>
      </w:r>
      <w:r>
        <w:rPr>
          <w:vertAlign w:val="superscript"/>
        </w:rPr>
        <w:footnoteReference w:id="131"/>
      </w:r>
      <w:r>
        <w:t>。零拷贝和轮询机制在 4K iodepth=128 下可带来 2-3 倍 IOPS 提升</w:t>
      </w:r>
      <w:r>
        <w:t xml:space="preserve"> </w:t>
      </w:r>
      <w:r>
        <w:rPr/>
        <w:fldChar w:fldCharType="begin"/>
      </w:r>
      <w:r>
        <w:instrText>NOTEREF _Ref_Footnote_131 \h \f</w:instrText>
      </w:r>
      <w:r>
        <w:rPr/>
        <w:fldChar w:fldCharType="separate"/>
      </w:r>
      <w:r>
        <w:rPr>
          <w:vertAlign w:val="superscript"/>
        </w:rPr>
        <w:t>131</w:t>
      </w:r>
      <w:r>
        <w:rPr/>
        <w:fldChar w:fldCharType="end"/>
      </w:r>
      <w:r>
        <w:t>。部署约束包括：需 HugePages（至少 2 GiB 的 2 MiB hugepages）、VM 内存完全预留（不支持超分）、不支持 vhost 与非 vhost 集群间热迁移</w:t>
      </w:r>
      <w:r>
        <w:t xml:space="preserve"> </w:t>
      </w:r>
      <w:r>
        <w:rPr>
          <w:vertAlign w:val="superscript"/>
        </w:rPr>
        <w:footnoteReference w:id="132"/>
      </w:r>
      <w:r>
        <w:t>。</w:t>
      </w:r>
    </w:p>
    <w:p w14:paraId="A41BB584">
      <w:pPr>
        <w:pStyle w:val="style66"/>
        <w:rPr/>
      </w:pPr>
      <w:r>
        <w:t>NVMe-oF 将 NVMe 性能扩展到网络</w:t>
      </w:r>
      <w:r>
        <w:t xml:space="preserve"> </w:t>
      </w:r>
      <w:r>
        <w:rPr>
          <w:vertAlign w:val="superscript"/>
        </w:rPr>
        <w:footnoteReference w:id="133"/>
      </w:r>
      <w:r>
        <w:t xml:space="preserve"> </w:t>
      </w:r>
      <w:r>
        <w:rPr/>
        <w:fldChar w:fldCharType="begin"/>
      </w:r>
      <w:r>
        <w:instrText>NOTEREF _Ref_Footnote_44 \h \f</w:instrText>
      </w:r>
      <w:r>
        <w:rPr/>
        <w:fldChar w:fldCharType="separate"/>
      </w:r>
      <w:r>
        <w:rPr>
          <w:vertAlign w:val="superscript"/>
        </w:rPr>
        <w:t>44</w:t>
      </w:r>
      <w:r>
        <w:rPr/>
        <w:fldChar w:fldCharType="end"/>
      </w:r>
      <w:r>
        <w:t>。NVMe/TCP 兼容标准以太网，适合大多数 Kubernetes 集群；NVMe/RDMA 在 100 Gbps 网络下 4K 随机读延迟可降至 TCP 方案的 1/3，CPU 利用率下降约 40%</w:t>
      </w:r>
      <w:r>
        <w:t xml:space="preserve"> </w:t>
      </w:r>
      <w:r>
        <w:rPr>
          <w:vertAlign w:val="superscript"/>
        </w:rPr>
        <w:footnoteReference w:id="134"/>
      </w:r>
      <w:r>
        <w:t>。OpenEBS Mayastor 是基于 SPDK 和 NVMe-oF 的实现，要求 NVMe 设备、HugePages（≥2 GiB）、SSE4.2 和专用 CPU 核心</w:t>
      </w:r>
      <w:r>
        <w:t xml:space="preserve"> </w:t>
      </w:r>
      <w:r>
        <w:rPr/>
        <w:fldChar w:fldCharType="begin"/>
      </w:r>
      <w:r>
        <w:instrText>NOTEREF _Ref_Footnote_110 \h \f</w:instrText>
      </w:r>
      <w:r>
        <w:rPr/>
        <w:fldChar w:fldCharType="separate"/>
      </w:r>
      <w:r>
        <w:rPr>
          <w:vertAlign w:val="superscript"/>
        </w:rPr>
        <w:t>110</w:t>
      </w:r>
      <w:r>
        <w:rPr/>
        <w:fldChar w:fldCharType="end"/>
      </w:r>
      <w:r>
        <w:t xml:space="preserve"> </w:t>
      </w:r>
      <w:r>
        <w:rPr>
          <w:vertAlign w:val="superscript"/>
        </w:rPr>
        <w:footnoteReference w:id="135"/>
      </w:r>
      <w:r>
        <w:t>。</w:t>
      </w:r>
    </w:p>
    <w:p w14:paraId="9D67FF1C">
      <w:pPr>
        <w:pStyle w:val="style66"/>
        <w:rPr/>
      </w:pPr>
      <w:r>
        <w:t>高性能加速路径定位为可选”性能增强层”。通过节点标签</w:t>
      </w:r>
      <w:r>
        <w:t xml:space="preserve"> </w:t>
      </w:r>
      <w:r>
        <w:rPr>
          <w:rStyle w:val="style4120"/>
        </w:rPr>
        <w:t>cubesandbox.io/storage-performance: high</w:t>
      </w:r>
      <w:r>
        <w:t xml:space="preserve"> </w:t>
      </w:r>
      <w:r>
        <w:t>标识具备 NVMe 和 HugePages 资源的节点，延迟敏感型 Pod 通过 nodeSelector 调度并由专用 StorageClass 启用 vhost-user 加速。</w:t>
      </w:r>
    </w:p>
    <w:bookmarkStart w:id="89" w:name="快照与备份机制"/>
    <w:bookmarkEnd w:id="88"/>
    <w:bookmarkEnd w:id="85"/>
    <w:p w14:paraId="70D40E90">
      <w:pPr>
        <w:pStyle w:val="style4103"/>
        <w:rPr/>
      </w:pPr>
      <w:r>
        <w:t>5.3 快照与备份机制</w:t>
      </w:r>
    </w:p>
    <w:bookmarkStart w:id="90" w:name="cow-快照链"/>
    <w:p w14:paraId="67896B43">
      <w:pPr>
        <w:pStyle w:val="style4104"/>
        <w:rPr/>
      </w:pPr>
      <w:r>
        <w:t>5.3.1 CoW 快照链</w:t>
      </w:r>
    </w:p>
    <w:p w14:paraId="64837B13">
      <w:pPr>
        <w:pStyle w:val="style4097"/>
        <w:rPr/>
      </w:pPr>
      <w:r>
        <w:t>平台同时支持三种 CoW 快照机制。</w:t>
      </w:r>
      <w:r>
        <w:rPr>
          <w:b/>
          <w:bCs/>
        </w:rPr>
        <w:t>QCOW2 快照链</w:t>
      </w:r>
      <w:r>
        <w:t xml:space="preserve"> </w:t>
      </w:r>
      <w:r>
        <w:t>通过二级索引表（L1 → L2 Table）组织数据，默认 cluster 大小 64 KB</w:t>
      </w:r>
      <w:r>
        <w:t xml:space="preserve"> </w:t>
      </w:r>
      <w:r>
        <w:rPr>
          <w:vertAlign w:val="superscript"/>
        </w:rPr>
        <w:footnoteReference w:id="136"/>
      </w:r>
      <w:r>
        <w:t xml:space="preserve"> </w:t>
      </w:r>
      <w:r>
        <w:rPr/>
        <w:fldChar w:fldCharType="begin"/>
      </w:r>
      <w:r>
        <w:instrText>NOTEREF _Ref_Footnote_89 \h \f</w:instrText>
      </w:r>
      <w:r>
        <w:rPr/>
        <w:fldChar w:fldCharType="separate"/>
      </w:r>
      <w:r>
        <w:rPr>
          <w:vertAlign w:val="superscript"/>
        </w:rPr>
        <w:t>89</w:t>
      </w:r>
      <w:r>
        <w:rPr/>
        <w:fldChar w:fldCharType="end"/>
      </w:r>
      <w:r>
        <w:t>。创建新的空 QCOW2 作为 active volume，将之前的磁盘设为 backing file；读操作先查 active 再递归查 backing file，写操作全部定向到 active</w:t>
      </w:r>
      <w:r>
        <w:t xml:space="preserve"> </w:t>
      </w:r>
      <w:r>
        <w:rPr/>
        <w:fldChar w:fldCharType="begin"/>
      </w:r>
      <w:r>
        <w:instrText>NOTEREF _Ref_Footnote_53 \h \f</w:instrText>
      </w:r>
      <w:r>
        <w:rPr/>
        <w:fldChar w:fldCharType="separate"/>
      </w:r>
      <w:r>
        <w:rPr>
          <w:vertAlign w:val="superscript"/>
        </w:rPr>
        <w:t>53</w:t>
      </w:r>
      <w:r>
        <w:rPr/>
        <w:fldChar w:fldCharType="end"/>
      </w:r>
      <w:r>
        <w:t xml:space="preserve"> </w:t>
      </w:r>
      <w:r>
        <w:rPr/>
        <w:fldChar w:fldCharType="begin"/>
      </w:r>
      <w:r>
        <w:instrText>NOTEREF _Ref_Footnote_94 \h \f</w:instrText>
      </w:r>
      <w:r>
        <w:rPr/>
        <w:fldChar w:fldCharType="separate"/>
      </w:r>
      <w:r>
        <w:rPr>
          <w:vertAlign w:val="superscript"/>
        </w:rPr>
        <w:t>94</w:t>
      </w:r>
      <w:r>
        <w:rPr/>
        <w:fldChar w:fldCharType="end"/>
      </w:r>
      <w:r>
        <w:t>。快照创建为 O(1) 元数据操作，但长链（数百文件）会导致读性能退化，需定期合并</w:t>
      </w:r>
      <w:r>
        <w:t xml:space="preserve"> </w:t>
      </w:r>
      <w:r>
        <w:rPr/>
        <w:fldChar w:fldCharType="begin"/>
      </w:r>
      <w:r>
        <w:instrText>NOTEREF _Ref_Footnote_53 \h \f</w:instrText>
      </w:r>
      <w:r>
        <w:rPr/>
        <w:fldChar w:fldCharType="separate"/>
      </w:r>
      <w:r>
        <w:rPr>
          <w:vertAlign w:val="superscript"/>
        </w:rPr>
        <w:t>53</w:t>
      </w:r>
      <w:r>
        <w:rPr/>
        <w:fldChar w:fldCharType="end"/>
      </w:r>
      <w:r>
        <w:t>。</w:t>
      </w:r>
    </w:p>
    <w:p w14:paraId="233CDF03">
      <w:pPr>
        <w:pStyle w:val="style66"/>
        <w:rPr/>
      </w:pPr>
      <w:r>
        <w:rPr>
          <w:b/>
          <w:bCs/>
        </w:rPr>
        <w:t>Ceph RBD layering</w:t>
      </w:r>
      <w:r>
        <w:t xml:space="preserve"> </w:t>
      </w:r>
      <w:r>
        <w:t>允许从快照快速创建 CoW 克隆：打快照 → 保护快照 → 克隆</w:t>
      </w:r>
      <w:r>
        <w:t xml:space="preserve"> </w:t>
      </w:r>
      <w:r>
        <w:rPr>
          <w:vertAlign w:val="superscript"/>
        </w:rPr>
        <w:footnoteReference w:id="137"/>
      </w:r>
      <w:r>
        <w:t xml:space="preserve"> </w:t>
      </w:r>
      <w:r>
        <w:rPr>
          <w:vertAlign w:val="superscript"/>
        </w:rPr>
        <w:footnoteReference w:id="138"/>
      </w:r>
      <w:r>
        <w:t>。克隆镜像行为与标准 RBD 完全一致，写入前检查对象存在性，不存在时执行 copy-up 操作（含原子创建防竞态）</w:t>
      </w:r>
      <w:r>
        <w:rPr>
          <w:vertAlign w:val="superscript"/>
        </w:rPr>
        <w:footnoteReference w:id="139"/>
      </w:r>
      <w:r>
        <w:t>。RBD 快照链长度对性能影响远低于 QCOW2（RADOS 对象寻址为 O(1)），且可跨集群迁移。</w:t>
      </w:r>
    </w:p>
    <w:p w14:paraId="65C32781">
      <w:pPr>
        <w:pStyle w:val="style66"/>
        <w:rPr/>
      </w:pPr>
      <w:r>
        <w:rPr>
          <w:b/>
          <w:bCs/>
        </w:rPr>
        <w:t>ZFS/Btrfs 原生快照</w:t>
      </w:r>
      <w:r>
        <w:t xml:space="preserve"> </w:t>
      </w:r>
      <w:r>
        <w:t>在本地层提供最低延迟的快照能力。ZFS 快照基于事务组 CoW，创建仅复制元数据</w:t>
      </w:r>
      <w:r>
        <w:t xml:space="preserve"> </w:t>
      </w:r>
      <w:r>
        <w:rPr/>
        <w:fldChar w:fldCharType="begin"/>
      </w:r>
      <w:r>
        <w:instrText>NOTEREF _Ref_Footnote_122 \h \f</w:instrText>
      </w:r>
      <w:r>
        <w:rPr/>
        <w:fldChar w:fldCharType="separate"/>
      </w:r>
      <w:r>
        <w:rPr>
          <w:vertAlign w:val="superscript"/>
        </w:rPr>
        <w:t>122</w:t>
      </w:r>
      <w:r>
        <w:rPr/>
        <w:fldChar w:fldCharType="end"/>
      </w:r>
      <w:r>
        <w:t>；Btrfs 基于 subvolume CoW，支持从任意快照直接回滚。二者适合高频自动快照（如每 5 分钟），Ceph RBD 快照适合低频但跨节点持久化场景。</w:t>
      </w:r>
    </w:p>
    <w:bookmarkStart w:id="91" w:name="备份架构"/>
    <w:bookmarkEnd w:id="90"/>
    <w:p w14:paraId="CE5786CC">
      <w:pPr>
        <w:pStyle w:val="style4104"/>
        <w:rPr/>
      </w:pPr>
      <w:r>
        <w:t>5.3.2 备份架构</w:t>
      </w:r>
    </w:p>
    <w:p w14:paraId="498DD1AE">
      <w:pPr>
        <w:pStyle w:val="style4097"/>
        <w:rPr/>
      </w:pPr>
      <w:r>
        <w:t>快照提供”时间点恢复”，备份提供”灾难恢复”——关键区别在于快照与源数据共享故障域，备份存储在不同故障域。</w:t>
      </w:r>
    </w:p>
    <w:p w14:paraId="6FB14C70">
      <w:pPr>
        <w:pStyle w:val="style66"/>
        <w:rPr/>
      </w:pPr>
      <w:r>
        <w:t>Longhorn 备份是快照链的扁平化版本，不保留变更历史，由 2 MB 文件组成，每个新备份检测并传输快照间变更块</w:t>
      </w:r>
      <w:r>
        <w:t xml:space="preserve"> </w:t>
      </w:r>
      <w:r>
        <w:rPr/>
        <w:fldChar w:fldCharType="begin"/>
      </w:r>
      <w:r>
        <w:instrText>NOTEREF _Ref_Footnote_124 \h \f</w:instrText>
      </w:r>
      <w:r>
        <w:rPr/>
        <w:fldChar w:fldCharType="separate"/>
      </w:r>
      <w:r>
        <w:rPr>
          <w:vertAlign w:val="superscript"/>
        </w:rPr>
        <w:t>124</w:t>
      </w:r>
      <w:r>
        <w:rPr/>
        <w:fldChar w:fldCharType="end"/>
      </w:r>
      <w:r>
        <w:t xml:space="preserve"> </w:t>
      </w:r>
      <w:r>
        <w:rPr/>
        <w:fldChar w:fldCharType="begin"/>
      </w:r>
      <w:r>
        <w:instrText>NOTEREF _Ref_Footnote_116 \h \f</w:instrText>
      </w:r>
      <w:r>
        <w:rPr/>
        <w:fldChar w:fldCharType="separate"/>
      </w:r>
      <w:r>
        <w:rPr>
          <w:vertAlign w:val="superscript"/>
        </w:rPr>
        <w:t>116</w:t>
      </w:r>
      <w:r>
        <w:rPr/>
        <w:fldChar w:fldCharType="end"/>
      </w:r>
      <w:r>
        <w:t>。快照存储在本地集群，备份远程存储到 S3 或 NFS</w:t>
      </w:r>
      <w:r>
        <w:t xml:space="preserve"> </w:t>
      </w:r>
      <w:r>
        <w:rPr/>
        <w:fldChar w:fldCharType="begin"/>
      </w:r>
      <w:r>
        <w:instrText>NOTEREF _Ref_Footnote_129 \h \f</w:instrText>
      </w:r>
      <w:r>
        <w:rPr/>
        <w:fldChar w:fldCharType="separate"/>
      </w:r>
      <w:r>
        <w:rPr>
          <w:vertAlign w:val="superscript"/>
        </w:rPr>
        <w:t>129</w:t>
      </w:r>
      <w:r>
        <w:rPr/>
        <w:fldChar w:fldCharType="end"/>
      </w:r>
      <w:r>
        <w:t>，每卷最多 100 个快照</w:t>
      </w:r>
      <w:r>
        <w:t xml:space="preserve"> </w:t>
      </w:r>
      <w:r>
        <w:rPr>
          <w:vertAlign w:val="superscript"/>
        </w:rPr>
        <w:footnoteReference w:id="140"/>
      </w:r>
      <w:r>
        <w:t>。</w:t>
      </w:r>
    </w:p>
    <w:p w14:paraId="BD8CBDD2">
      <w:pPr>
        <w:pStyle w:val="style66"/>
        <w:rPr/>
      </w:pPr>
      <w:r>
        <w:t>对于超出 Longhorn 覆盖范围的需求，分阶段建设：第一阶段集成 restic 或 borgbackup，利用其成熟的增量备份、加密和去重能力；第二阶段基于 Ceph RBD 的 fast-diff 和 object-map 特性</w:t>
      </w:r>
      <w:r>
        <w:t xml:space="preserve"> </w:t>
      </w:r>
      <w:r>
        <w:rPr/>
        <w:fldChar w:fldCharType="begin"/>
      </w:r>
      <w:r>
        <w:instrText>NOTEREF _Ref_Footnote_67 \h \f</w:instrText>
      </w:r>
      <w:r>
        <w:rPr/>
        <w:fldChar w:fldCharType="separate"/>
      </w:r>
      <w:r>
        <w:rPr>
          <w:vertAlign w:val="superscript"/>
        </w:rPr>
        <w:t>67</w:t>
      </w:r>
      <w:r>
        <w:rPr/>
        <w:fldChar w:fldCharType="end"/>
      </w:r>
      <w:r>
        <w:t>自研增量去重引擎，直接利用 RBD diff 输出进行变更块定位。备份策略遵循 3-2-1 原则：至少 3 份副本、2 种介质、1 份异地。本地快照 RTO &lt; 5 分钟，远程备份 RTO 取决于备份大小和带宽。</w:t>
      </w:r>
    </w:p>
    <w:bookmarkStart w:id="92" w:name="热迁移存储支持"/>
    <w:bookmarkEnd w:id="91"/>
    <w:p w14:paraId="2A3788F0">
      <w:pPr>
        <w:pStyle w:val="style4104"/>
        <w:rPr/>
      </w:pPr>
      <w:r>
        <w:t>5.3.3 热迁移存储支持</w:t>
      </w:r>
    </w:p>
    <w:p w14:paraId="F7EF9202">
      <w:pPr>
        <w:pStyle w:val="style4097"/>
        <w:rPr/>
      </w:pPr>
      <w:r>
        <w:t>平台采用共享存储方案（Ceph RBD 作为共享后端），迁移时仅需传输内存和 CPU 状态</w:t>
      </w:r>
      <w:r>
        <w:t xml:space="preserve"> </w:t>
      </w:r>
      <w:r>
        <w:rPr>
          <w:vertAlign w:val="superscript"/>
        </w:rPr>
        <w:footnoteReference w:id="141"/>
      </w:r>
      <w:r>
        <w:t xml:space="preserve"> </w:t>
      </w:r>
      <w:r>
        <w:rPr>
          <w:vertAlign w:val="superscript"/>
        </w:rPr>
        <w:footnoteReference w:id="142"/>
      </w:r>
      <w:r>
        <w:t>。Pre-Copy 算法包含四个阶段</w:t>
      </w:r>
      <w:r>
        <w:t xml:space="preserve"> </w:t>
      </w:r>
      <w:r>
        <w:rPr/>
        <w:fldChar w:fldCharType="begin"/>
      </w:r>
      <w:r>
        <w:instrText>NOTEREF _Ref_Footnote_109 \h \f</w:instrText>
      </w:r>
      <w:r>
        <w:rPr/>
        <w:fldChar w:fldCharType="separate"/>
      </w:r>
      <w:r>
        <w:rPr>
          <w:vertAlign w:val="superscript"/>
        </w:rPr>
        <w:t>109</w:t>
      </w:r>
      <w:r>
        <w:rPr/>
        <w:fldChar w:fldCharType="end"/>
      </w:r>
      <w:r>
        <w:t xml:space="preserve"> </w:t>
      </w:r>
      <w:r>
        <w:rPr>
          <w:vertAlign w:val="superscript"/>
        </w:rPr>
        <w:footnoteReference w:id="143"/>
      </w:r>
      <w:r>
        <w:t>：设置阶段建立源到目标的 TCP 连接并验证 CPU 兼容性；迭代内存传输阶段多轮传输脏页直至收敛；Stop-and-Copy 阶段暂停 vCPU、传输剩余状态（约 50-200 ms）；切换阶段目标恢复 vCPU 并完成 IP 迁移，总停机时间 50-300 ms</w:t>
      </w:r>
      <w:r>
        <w:t xml:space="preserve"> </w:t>
      </w:r>
      <w:r>
        <w:rPr/>
        <w:fldChar w:fldCharType="begin"/>
      </w:r>
      <w:r>
        <w:instrText>NOTEREF _Ref_Footnote_109 \h \f</w:instrText>
      </w:r>
      <w:r>
        <w:rPr/>
        <w:fldChar w:fldCharType="separate"/>
      </w:r>
      <w:r>
        <w:rPr>
          <w:vertAlign w:val="superscript"/>
        </w:rPr>
        <w:t>109</w:t>
      </w:r>
      <w:r>
        <w:rPr/>
        <w:fldChar w:fldCharType="end"/>
      </w:r>
      <w:r>
        <w:t>。</w:t>
      </w:r>
    </w:p>
    <w:p w14:paraId="EF6695AC">
      <w:pPr>
        <w:pStyle w:val="style66"/>
        <w:rPr/>
      </w:pPr>
      <w:r>
        <w:t>存储层的关键支撑在于 Ceph RBD 的 exclusive-lock feature</w:t>
      </w:r>
      <w:r>
        <w:t xml:space="preserve"> </w:t>
      </w:r>
      <w:r>
        <w:rPr/>
        <w:fldChar w:fldCharType="begin"/>
      </w:r>
      <w:r>
        <w:instrText>NOTEREF _Ref_Footnote_67 \h \f</w:instrText>
      </w:r>
      <w:r>
        <w:rPr/>
        <w:fldChar w:fldCharType="separate"/>
      </w:r>
      <w:r>
        <w:rPr>
          <w:vertAlign w:val="superscript"/>
        </w:rPr>
        <w:t>67</w:t>
      </w:r>
      <w:r>
        <w:rPr/>
        <w:fldChar w:fldCharType="end"/>
      </w:r>
      <w:r>
        <w:t>：迁移开始时源节点释放独占锁，目标节点获取该锁，确保无双写。无共享存储的紧急迁移支持 QEMU 块设备迁移（</w:t>
      </w:r>
      <w:r>
        <w:rPr>
          <w:rStyle w:val="style4120"/>
        </w:rPr>
        <w:t>drive_mirror</w:t>
      </w:r>
      <w:r>
        <w:t xml:space="preserve"> </w:t>
      </w:r>
      <w:r>
        <w:t>+ NBD），但需额外带宽，仅作降级方案。</w:t>
      </w:r>
    </w:p>
    <w:bookmarkStart w:id="93" w:name="csi-集成方案"/>
    <w:bookmarkEnd w:id="92"/>
    <w:bookmarkEnd w:id="89"/>
    <w:p w14:paraId="B28039A6">
      <w:pPr>
        <w:pStyle w:val="style4103"/>
        <w:rPr/>
      </w:pPr>
      <w:r>
        <w:t>5.4 CSI 集成方案</w:t>
      </w:r>
    </w:p>
    <w:bookmarkStart w:id="94" w:name="ceph-csi-驱动架构"/>
    <w:p w14:paraId="BA165FDA">
      <w:pPr>
        <w:pStyle w:val="style4104"/>
        <w:rPr/>
      </w:pPr>
      <w:r>
        <w:t>5.4.1 Ceph CSI 驱动架构</w:t>
      </w:r>
    </w:p>
    <w:p w14:paraId="1A79F22D">
      <w:pPr>
        <w:pStyle w:val="style4097"/>
        <w:rPr/>
      </w:pPr>
      <w:r>
        <w:t>CSI 是容器编排系统与存储系统之间的标准化接口</w:t>
      </w:r>
      <w:r>
        <w:t xml:space="preserve"> </w:t>
      </w:r>
      <w:r>
        <w:rPr>
          <w:vertAlign w:val="superscript"/>
        </w:rPr>
        <w:footnoteReference w:id="144"/>
      </w:r>
      <w:r>
        <w:t>。Ceph CSI 驱动包含 Controller Plugin（运行在主节点，负责卷创建、删除、快照和扩容）和 Node Plugin（运行在所有工作节点，负责卷挂载/卸载）。</w:t>
      </w:r>
    </w:p>
    <w:p w14:paraId="37F0AAF3">
      <w:pPr>
        <w:pStyle w:val="style66"/>
        <w:rPr/>
      </w:pPr>
      <w:r>
        <w:t>Ceph CSI 支持两种卷类型：Ceph RBD 提供块设备卷（ReadWriteOnce），对应 L2；CephFS 提供共享文件系统卷（ReadWriteMany），对应 L3</w:t>
      </w:r>
      <w:r>
        <w:t xml:space="preserve"> </w:t>
      </w:r>
      <w:r>
        <w:rPr/>
        <w:fldChar w:fldCharType="begin"/>
      </w:r>
      <w:r>
        <w:instrText>NOTEREF _Ref_Footnote_144 \h \f</w:instrText>
      </w:r>
      <w:r>
        <w:rPr/>
        <w:fldChar w:fldCharType="separate"/>
      </w:r>
      <w:r>
        <w:rPr>
          <w:vertAlign w:val="superscript"/>
        </w:rPr>
        <w:t>144</w:t>
      </w:r>
      <w:r>
        <w:rPr/>
        <w:fldChar w:fldCharType="end"/>
      </w:r>
      <w:r>
        <w:t xml:space="preserve"> </w:t>
      </w:r>
      <w:r>
        <w:rPr/>
        <w:fldChar w:fldCharType="begin"/>
      </w:r>
      <w:r>
        <w:instrText>NOTEREF _Ref_Footnote_123 \h \f</w:instrText>
      </w:r>
      <w:r>
        <w:rPr/>
        <w:fldChar w:fldCharType="separate"/>
      </w:r>
      <w:r>
        <w:rPr>
          <w:vertAlign w:val="superscript"/>
        </w:rPr>
        <w:t>123</w:t>
      </w:r>
      <w:r>
        <w:rPr/>
        <w:fldChar w:fldCharType="end"/>
      </w:r>
      <w:r>
        <w:t>。CephFS 挂载支持 kernel 模式（性能更优）和 fuse 模式（兼容性更好），生产环境推荐 kernel 模式</w:t>
      </w:r>
      <w:r>
        <w:t xml:space="preserve"> </w:t>
      </w:r>
      <w:r>
        <w:rPr/>
        <w:fldChar w:fldCharType="begin"/>
      </w:r>
      <w:r>
        <w:instrText>NOTEREF _Ref_Footnote_115 \h \f</w:instrText>
      </w:r>
      <w:r>
        <w:rPr/>
        <w:fldChar w:fldCharType="separate"/>
      </w:r>
      <w:r>
        <w:rPr>
          <w:vertAlign w:val="superscript"/>
        </w:rPr>
        <w:t>115</w:t>
      </w:r>
      <w:r>
        <w:rPr/>
        <w:fldChar w:fldCharType="end"/>
      </w:r>
      <w:r>
        <w:t>。</w:t>
      </w:r>
    </w:p>
    <w:p w14:paraId="C63910D7">
      <w:pPr>
        <w:pStyle w:val="style66"/>
        <w:rPr/>
      </w:pPr>
      <w:r>
        <w:t>CSI 快照系统由 VolumeSnapshot、VolumeSnapshotContent 和 VolumeSnapshotClass 三个对象构成</w:t>
      </w:r>
      <w:r>
        <w:t xml:space="preserve"> </w:t>
      </w:r>
      <w:r>
        <w:rPr/>
        <w:fldChar w:fldCharType="begin"/>
      </w:r>
      <w:r>
        <w:instrText>NOTEREF _Ref_Footnote_103 \h \f</w:instrText>
      </w:r>
      <w:r>
        <w:rPr/>
        <w:fldChar w:fldCharType="separate"/>
      </w:r>
      <w:r>
        <w:rPr>
          <w:vertAlign w:val="superscript"/>
        </w:rPr>
        <w:t>103</w:t>
      </w:r>
      <w:r>
        <w:rPr/>
        <w:fldChar w:fldCharType="end"/>
      </w:r>
      <w:r>
        <w:t xml:space="preserve"> </w:t>
      </w:r>
      <w:r>
        <w:rPr/>
        <w:fldChar w:fldCharType="begin"/>
      </w:r>
      <w:r>
        <w:instrText>NOTEREF _Ref_Footnote_2 \h \f</w:instrText>
      </w:r>
      <w:r>
        <w:rPr/>
        <w:fldChar w:fldCharType="separate"/>
      </w:r>
      <w:r>
        <w:rPr>
          <w:vertAlign w:val="superscript"/>
        </w:rPr>
        <w:t>2</w:t>
      </w:r>
      <w:r>
        <w:rPr/>
        <w:fldChar w:fldCharType="end"/>
      </w:r>
      <w:r>
        <w:t>。Snapshot Controller 监听事件并协调生命周期，external-snapshotter sidecar 调用 CSI 驱动的 CreateSnapshot RPC。PVC 克隆支持通过</w:t>
      </w:r>
      <w:r>
        <w:t xml:space="preserve"> </w:t>
      </w:r>
      <w:r>
        <w:rPr>
          <w:rStyle w:val="style4120"/>
        </w:rPr>
        <w:t>dataSourceRef</w:t>
      </w:r>
      <w:r>
        <w:t xml:space="preserve"> </w:t>
      </w:r>
      <w:r>
        <w:t>引用已有 PVC；生产环境推荐路径为源 PVC → Snapshot → 新 PVC</w:t>
      </w:r>
      <w:r>
        <w:t xml:space="preserve"> </w:t>
      </w:r>
      <w:r>
        <w:rPr/>
        <w:fldChar w:fldCharType="begin"/>
      </w:r>
      <w:r>
        <w:instrText>NOTEREF _Ref_Footnote_49 \h \f</w:instrText>
      </w:r>
      <w:r>
        <w:rPr/>
        <w:fldChar w:fldCharType="separate"/>
      </w:r>
      <w:r>
        <w:rPr>
          <w:vertAlign w:val="superscript"/>
        </w:rPr>
        <w:t>49</w:t>
      </w:r>
      <w:r>
        <w:rPr/>
        <w:fldChar w:fldCharType="end"/>
      </w:r>
      <w:r>
        <w:t>。Kubernetes 1.26+ 支持跨命名空间克隆，需开启 CrossNamespaceVolumeDataSource 特性门。</w:t>
      </w:r>
    </w:p>
    <w:bookmarkStart w:id="95" w:name="storageclass-设计"/>
    <w:bookmarkEnd w:id="94"/>
    <w:p w14:paraId="D012AD9F">
      <w:pPr>
        <w:pStyle w:val="style4104"/>
        <w:rPr/>
      </w:pPr>
      <w:r>
        <w:t>5.4.2 StorageClass 设计</w:t>
      </w:r>
    </w:p>
    <w:p w14:paraId="EE287837">
      <w:pPr>
        <w:pStyle w:val="style4097"/>
        <w:rPr/>
      </w:pPr>
      <w:r>
        <w:t>平台通过四种 StorageClass 将六层存储模型映射到工作负载可消费的存储抽象。</w:t>
      </w:r>
    </w:p>
    <w:tbl>
      <w:tblPr>
        <w:tblStyle w:val="style4111"/>
        <w:tblW w:w="5000" w:type="pct"/>
        <w:tblLook w:val="0020" w:firstRow="1" w:lastRow="0" w:firstColumn="0" w:lastColumn="0" w:noHBand="0" w:noVBand="0"/>
      </w:tblPr>
      <w:tblGrid>
        <w:gridCol w:w="1676"/>
        <w:gridCol w:w="536"/>
        <w:gridCol w:w="1380"/>
        <w:gridCol w:w="3424"/>
        <w:gridCol w:w="899"/>
      </w:tblGrid>
      <w:tr w14:paraId="8319EE9F">
        <w:trPr>
          <w:tblHeader/>
        </w:trPr>
        <w:tc>
          <w:tcPr>
            <w:tcW w:w="0" w:type="auto"/>
            <w:tcBorders/>
          </w:tcPr>
          <w:p w14:paraId="226068D5">
            <w:pPr>
              <w:pStyle w:val="style4098"/>
              <w:jc w:val="left"/>
              <w:rPr/>
            </w:pPr>
            <w:r>
              <w:t>StorageClass</w:t>
            </w:r>
          </w:p>
        </w:tc>
        <w:tc>
          <w:tcPr>
            <w:tcW w:w="0" w:type="auto"/>
            <w:tcBorders/>
          </w:tcPr>
          <w:p w14:paraId="87C8B022">
            <w:pPr>
              <w:pStyle w:val="style4098"/>
              <w:jc w:val="center"/>
              <w:rPr/>
            </w:pPr>
            <w:r>
              <w:t>存储层</w:t>
            </w:r>
          </w:p>
        </w:tc>
        <w:tc>
          <w:tcPr>
            <w:tcW w:w="0" w:type="auto"/>
            <w:tcBorders/>
          </w:tcPr>
          <w:p w14:paraId="98C74E24">
            <w:pPr>
              <w:pStyle w:val="style4098"/>
              <w:jc w:val="left"/>
              <w:rPr/>
            </w:pPr>
            <w:r>
              <w:t>后端</w:t>
            </w:r>
          </w:p>
        </w:tc>
        <w:tc>
          <w:tcPr>
            <w:tcW w:w="0" w:type="auto"/>
            <w:tcBorders/>
          </w:tcPr>
          <w:p w14:paraId="26A6AD6E">
            <w:pPr>
              <w:pStyle w:val="style4098"/>
              <w:jc w:val="left"/>
              <w:rPr/>
            </w:pPr>
            <w:r>
              <w:t>关键参数</w:t>
            </w:r>
          </w:p>
        </w:tc>
        <w:tc>
          <w:tcPr>
            <w:tcW w:w="0" w:type="auto"/>
            <w:tcBorders/>
          </w:tcPr>
          <w:p w14:paraId="93C13408">
            <w:pPr>
              <w:pStyle w:val="style4098"/>
              <w:jc w:val="left"/>
              <w:rPr/>
            </w:pPr>
            <w:r>
              <w:t>适用场景</w:t>
            </w:r>
          </w:p>
        </w:tc>
      </w:tr>
      <w:tr w14:paraId="2018C94C">
        <w:tblPrEx/>
        <w:trPr/>
        <w:tc>
          <w:tcPr>
            <w:tcW w:w="0" w:type="auto"/>
            <w:tcBorders/>
          </w:tcPr>
          <w:p w14:paraId="ADB6278D">
            <w:pPr>
              <w:pStyle w:val="style4098"/>
              <w:jc w:val="left"/>
              <w:rPr/>
            </w:pPr>
            <w:r>
              <w:rPr>
                <w:rStyle w:val="style4120"/>
              </w:rPr>
              <w:t>fast-ssd</w:t>
            </w:r>
          </w:p>
        </w:tc>
        <w:tc>
          <w:tcPr>
            <w:tcW w:w="0" w:type="auto"/>
            <w:tcBorders/>
          </w:tcPr>
          <w:p w14:paraId="7D46464A">
            <w:pPr>
              <w:pStyle w:val="style4098"/>
              <w:jc w:val="center"/>
              <w:rPr/>
            </w:pPr>
            <w:r>
              <w:t>L1</w:t>
            </w:r>
          </w:p>
        </w:tc>
        <w:tc>
          <w:tcPr>
            <w:tcW w:w="0" w:type="auto"/>
            <w:tcBorders/>
          </w:tcPr>
          <w:p w14:paraId="05ED5807">
            <w:pPr>
              <w:pStyle w:val="style4098"/>
              <w:jc w:val="left"/>
              <w:rPr/>
            </w:pPr>
            <w:r>
              <w:t>ZFS (单节点 NVMe)</w:t>
            </w:r>
          </w:p>
        </w:tc>
        <w:tc>
          <w:tcPr>
            <w:tcW w:w="0" w:type="auto"/>
            <w:tcBorders/>
          </w:tcPr>
          <w:p w14:paraId="3320D919">
            <w:pPr>
              <w:pStyle w:val="style4098"/>
              <w:jc w:val="left"/>
              <w:rPr/>
            </w:pPr>
            <w:r>
              <w:rPr>
                <w:rStyle w:val="style4120"/>
              </w:rPr>
              <w:t>compression=lz4</w:t>
            </w:r>
            <w:r>
              <w:t>,</w:t>
            </w:r>
            <w:r>
              <w:t xml:space="preserve"> </w:t>
            </w:r>
            <w:r>
              <w:rPr>
                <w:rStyle w:val="style4120"/>
              </w:rPr>
              <w:t>recordsize=16k</w:t>
            </w:r>
          </w:p>
        </w:tc>
        <w:tc>
          <w:tcPr>
            <w:tcW w:w="0" w:type="auto"/>
            <w:tcBorders/>
          </w:tcPr>
          <w:p w14:paraId="78483DC0">
            <w:pPr>
              <w:pStyle w:val="style4098"/>
              <w:jc w:val="left"/>
              <w:rPr/>
            </w:pPr>
            <w:r>
              <w:t>高频缓存、构建目录</w:t>
            </w:r>
          </w:p>
        </w:tc>
      </w:tr>
      <w:tr w14:paraId="CEAEAF9A">
        <w:tblPrEx/>
        <w:trPr/>
        <w:tc>
          <w:tcPr>
            <w:tcW w:w="0" w:type="auto"/>
            <w:tcBorders/>
          </w:tcPr>
          <w:p w14:paraId="458FF4F7">
            <w:pPr>
              <w:pStyle w:val="style4098"/>
              <w:jc w:val="left"/>
              <w:rPr/>
            </w:pPr>
            <w:r>
              <w:rPr>
                <w:rStyle w:val="style4120"/>
              </w:rPr>
              <w:t>replicated-block</w:t>
            </w:r>
          </w:p>
        </w:tc>
        <w:tc>
          <w:tcPr>
            <w:tcW w:w="0" w:type="auto"/>
            <w:tcBorders/>
          </w:tcPr>
          <w:p w14:paraId="8A6AA392">
            <w:pPr>
              <w:pStyle w:val="style4098"/>
              <w:jc w:val="center"/>
              <w:rPr/>
            </w:pPr>
            <w:r>
              <w:t>L2</w:t>
            </w:r>
          </w:p>
        </w:tc>
        <w:tc>
          <w:tcPr>
            <w:tcW w:w="0" w:type="auto"/>
            <w:tcBorders/>
          </w:tcPr>
          <w:p w14:paraId="E475B3BA">
            <w:pPr>
              <w:pStyle w:val="style4098"/>
              <w:jc w:val="left"/>
              <w:rPr/>
            </w:pPr>
            <w:r>
              <w:t>Ceph RBD</w:t>
            </w:r>
          </w:p>
        </w:tc>
        <w:tc>
          <w:tcPr>
            <w:tcW w:w="0" w:type="auto"/>
            <w:tcBorders/>
          </w:tcPr>
          <w:p w14:paraId="E230A387">
            <w:pPr>
              <w:pStyle w:val="style4098"/>
              <w:jc w:val="left"/>
              <w:rPr/>
            </w:pPr>
            <w:r>
              <w:rPr>
                <w:rStyle w:val="style4120"/>
              </w:rPr>
              <w:t>imageFeatures=layering,fast-diff,object-map</w:t>
            </w:r>
            <w:r>
              <w:t>,</w:t>
            </w:r>
            <w:r>
              <w:t xml:space="preserve"> </w:t>
            </w:r>
            <w:r>
              <w:rPr>
                <w:rStyle w:val="style4120"/>
              </w:rPr>
              <w:t>pool=replicated</w:t>
            </w:r>
          </w:p>
        </w:tc>
        <w:tc>
          <w:tcPr>
            <w:tcW w:w="0" w:type="auto"/>
            <w:tcBorders/>
          </w:tcPr>
          <w:p w14:paraId="4F779189">
            <w:pPr>
              <w:pStyle w:val="style4098"/>
              <w:jc w:val="left"/>
              <w:rPr/>
            </w:pPr>
            <w:r>
              <w:t>VM 磁盘、数据库</w:t>
            </w:r>
          </w:p>
        </w:tc>
      </w:tr>
      <w:tr w14:paraId="30BDC038">
        <w:tblPrEx/>
        <w:trPr/>
        <w:tc>
          <w:tcPr>
            <w:tcW w:w="0" w:type="auto"/>
            <w:tcBorders/>
          </w:tcPr>
          <w:p w14:paraId="1E0AA91F">
            <w:pPr>
              <w:pStyle w:val="style4098"/>
              <w:jc w:val="left"/>
              <w:rPr/>
            </w:pPr>
            <w:r>
              <w:rPr>
                <w:rStyle w:val="style4120"/>
              </w:rPr>
              <w:t>shared-fs</w:t>
            </w:r>
          </w:p>
        </w:tc>
        <w:tc>
          <w:tcPr>
            <w:tcW w:w="0" w:type="auto"/>
            <w:tcBorders/>
          </w:tcPr>
          <w:p w14:paraId="2B9F271B">
            <w:pPr>
              <w:pStyle w:val="style4098"/>
              <w:jc w:val="center"/>
              <w:rPr/>
            </w:pPr>
            <w:r>
              <w:t>L3</w:t>
            </w:r>
          </w:p>
        </w:tc>
        <w:tc>
          <w:tcPr>
            <w:tcW w:w="0" w:type="auto"/>
            <w:tcBorders/>
          </w:tcPr>
          <w:p w14:paraId="DDFEEDD4">
            <w:pPr>
              <w:pStyle w:val="style4098"/>
              <w:jc w:val="left"/>
              <w:rPr/>
            </w:pPr>
            <w:r>
              <w:t>CephFS</w:t>
            </w:r>
          </w:p>
        </w:tc>
        <w:tc>
          <w:tcPr>
            <w:tcW w:w="0" w:type="auto"/>
            <w:tcBorders/>
          </w:tcPr>
          <w:p w14:paraId="328DA00D">
            <w:pPr>
              <w:pStyle w:val="style4098"/>
              <w:jc w:val="left"/>
              <w:rPr/>
            </w:pPr>
            <w:r>
              <w:rPr>
                <w:rStyle w:val="style4120"/>
              </w:rPr>
              <w:t>kernelMount=true</w:t>
            </w:r>
            <w:r>
              <w:t>,</w:t>
            </w:r>
            <w:r>
              <w:t xml:space="preserve"> </w:t>
            </w:r>
            <w:r>
              <w:rPr>
                <w:rStyle w:val="style4120"/>
              </w:rPr>
              <w:t>fsName=cubesandbox-fs</w:t>
            </w:r>
          </w:p>
        </w:tc>
        <w:tc>
          <w:tcPr>
            <w:tcW w:w="0" w:type="auto"/>
            <w:tcBorders/>
          </w:tcPr>
          <w:p w14:paraId="B97AFEEA">
            <w:pPr>
              <w:pStyle w:val="style4098"/>
              <w:jc w:val="left"/>
              <w:rPr/>
            </w:pPr>
            <w:r>
              <w:t>共享配置、多 Pod 数据</w:t>
            </w:r>
          </w:p>
        </w:tc>
      </w:tr>
      <w:tr w14:paraId="1D5EF4C0">
        <w:tblPrEx/>
        <w:trPr/>
        <w:tc>
          <w:tcPr>
            <w:tcW w:w="0" w:type="auto"/>
            <w:tcBorders/>
          </w:tcPr>
          <w:p w14:paraId="6B6C1A87">
            <w:pPr>
              <w:pStyle w:val="style4098"/>
              <w:jc w:val="left"/>
              <w:rPr/>
            </w:pPr>
            <w:r>
              <w:rPr>
                <w:rStyle w:val="style4120"/>
              </w:rPr>
              <w:t>backup</w:t>
            </w:r>
          </w:p>
        </w:tc>
        <w:tc>
          <w:tcPr>
            <w:tcW w:w="0" w:type="auto"/>
            <w:tcBorders/>
          </w:tcPr>
          <w:p w14:paraId="2022AC0B">
            <w:pPr>
              <w:pStyle w:val="style4098"/>
              <w:jc w:val="center"/>
              <w:rPr/>
            </w:pPr>
            <w:r>
              <w:t>L5</w:t>
            </w:r>
          </w:p>
        </w:tc>
        <w:tc>
          <w:tcPr>
            <w:tcW w:w="0" w:type="auto"/>
            <w:tcBorders/>
          </w:tcPr>
          <w:p w14:paraId="0F8A6C12">
            <w:pPr>
              <w:pStyle w:val="style4098"/>
              <w:jc w:val="left"/>
              <w:rPr/>
            </w:pPr>
            <w:r>
              <w:t>Longhorn + S3</w:t>
            </w:r>
          </w:p>
        </w:tc>
        <w:tc>
          <w:tcPr>
            <w:tcW w:w="0" w:type="auto"/>
            <w:tcBorders/>
          </w:tcPr>
          <w:p w14:paraId="ED3841EC">
            <w:pPr>
              <w:pStyle w:val="style4098"/>
              <w:jc w:val="left"/>
              <w:rPr/>
            </w:pPr>
            <w:r>
              <w:rPr>
                <w:rStyle w:val="style4120"/>
              </w:rPr>
              <w:t>numberOfReplicas=3</w:t>
            </w:r>
            <w:r>
              <w:t>,</w:t>
            </w:r>
            <w:r>
              <w:t xml:space="preserve"> </w:t>
            </w:r>
            <w:r>
              <w:rPr>
                <w:rStyle w:val="style4120"/>
              </w:rPr>
              <w:t>backupTarget=s3://...</w:t>
            </w:r>
          </w:p>
        </w:tc>
        <w:tc>
          <w:tcPr>
            <w:tcW w:w="0" w:type="auto"/>
            <w:tcBorders/>
          </w:tcPr>
          <w:p w14:paraId="267D0CFB">
            <w:pPr>
              <w:pStyle w:val="style4098"/>
              <w:jc w:val="left"/>
              <w:rPr/>
            </w:pPr>
            <w:r>
              <w:t>灾难恢复、跨集群复制</w:t>
            </w:r>
          </w:p>
        </w:tc>
      </w:tr>
    </w:tbl>
    <w:p w14:paraId="7041AEE5">
      <w:pPr>
        <w:pStyle w:val="style66"/>
        <w:rPr/>
      </w:pPr>
      <w:r>
        <w:rPr>
          <w:rStyle w:val="style4120"/>
        </w:rPr>
        <w:t>fast-ssd</w:t>
      </w:r>
      <w:r>
        <w:t xml:space="preserve"> </w:t>
      </w:r>
      <w:r>
        <w:t>类通过 ZFS 的 lz4 压缩和 16 KB recordsize 优化小文件随机 I/O，仅调度到带 NVMe 和 ZFS 标签的节点。</w:t>
      </w:r>
      <w:r>
        <w:rPr>
          <w:rStyle w:val="style4120"/>
        </w:rPr>
        <w:t>replicated-block</w:t>
      </w:r>
      <w:r>
        <w:t xml:space="preserve"> </w:t>
      </w:r>
      <w:r>
        <w:t>默认启用 layering、fast-diff、object-map 和 exclusive-lock</w:t>
      </w:r>
      <w:r>
        <w:t xml:space="preserve"> </w:t>
      </w:r>
      <w:r>
        <w:rPr/>
        <w:fldChar w:fldCharType="begin"/>
      </w:r>
      <w:r>
        <w:instrText>NOTEREF _Ref_Footnote_67 \h \f</w:instrText>
      </w:r>
      <w:r>
        <w:rPr/>
        <w:fldChar w:fldCharType="separate"/>
      </w:r>
      <w:r>
        <w:rPr>
          <w:vertAlign w:val="superscript"/>
        </w:rPr>
        <w:t>67</w:t>
      </w:r>
      <w:r>
        <w:rPr/>
        <w:fldChar w:fldCharType="end"/>
      </w:r>
      <w:r>
        <w:t>，数据池采用 3x 复制（生产数据）或 EC k=4,m=2（归档数据）</w:t>
      </w:r>
      <w:r>
        <w:rPr/>
        <w:fldChar w:fldCharType="begin"/>
      </w:r>
      <w:r>
        <w:instrText>NOTEREF _Ref_Footnote_113 \h \f</w:instrText>
      </w:r>
      <w:r>
        <w:rPr/>
        <w:fldChar w:fldCharType="separate"/>
      </w:r>
      <w:r>
        <w:rPr>
          <w:vertAlign w:val="superscript"/>
        </w:rPr>
        <w:t>113</w:t>
      </w:r>
      <w:r>
        <w:rPr/>
        <w:fldChar w:fldCharType="end"/>
      </w:r>
      <w:r>
        <w:t>。</w:t>
      </w:r>
      <w:r>
        <w:rPr>
          <w:rStyle w:val="style4120"/>
        </w:rPr>
        <w:t>shared-fs</w:t>
      </w:r>
      <w:r>
        <w:t xml:space="preserve"> </w:t>
      </w:r>
      <w:r>
        <w:t>使用内核客户端挂载，文件系统名称隔离为</w:t>
      </w:r>
      <w:r>
        <w:t xml:space="preserve"> </w:t>
      </w:r>
      <w:r>
        <w:rPr>
          <w:rStyle w:val="style4120"/>
        </w:rPr>
        <w:t>cubesandbox-fs</w:t>
      </w:r>
      <w:r>
        <w:t>。</w:t>
      </w:r>
      <w:r>
        <w:rPr>
          <w:rStyle w:val="style4120"/>
        </w:rPr>
        <w:t>backup</w:t>
      </w:r>
      <w:r>
        <w:t xml:space="preserve"> </w:t>
      </w:r>
      <w:r>
        <w:t>类 3 副本跨节点分布确保本地高可用，S3 目标提供远程灾难恢复</w:t>
      </w:r>
      <w:r>
        <w:t xml:space="preserve"> </w:t>
      </w:r>
      <w:r>
        <w:rPr/>
        <w:fldChar w:fldCharType="begin"/>
      </w:r>
      <w:r>
        <w:instrText>NOTEREF _Ref_Footnote_124 \h \f</w:instrText>
      </w:r>
      <w:r>
        <w:rPr/>
        <w:fldChar w:fldCharType="separate"/>
      </w:r>
      <w:r>
        <w:rPr>
          <w:vertAlign w:val="superscript"/>
        </w:rPr>
        <w:t>124</w:t>
      </w:r>
      <w:r>
        <w:rPr/>
        <w:fldChar w:fldCharType="end"/>
      </w:r>
      <w:r>
        <w:t>。</w:t>
      </w:r>
    </w:p>
    <w:p w14:paraId="8617807B">
      <w:pPr>
        <w:pStyle w:val="style66"/>
        <w:rPr/>
      </w:pPr>
      <w:r>
        <w:t>默认 StorageClass 设置为</w:t>
      </w:r>
      <w:r>
        <w:t xml:space="preserve"> </w:t>
      </w:r>
      <w:r>
        <w:rPr>
          <w:rStyle w:val="style4120"/>
        </w:rPr>
        <w:t>replicated-block</w:t>
      </w:r>
      <w:r>
        <w:t>，因其覆盖最广泛的使用场景。EmptyDir 卷由 kubelet 直接管理，根据节点存储后端自动选择 L1 ZFS/Btrfs 路径。需要 SPDK vhost-user 加速的工作负载通过额外 StorageClass（</w:t>
      </w:r>
      <w:r>
        <w:rPr>
          <w:rStyle w:val="style4120"/>
        </w:rPr>
        <w:t>replicated-block-spdk</w:t>
      </w:r>
      <w:r>
        <w:t>）启用，继承</w:t>
      </w:r>
      <w:r>
        <w:t xml:space="preserve"> </w:t>
      </w:r>
      <w:r>
        <w:rPr>
          <w:rStyle w:val="style4120"/>
        </w:rPr>
        <w:t>replicated-block</w:t>
      </w:r>
      <w:r>
        <w:t xml:space="preserve"> </w:t>
      </w:r>
      <w:r>
        <w:t>全部参数并添加</w:t>
      </w:r>
      <w:r>
        <w:t xml:space="preserve"> </w:t>
      </w:r>
      <w:r>
        <w:rPr>
          <w:rStyle w:val="style4120"/>
        </w:rPr>
        <w:t>vhostUser=true</w:t>
      </w:r>
      <w:r>
        <w:t xml:space="preserve"> </w:t>
      </w:r>
      <w:r>
        <w:t>和</w:t>
      </w:r>
      <w:r>
        <w:t xml:space="preserve"> </w:t>
      </w:r>
      <w:r>
        <w:rPr>
          <w:rStyle w:val="style4120"/>
        </w:rPr>
        <w:t>hugepages=2Gi</w:t>
      </w:r>
      <w:r>
        <w:t xml:space="preserve"> </w:t>
      </w:r>
      <w:r>
        <w:t>注解。</w:t>
      </w:r>
    </w:p>
    <w:p w14:paraId="660BB237">
      <w:pPr>
        <w:pStyle w:val="style0"/>
        <w:rPr/>
      </w:pPr>
      <w:r>
        <w:rPr/>
        <w:pict>
          <v:rect id="1039" stroked="t" style="margin-left:0.0pt;margin-top:0.0pt;width:0.0pt;height:1.5pt;mso-wrap-distance-left:0.0pt;mso-wrap-distance-right:0.0pt;visibility:visible;" o:hr="t" o:hralign="center" o:hrstd="t">
            <v:fill/>
          </v:rect>
        </w:pict>
      </w:r>
    </w:p>
    <w:bookmarkStart w:id="96" w:name="安全隔离模型"/>
    <w:bookmarkEnd w:id="95"/>
    <w:bookmarkEnd w:id="93"/>
    <w:bookmarkEnd w:id="80"/>
    <w:p w14:paraId="2D3DFE0D">
      <w:pPr>
        <w:pStyle w:val="style4102"/>
        <w:rPr/>
      </w:pPr>
      <w:r>
        <w:t>6. 安全隔离模型</w:t>
      </w:r>
    </w:p>
    <w:p w14:paraId="63F136EC">
      <w:pPr>
        <w:pStyle w:val="style4097"/>
        <w:rPr/>
      </w:pPr>
      <w:r>
        <w:t>容器化环境的本质张力在于性能与安全之间的权衡：共享内核的轻量级容器提供毫秒级启动与极低开销，却将宿主机内核暴露为单点故障；传统虚拟机通过硬件虚拟化实现强隔离，却以分钟级启动与高内存开销为代价。CubeSandbox 混合平台的核心安全命题，在于如何以系统化的多级隔离架构覆盖从可信内部工具到不可信多租户代码执行的全谱系工作负载，同时满足等保 2.0、PCI DSS、SOC 2 等多维合规要求。本章从隔离层级模型、硬件级安全机制、多租户安全策略与合规性设计四个维度展开分析。</w:t>
      </w:r>
    </w:p>
    <w:bookmarkStart w:id="97" w:name="多级隔离架构"/>
    <w:p w14:paraId="BCDBCAFB">
      <w:pPr>
        <w:pStyle w:val="style4103"/>
        <w:rPr/>
      </w:pPr>
      <w:r>
        <w:t>6.1 多级隔离架构</w:t>
      </w:r>
    </w:p>
    <w:bookmarkStart w:id="98" w:name="四级隔离层级模型"/>
    <w:p w14:paraId="88E536CD">
      <w:pPr>
        <w:pStyle w:val="style4104"/>
        <w:rPr/>
      </w:pPr>
      <w:r>
        <w:t>6.1.1 四级隔离层级模型</w:t>
      </w:r>
    </w:p>
    <w:p w14:paraId="9D14A836">
      <w:pPr>
        <w:pStyle w:val="style4097"/>
        <w:rPr/>
      </w:pPr>
      <w:r>
        <w:t>基于对 CubeSandbox、Kata Containers 与 Linux 容器技术栈的深度技术评估，平台采用 L0→L1→L2→L3 四级递进隔离架构，每一层级在安全性、性能与兼容性之间占据不同的平衡点，通过 Kubernetes RuntimeClass 机制实现按工作负载的自动路由。</w:t>
      </w:r>
    </w:p>
    <w:p w14:paraId="2AAA0A94">
      <w:pPr>
        <w:pStyle w:val="style4118"/>
        <w:rPr/>
      </w:pPr>
      <w:r>
        <w:rPr/>
        <w:drawing>
          <wp:inline distL="0" distT="0" distB="0" distR="0">
            <wp:extent cx="5334000" cy="3805317"/>
            <wp:effectExtent l="0" t="0" r="0" b="0"/>
            <wp:docPr id="1040" name="Picture" descr="CubeSandbox 多级安全隔离架构"/>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10" cstate="print"/>
                    <a:srcRect l="0" t="0" r="0" b="0"/>
                    <a:stretch/>
                  </pic:blipFill>
                  <pic:spPr>
                    <a:xfrm rot="0">
                      <a:off x="0" y="0"/>
                      <a:ext cx="5334000" cy="3805317"/>
                    </a:xfrm>
                    <a:prstGeom prst="rect"/>
                    <a:ln>
                      <a:noFill/>
                    </a:ln>
                  </pic:spPr>
                </pic:pic>
              </a:graphicData>
            </a:graphic>
          </wp:inline>
        </w:drawing>
      </w:r>
    </w:p>
    <w:p w14:paraId="05EF27A8">
      <w:pPr>
        <w:pStyle w:val="style4116"/>
        <w:rPr/>
      </w:pPr>
      <w:r>
        <w:t>CubeSandbox 多级安全隔离架构</w:t>
      </w:r>
    </w:p>
    <w:p w14:paraId="19F9A9A2">
      <w:pPr>
        <w:pStyle w:val="style66"/>
        <w:rPr/>
      </w:pPr>
      <w:r>
        <w:rPr>
          <w:b/>
          <w:bCs/>
        </w:rPr>
        <w:t>L0 容器层（LXC / runc）</w:t>
      </w:r>
      <w:r>
        <w:t xml:space="preserve"> </w:t>
      </w:r>
      <w:r>
        <w:t>基于 Linux Namespaces、cgroups v2、seccomp-bpf 与 LSM（Linux Security Modules，即 AppArmor/SELinux）构建软件级隔离边界。该层级共享宿主内核，启动延迟低于 200 ms，内存增量开销约 2 MB，适用于可信内部应用与基础设施组件。需要指出的是，容器隔离强度具有涌现性和配置依赖性——Namespaces 提供可见性隔离但无法阻止资源耗尽攻击，cgroups 限制资源用量但不阻断恶意系统调用，seccomp 过滤系统调用但缺乏上下文感知能力，任何一层配置错误都会削弱整体安全模型</w:t>
      </w:r>
      <w:r>
        <w:t xml:space="preserve"> </w:t>
      </w:r>
      <w:r>
        <w:rPr>
          <w:vertAlign w:val="superscript"/>
        </w:rPr>
        <w:footnoteReference w:id="145"/>
      </w:r>
      <w:r>
        <w:t xml:space="preserve"> </w:t>
      </w:r>
      <w:r>
        <w:rPr>
          <w:vertAlign w:val="superscript"/>
        </w:rPr>
        <w:footnoteReference w:id="146"/>
      </w:r>
      <w:r>
        <w:t>。</w:t>
      </w:r>
    </w:p>
    <w:p w14:paraId="3BEED8BC">
      <w:pPr>
        <w:pStyle w:val="style66"/>
        <w:rPr/>
      </w:pPr>
      <w:r>
        <w:rPr>
          <w:b/>
          <w:bCs/>
        </w:rPr>
        <w:t>L1 MicroVM 层（Kata Containers）</w:t>
      </w:r>
      <w:r>
        <w:t xml:space="preserve"> </w:t>
      </w:r>
      <w:r>
        <w:t>将每个 Pod 运行在独立的轻量级虚拟机中，通过 KVM（Kernel-based Virtual Machine）硬件虚拟化扩展实现内核级隔离。Kata 支持 QEMU、Cloud Hypervisor、Firecracker、Dragonball 等多种 VMM（Virtual Machine Monitor）后端，提供完整的 OCI/CRI 兼容性</w:t>
      </w:r>
      <w:r>
        <w:t xml:space="preserve"> </w:t>
      </w:r>
      <w:r>
        <w:rPr>
          <w:vertAlign w:val="superscript"/>
        </w:rPr>
        <w:footnoteReference w:id="147"/>
      </w:r>
      <w:r>
        <w:t xml:space="preserve"> </w:t>
      </w:r>
      <w:r>
        <w:rPr>
          <w:vertAlign w:val="superscript"/>
        </w:rPr>
        <w:footnoteReference w:id="148"/>
      </w:r>
      <w:r>
        <w:t>。共享内核攻击——如 Dirty Pipe（CVE-2022-0847）与 Leaky Vessels（CVE-2024-21626）——无法逃逸到宿主机，因为每个工作负载拥有独立的 Guest OS 内核</w:t>
      </w:r>
      <w:r>
        <w:t xml:space="preserve"> </w:t>
      </w:r>
      <w:r>
        <w:rPr/>
        <w:fldChar w:fldCharType="begin"/>
      </w:r>
      <w:r>
        <w:instrText>NOTEREF _Ref_Footnote_118 \h \f</w:instrText>
      </w:r>
      <w:r>
        <w:rPr/>
        <w:fldChar w:fldCharType="separate"/>
      </w:r>
      <w:r>
        <w:rPr>
          <w:vertAlign w:val="superscript"/>
        </w:rPr>
        <w:t>118</w:t>
      </w:r>
      <w:r>
        <w:rPr/>
        <w:fldChar w:fldCharType="end"/>
      </w:r>
      <w:r>
        <w:t>。Firecracker 后端实现约 125 ms 启动与低于 5 MiB 内存开销</w:t>
      </w:r>
      <w:r>
        <w:t xml:space="preserve"> </w:t>
      </w:r>
      <w:r>
        <w:rPr>
          <w:vertAlign w:val="superscript"/>
        </w:rPr>
        <w:footnoteReference w:id="149"/>
      </w:r>
      <w:r>
        <w:t>，Cloud Hypervisor 后端提供 ~100 ms 启动与实时迁移能力</w:t>
      </w:r>
      <w:r>
        <w:t xml:space="preserve"> </w:t>
      </w:r>
      <w:r>
        <w:rPr/>
        <w:fldChar w:fldCharType="begin"/>
      </w:r>
      <w:r>
        <w:instrText>NOTEREF _Ref_Footnote_19 \h \f</w:instrText>
      </w:r>
      <w:r>
        <w:rPr/>
        <w:fldChar w:fldCharType="separate"/>
      </w:r>
      <w:r>
        <w:rPr>
          <w:vertAlign w:val="superscript"/>
        </w:rPr>
        <w:t>19</w:t>
      </w:r>
      <w:r>
        <w:rPr/>
        <w:fldChar w:fldCharType="end"/>
      </w:r>
      <w:r>
        <w:t>。</w:t>
      </w:r>
    </w:p>
    <w:p w14:paraId="2EE8E173">
      <w:pPr>
        <w:pStyle w:val="style66"/>
        <w:rPr/>
      </w:pPr>
      <w:r>
        <w:rPr>
          <w:b/>
          <w:bCs/>
        </w:rPr>
        <w:t>L2 CubeSandbox MicroVM 层</w:t>
      </w:r>
      <w:r>
        <w:t xml:space="preserve"> </w:t>
      </w:r>
      <w:r>
        <w:t>在 L1 基础上引入三项关键安全增强。其一，CubeHypervisor 基于 Cloud Hypervisor 深度裁剪设备模型，仅保留 virtio-blk、virtio-net、virtio-fs、virtio-console 与 CPU/Memory 核心设备，移除 USB 控制器、PCI 桥接器、TPM 设备等潜在攻击面</w:t>
      </w:r>
      <w:r>
        <w:t xml:space="preserve"> </w:t>
      </w:r>
      <w:r>
        <w:rPr/>
        <w:fldChar w:fldCharType="begin"/>
      </w:r>
      <w:r>
        <w:instrText>NOTEREF _Ref_Footnote_3 \h \f</w:instrText>
      </w:r>
      <w:r>
        <w:rPr/>
        <w:fldChar w:fldCharType="separate"/>
      </w:r>
      <w:r>
        <w:rPr>
          <w:vertAlign w:val="superscript"/>
        </w:rPr>
        <w:t>3</w:t>
      </w:r>
      <w:r>
        <w:rPr/>
        <w:fldChar w:fldCharType="end"/>
      </w:r>
      <w:r>
        <w:t>。其二，CubeVS（Cube Virtual Switch）基于 eBPF/XDP 在内核态完成数据包转发与过滤，无策略时默认拒绝（XDP_DROP），实现沙箱间网络隔离、出站流量过滤与内核级性能三重保障</w:t>
      </w:r>
      <w:r>
        <w:t xml:space="preserve"> </w:t>
      </w:r>
      <w:r>
        <w:rPr/>
        <w:fldChar w:fldCharType="begin"/>
      </w:r>
      <w:r>
        <w:instrText>NOTEREF _Ref_Footnote_3 \h \f</w:instrText>
      </w:r>
      <w:r>
        <w:rPr/>
        <w:fldChar w:fldCharType="separate"/>
      </w:r>
      <w:r>
        <w:rPr>
          <w:vertAlign w:val="superscript"/>
        </w:rPr>
        <w:t>3</w:t>
      </w:r>
      <w:r>
        <w:rPr/>
        <w:fldChar w:fldCharType="end"/>
      </w:r>
      <w:r>
        <w:t>。其三，CoW（Copy-on-Write）快照克隆确保每实例增量内存开销低于 5 MB，同时维持独立 Guest 内核的隔离语义</w:t>
      </w:r>
      <w:r>
        <w:t xml:space="preserve"> </w:t>
      </w:r>
      <w:r>
        <w:rPr/>
        <w:fldChar w:fldCharType="begin"/>
      </w:r>
      <w:r>
        <w:instrText>NOTEREF _Ref_Footnote_55 \h \f</w:instrText>
      </w:r>
      <w:r>
        <w:rPr/>
        <w:fldChar w:fldCharType="separate"/>
      </w:r>
      <w:r>
        <w:rPr>
          <w:vertAlign w:val="superscript"/>
        </w:rPr>
        <w:t>55</w:t>
      </w:r>
      <w:r>
        <w:rPr/>
        <w:fldChar w:fldCharType="end"/>
      </w:r>
      <w:r>
        <w:t>。</w:t>
      </w:r>
    </w:p>
    <w:p w14:paraId="FF6D2BB4">
      <w:pPr>
        <w:pStyle w:val="style66"/>
        <w:rPr/>
      </w:pPr>
      <w:r>
        <w:rPr>
          <w:b/>
          <w:bCs/>
        </w:rPr>
        <w:t>L3 机密计算层（CoCo + TEE）</w:t>
      </w:r>
      <w:r>
        <w:t xml:space="preserve"> </w:t>
      </w:r>
      <w:r>
        <w:t>在 MicroVM 隔离基础上叠加可信执行环境（Trusted Execution Environment，TEE），将信任计算基（Trusted Computing Base，TCB）缩减至硬件与 TEE 内运行的最小软件集合。该层支持 Intel TDX、AMD SEV-SNP 与 ARM CCA 三种 TEE 实现，通过 Trustee/KBS（Key Broker Service）实现远程证明与密钥释放</w:t>
      </w:r>
      <w:r>
        <w:t xml:space="preserve"> </w:t>
      </w:r>
      <w:r>
        <w:rPr>
          <w:vertAlign w:val="superscript"/>
        </w:rPr>
        <w:footnoteReference w:id="150"/>
      </w:r>
      <w:r>
        <w:t xml:space="preserve"> </w:t>
      </w:r>
      <w:r>
        <w:rPr>
          <w:vertAlign w:val="superscript"/>
        </w:rPr>
        <w:footnoteReference w:id="151"/>
      </w:r>
      <w:r>
        <w:t>。容器镜像直接在 TEE 内解密与运行，即使 Hypervisor 或宿主机操作系统被攻破，也无法读取工作负载内存内容。</w:t>
      </w:r>
    </w:p>
    <w:bookmarkStart w:id="99" w:name="隔离能力对比矩阵"/>
    <w:bookmarkEnd w:id="98"/>
    <w:p w14:paraId="DDE74AE8">
      <w:pPr>
        <w:pStyle w:val="style4104"/>
        <w:rPr/>
      </w:pPr>
      <w:r>
        <w:t>6.1.2 隔离能力对比矩阵</w:t>
      </w:r>
    </w:p>
    <w:tbl>
      <w:tblPr>
        <w:tblStyle w:val="style4111"/>
        <w:tblW w:w="5000" w:type="pct"/>
        <w:tblLook w:val="0020" w:firstRow="1" w:lastRow="0" w:firstColumn="0" w:lastColumn="0" w:noHBand="0" w:noVBand="0"/>
      </w:tblPr>
      <w:tblGrid>
        <w:gridCol w:w="636"/>
        <w:gridCol w:w="1622"/>
        <w:gridCol w:w="2431"/>
        <w:gridCol w:w="1743"/>
        <w:gridCol w:w="1968"/>
      </w:tblGrid>
      <w:tr w14:paraId="D53D8041">
        <w:trPr>
          <w:tblHeader/>
        </w:trPr>
        <w:tc>
          <w:tcPr>
            <w:tcW w:w="0" w:type="auto"/>
            <w:tcBorders/>
          </w:tcPr>
          <w:p w14:paraId="C3E8DBE5">
            <w:pPr>
              <w:pStyle w:val="style4098"/>
              <w:jc w:val="left"/>
              <w:rPr/>
            </w:pPr>
            <w:r>
              <w:t>隔离维度</w:t>
            </w:r>
          </w:p>
        </w:tc>
        <w:tc>
          <w:tcPr>
            <w:tcW w:w="0" w:type="auto"/>
            <w:tcBorders/>
          </w:tcPr>
          <w:p w14:paraId="A6C5CF1C">
            <w:pPr>
              <w:pStyle w:val="style4098"/>
              <w:jc w:val="left"/>
              <w:rPr/>
            </w:pPr>
            <w:r>
              <w:t>L0 LXC/runc</w:t>
            </w:r>
          </w:p>
        </w:tc>
        <w:tc>
          <w:tcPr>
            <w:tcW w:w="0" w:type="auto"/>
            <w:tcBorders/>
          </w:tcPr>
          <w:p w14:paraId="CDBD7ACC">
            <w:pPr>
              <w:pStyle w:val="style4098"/>
              <w:jc w:val="left"/>
              <w:rPr/>
            </w:pPr>
            <w:r>
              <w:t>L1 Kata MicroVM</w:t>
            </w:r>
          </w:p>
        </w:tc>
        <w:tc>
          <w:tcPr>
            <w:tcW w:w="0" w:type="auto"/>
            <w:tcBorders/>
          </w:tcPr>
          <w:p w14:paraId="18413CF6">
            <w:pPr>
              <w:pStyle w:val="style4098"/>
              <w:jc w:val="left"/>
              <w:rPr/>
            </w:pPr>
            <w:r>
              <w:t>L2 CubeSandbox</w:t>
            </w:r>
          </w:p>
        </w:tc>
        <w:tc>
          <w:tcPr>
            <w:tcW w:w="0" w:type="auto"/>
            <w:tcBorders/>
          </w:tcPr>
          <w:p w14:paraId="E594A574">
            <w:pPr>
              <w:pStyle w:val="style4098"/>
              <w:jc w:val="left"/>
              <w:rPr/>
            </w:pPr>
            <w:r>
              <w:t>L3 CoCo+TEE</w:t>
            </w:r>
          </w:p>
        </w:tc>
      </w:tr>
      <w:tr w14:paraId="1A121041">
        <w:tblPrEx/>
        <w:trPr/>
        <w:tc>
          <w:tcPr>
            <w:tcW w:w="0" w:type="auto"/>
            <w:tcBorders/>
          </w:tcPr>
          <w:p w14:paraId="24BD5EB9">
            <w:pPr>
              <w:pStyle w:val="style4098"/>
              <w:jc w:val="left"/>
              <w:rPr/>
            </w:pPr>
            <w:r>
              <w:rPr>
                <w:b/>
                <w:bCs/>
              </w:rPr>
              <w:t>虚拟化机制</w:t>
            </w:r>
          </w:p>
        </w:tc>
        <w:tc>
          <w:tcPr>
            <w:tcW w:w="0" w:type="auto"/>
            <w:tcBorders/>
          </w:tcPr>
          <w:p w14:paraId="87358F8A">
            <w:pPr>
              <w:pStyle w:val="style4098"/>
              <w:jc w:val="left"/>
              <w:rPr/>
            </w:pPr>
            <w:r>
              <w:t>Namespaces + cgroups v2</w:t>
            </w:r>
          </w:p>
        </w:tc>
        <w:tc>
          <w:tcPr>
            <w:tcW w:w="0" w:type="auto"/>
            <w:tcBorders/>
          </w:tcPr>
          <w:p w14:paraId="6460DC58">
            <w:pPr>
              <w:pStyle w:val="style4098"/>
              <w:jc w:val="left"/>
              <w:rPr/>
            </w:pPr>
            <w:r>
              <w:t>KVM + VMM</w:t>
            </w:r>
          </w:p>
        </w:tc>
        <w:tc>
          <w:tcPr>
            <w:tcW w:w="0" w:type="auto"/>
            <w:tcBorders/>
          </w:tcPr>
          <w:p w14:paraId="BDA70328">
            <w:pPr>
              <w:pStyle w:val="style4098"/>
              <w:jc w:val="left"/>
              <w:rPr/>
            </w:pPr>
            <w:r>
              <w:t>KVM + 裁剪 VMM + eBPF</w:t>
            </w:r>
          </w:p>
        </w:tc>
        <w:tc>
          <w:tcPr>
            <w:tcW w:w="0" w:type="auto"/>
            <w:tcBorders/>
          </w:tcPr>
          <w:p w14:paraId="6110FC43">
            <w:pPr>
              <w:pStyle w:val="style4098"/>
              <w:jc w:val="left"/>
              <w:rPr/>
            </w:pPr>
            <w:r>
              <w:t>TEE + KVM + VMM</w:t>
            </w:r>
          </w:p>
        </w:tc>
      </w:tr>
      <w:tr w14:paraId="44DCCA69">
        <w:tblPrEx/>
        <w:trPr/>
        <w:tc>
          <w:tcPr>
            <w:tcW w:w="0" w:type="auto"/>
            <w:tcBorders/>
          </w:tcPr>
          <w:p w14:paraId="66872708">
            <w:pPr>
              <w:pStyle w:val="style4098"/>
              <w:jc w:val="left"/>
              <w:rPr/>
            </w:pPr>
            <w:r>
              <w:rPr>
                <w:b/>
                <w:bCs/>
              </w:rPr>
              <w:t>内核共享</w:t>
            </w:r>
          </w:p>
        </w:tc>
        <w:tc>
          <w:tcPr>
            <w:tcW w:w="0" w:type="auto"/>
            <w:tcBorders/>
          </w:tcPr>
          <w:p w14:paraId="8026F8C4">
            <w:pPr>
              <w:pStyle w:val="style4098"/>
              <w:jc w:val="left"/>
              <w:rPr/>
            </w:pPr>
            <w:r>
              <w:t>是（共享宿主内核）</w:t>
            </w:r>
          </w:p>
        </w:tc>
        <w:tc>
          <w:tcPr>
            <w:tcW w:w="0" w:type="auto"/>
            <w:tcBorders/>
          </w:tcPr>
          <w:p w14:paraId="4C1179EA">
            <w:pPr>
              <w:pStyle w:val="style4098"/>
              <w:jc w:val="left"/>
              <w:rPr/>
            </w:pPr>
            <w:r>
              <w:t>否（独立 Guest 内核）</w:t>
            </w:r>
          </w:p>
        </w:tc>
        <w:tc>
          <w:tcPr>
            <w:tcW w:w="0" w:type="auto"/>
            <w:tcBorders/>
          </w:tcPr>
          <w:p w14:paraId="A9916DB7">
            <w:pPr>
              <w:pStyle w:val="style4098"/>
              <w:jc w:val="left"/>
              <w:rPr/>
            </w:pPr>
            <w:r>
              <w:t>否（独立 Guest 内核）</w:t>
            </w:r>
          </w:p>
        </w:tc>
        <w:tc>
          <w:tcPr>
            <w:tcW w:w="0" w:type="auto"/>
            <w:tcBorders/>
          </w:tcPr>
          <w:p w14:paraId="D10B369B">
            <w:pPr>
              <w:pStyle w:val="style4098"/>
              <w:jc w:val="left"/>
              <w:rPr/>
            </w:pPr>
            <w:r>
              <w:t>否（独立加密内核）</w:t>
            </w:r>
          </w:p>
        </w:tc>
      </w:tr>
      <w:tr w14:paraId="5DE75C4F">
        <w:tblPrEx/>
        <w:trPr/>
        <w:tc>
          <w:tcPr>
            <w:tcW w:w="0" w:type="auto"/>
            <w:tcBorders/>
          </w:tcPr>
          <w:p w14:paraId="C737C1EE">
            <w:pPr>
              <w:pStyle w:val="style4098"/>
              <w:jc w:val="left"/>
              <w:rPr/>
            </w:pPr>
            <w:r>
              <w:rPr>
                <w:b/>
                <w:bCs/>
              </w:rPr>
              <w:t>内存加密</w:t>
            </w:r>
          </w:p>
        </w:tc>
        <w:tc>
          <w:tcPr>
            <w:tcW w:w="0" w:type="auto"/>
            <w:tcBorders/>
          </w:tcPr>
          <w:p w14:paraId="C8760C2A">
            <w:pPr>
              <w:pStyle w:val="style4098"/>
              <w:jc w:val="left"/>
              <w:rPr/>
            </w:pPr>
            <w:r>
              <w:t>无</w:t>
            </w:r>
          </w:p>
        </w:tc>
        <w:tc>
          <w:tcPr>
            <w:tcW w:w="0" w:type="auto"/>
            <w:tcBorders/>
          </w:tcPr>
          <w:p w14:paraId="706E53CD">
            <w:pPr>
              <w:pStyle w:val="style4098"/>
              <w:jc w:val="left"/>
              <w:rPr/>
            </w:pPr>
            <w:r>
              <w:t>无</w:t>
            </w:r>
          </w:p>
        </w:tc>
        <w:tc>
          <w:tcPr>
            <w:tcW w:w="0" w:type="auto"/>
            <w:tcBorders/>
          </w:tcPr>
          <w:p w14:paraId="8C2232E1">
            <w:pPr>
              <w:pStyle w:val="style4098"/>
              <w:jc w:val="left"/>
              <w:rPr/>
            </w:pPr>
            <w:r>
              <w:t>无</w:t>
            </w:r>
          </w:p>
        </w:tc>
        <w:tc>
          <w:tcPr>
            <w:tcW w:w="0" w:type="auto"/>
            <w:tcBorders/>
          </w:tcPr>
          <w:p w14:paraId="8EBECE0E">
            <w:pPr>
              <w:pStyle w:val="style4098"/>
              <w:jc w:val="left"/>
              <w:rPr/>
            </w:pPr>
            <w:r>
              <w:t>AES-128/256 硬件加密</w:t>
            </w:r>
            <w:r>
              <w:t xml:space="preserve"> </w:t>
            </w:r>
            <w:r>
              <w:rPr>
                <w:vertAlign w:val="superscript"/>
              </w:rPr>
              <w:footnoteReference w:id="152"/>
            </w:r>
          </w:p>
        </w:tc>
      </w:tr>
      <w:tr w14:paraId="81474A73">
        <w:tblPrEx/>
        <w:trPr/>
        <w:tc>
          <w:tcPr>
            <w:tcW w:w="0" w:type="auto"/>
            <w:tcBorders/>
          </w:tcPr>
          <w:p w14:paraId="1464070C">
            <w:pPr>
              <w:pStyle w:val="style4098"/>
              <w:jc w:val="left"/>
              <w:rPr/>
            </w:pPr>
            <w:r>
              <w:rPr>
                <w:b/>
                <w:bCs/>
              </w:rPr>
              <w:t>逃逸难度</w:t>
            </w:r>
          </w:p>
        </w:tc>
        <w:tc>
          <w:tcPr>
            <w:tcW w:w="0" w:type="auto"/>
            <w:tcBorders/>
          </w:tcPr>
          <w:p w14:paraId="0DC967DA">
            <w:pPr>
              <w:pStyle w:val="style4098"/>
              <w:jc w:val="left"/>
              <w:rPr/>
            </w:pPr>
            <w:r>
              <w:t>低–中（已知 CVE）</w:t>
            </w:r>
          </w:p>
        </w:tc>
        <w:tc>
          <w:tcPr>
            <w:tcW w:w="0" w:type="auto"/>
            <w:tcBorders/>
          </w:tcPr>
          <w:p w14:paraId="08F552BD">
            <w:pPr>
              <w:pStyle w:val="style4098"/>
              <w:jc w:val="left"/>
              <w:rPr/>
            </w:pPr>
            <w:r>
              <w:t>极高（需攻破 Guest+Hypervisor）</w:t>
            </w:r>
            <w:r>
              <w:rPr>
                <w:vertAlign w:val="superscript"/>
              </w:rPr>
              <w:footnoteReference w:id="153"/>
            </w:r>
          </w:p>
        </w:tc>
        <w:tc>
          <w:tcPr>
            <w:tcW w:w="0" w:type="auto"/>
            <w:tcBorders/>
          </w:tcPr>
          <w:p w14:paraId="7D114260">
            <w:pPr>
              <w:pStyle w:val="style4098"/>
              <w:jc w:val="left"/>
              <w:rPr/>
            </w:pPr>
            <w:r>
              <w:t>极高（裁剪攻击面 + eBPF 网络隔离）</w:t>
            </w:r>
          </w:p>
        </w:tc>
        <w:tc>
          <w:tcPr>
            <w:tcW w:w="0" w:type="auto"/>
            <w:tcBorders/>
          </w:tcPr>
          <w:p w14:paraId="853B4503">
            <w:pPr>
              <w:pStyle w:val="style4098"/>
              <w:jc w:val="left"/>
              <w:rPr/>
            </w:pPr>
            <w:r>
              <w:t>最高（硬件加密边界）</w:t>
            </w:r>
          </w:p>
        </w:tc>
      </w:tr>
      <w:tr w14:paraId="18B65CCB">
        <w:tblPrEx/>
        <w:trPr/>
        <w:tc>
          <w:tcPr>
            <w:tcW w:w="0" w:type="auto"/>
            <w:tcBorders/>
          </w:tcPr>
          <w:p w14:paraId="E2264C82">
            <w:pPr>
              <w:pStyle w:val="style4098"/>
              <w:jc w:val="left"/>
              <w:rPr/>
            </w:pPr>
            <w:r>
              <w:rPr>
                <w:b/>
                <w:bCs/>
              </w:rPr>
              <w:t>冷启动延迟</w:t>
            </w:r>
          </w:p>
        </w:tc>
        <w:tc>
          <w:tcPr>
            <w:tcW w:w="0" w:type="auto"/>
            <w:tcBorders/>
          </w:tcPr>
          <w:p w14:paraId="A1469D57">
            <w:pPr>
              <w:pStyle w:val="style4098"/>
              <w:jc w:val="left"/>
              <w:rPr/>
            </w:pPr>
            <w:r>
              <w:t>~200 ms</w:t>
            </w:r>
          </w:p>
        </w:tc>
        <w:tc>
          <w:tcPr>
            <w:tcW w:w="0" w:type="auto"/>
            <w:tcBorders/>
          </w:tcPr>
          <w:p w14:paraId="5A34A0E9">
            <w:pPr>
              <w:pStyle w:val="style4098"/>
              <w:jc w:val="left"/>
              <w:rPr/>
            </w:pPr>
            <w:r>
              <w:t>100–500 ms（因 VMM 而异）</w:t>
            </w:r>
          </w:p>
        </w:tc>
        <w:tc>
          <w:tcPr>
            <w:tcW w:w="0" w:type="auto"/>
            <w:tcBorders/>
          </w:tcPr>
          <w:p w14:paraId="35001F78">
            <w:pPr>
              <w:pStyle w:val="style4098"/>
              <w:jc w:val="left"/>
              <w:rPr/>
            </w:pPr>
            <w:r>
              <w:t>&lt;60 ms（资源池预置 + CoW）</w:t>
            </w:r>
            <w:r>
              <w:rPr/>
              <w:fldChar w:fldCharType="begin"/>
            </w:r>
            <w:r>
              <w:instrText>NOTEREF _Ref_Footnote_4 \h \f</w:instrText>
            </w:r>
            <w:r>
              <w:rPr/>
              <w:fldChar w:fldCharType="separate"/>
            </w:r>
            <w:r>
              <w:rPr>
                <w:vertAlign w:val="superscript"/>
              </w:rPr>
              <w:t>4</w:t>
            </w:r>
            <w:r>
              <w:rPr/>
              <w:fldChar w:fldCharType="end"/>
            </w:r>
          </w:p>
        </w:tc>
        <w:tc>
          <w:tcPr>
            <w:tcW w:w="0" w:type="auto"/>
            <w:tcBorders/>
          </w:tcPr>
          <w:p w14:paraId="E35FD80A">
            <w:pPr>
              <w:pStyle w:val="style4098"/>
              <w:jc w:val="left"/>
              <w:rPr/>
            </w:pPr>
            <w:r>
              <w:t>2–5 s（TEE 初始化）</w:t>
            </w:r>
            <w:r>
              <w:rPr>
                <w:vertAlign w:val="superscript"/>
              </w:rPr>
              <w:footnoteReference w:id="154"/>
            </w:r>
          </w:p>
        </w:tc>
      </w:tr>
      <w:tr w14:paraId="131EF09B">
        <w:tblPrEx/>
        <w:trPr/>
        <w:tc>
          <w:tcPr>
            <w:tcW w:w="0" w:type="auto"/>
            <w:tcBorders/>
          </w:tcPr>
          <w:p w14:paraId="86823613">
            <w:pPr>
              <w:pStyle w:val="style4098"/>
              <w:jc w:val="left"/>
              <w:rPr/>
            </w:pPr>
            <w:r>
              <w:rPr>
                <w:b/>
                <w:bCs/>
              </w:rPr>
              <w:t>内存开销</w:t>
            </w:r>
          </w:p>
        </w:tc>
        <w:tc>
          <w:tcPr>
            <w:tcW w:w="0" w:type="auto"/>
            <w:tcBorders/>
          </w:tcPr>
          <w:p w14:paraId="EF32A385">
            <w:pPr>
              <w:pStyle w:val="style4098"/>
              <w:jc w:val="left"/>
              <w:rPr/>
            </w:pPr>
            <w:r>
              <w:t>~2 MB（增量）</w:t>
            </w:r>
          </w:p>
        </w:tc>
        <w:tc>
          <w:tcPr>
            <w:tcW w:w="0" w:type="auto"/>
            <w:tcBorders/>
          </w:tcPr>
          <w:p w14:paraId="26F99C8F">
            <w:pPr>
              <w:pStyle w:val="style4098"/>
              <w:jc w:val="left"/>
              <w:rPr/>
            </w:pPr>
            <w:r>
              <w:t>5–256 MB（因后端而异）</w:t>
            </w:r>
            <w:r>
              <w:rPr/>
              <w:fldChar w:fldCharType="begin"/>
            </w:r>
            <w:r>
              <w:instrText>NOTEREF _Ref_Footnote_59 \h \f</w:instrText>
            </w:r>
            <w:r>
              <w:rPr/>
              <w:fldChar w:fldCharType="separate"/>
            </w:r>
            <w:r>
              <w:rPr>
                <w:vertAlign w:val="superscript"/>
              </w:rPr>
              <w:t>59</w:t>
            </w:r>
            <w:r>
              <w:rPr/>
              <w:fldChar w:fldCharType="end"/>
            </w:r>
          </w:p>
        </w:tc>
        <w:tc>
          <w:tcPr>
            <w:tcW w:w="0" w:type="auto"/>
            <w:tcBorders/>
          </w:tcPr>
          <w:p w14:paraId="D955E585">
            <w:pPr>
              <w:pStyle w:val="style4098"/>
              <w:jc w:val="left"/>
              <w:rPr/>
            </w:pPr>
            <w:r>
              <w:t>&lt;5 MB（增量，CoW 共享）</w:t>
            </w:r>
            <w:r>
              <w:rPr/>
              <w:fldChar w:fldCharType="begin"/>
            </w:r>
            <w:r>
              <w:instrText>NOTEREF _Ref_Footnote_55 \h \f</w:instrText>
            </w:r>
            <w:r>
              <w:rPr/>
              <w:fldChar w:fldCharType="separate"/>
            </w:r>
            <w:r>
              <w:rPr>
                <w:vertAlign w:val="superscript"/>
              </w:rPr>
              <w:t>55</w:t>
            </w:r>
            <w:r>
              <w:rPr/>
              <w:fldChar w:fldCharType="end"/>
            </w:r>
          </w:p>
        </w:tc>
        <w:tc>
          <w:tcPr>
            <w:tcW w:w="0" w:type="auto"/>
            <w:tcBorders/>
          </w:tcPr>
          <w:p w14:paraId="6A524DCB">
            <w:pPr>
              <w:pStyle w:val="style4098"/>
              <w:jc w:val="left"/>
              <w:rPr/>
            </w:pPr>
            <w:r>
              <w:t>~2 GB（TEE 额外开销）</w:t>
            </w:r>
            <w:r>
              <w:rPr>
                <w:vertAlign w:val="superscript"/>
              </w:rPr>
              <w:footnoteReference w:id="155"/>
            </w:r>
          </w:p>
        </w:tc>
      </w:tr>
      <w:tr w14:paraId="01142AC3">
        <w:tblPrEx/>
        <w:trPr/>
        <w:tc>
          <w:tcPr>
            <w:tcW w:w="0" w:type="auto"/>
            <w:tcBorders/>
          </w:tcPr>
          <w:p w14:paraId="36D75FC0">
            <w:pPr>
              <w:pStyle w:val="style4098"/>
              <w:jc w:val="left"/>
              <w:rPr/>
            </w:pPr>
            <w:r>
              <w:rPr>
                <w:b/>
                <w:bCs/>
              </w:rPr>
              <w:t>远程证明</w:t>
            </w:r>
          </w:p>
        </w:tc>
        <w:tc>
          <w:tcPr>
            <w:tcW w:w="0" w:type="auto"/>
            <w:tcBorders/>
          </w:tcPr>
          <w:p w14:paraId="72EEDB03">
            <w:pPr>
              <w:pStyle w:val="style4098"/>
              <w:jc w:val="left"/>
              <w:rPr/>
            </w:pPr>
            <w:r>
              <w:t>不支持</w:t>
            </w:r>
          </w:p>
        </w:tc>
        <w:tc>
          <w:tcPr>
            <w:tcW w:w="0" w:type="auto"/>
            <w:tcBorders/>
          </w:tcPr>
          <w:p w14:paraId="61DDF9A0">
            <w:pPr>
              <w:pStyle w:val="style4098"/>
              <w:jc w:val="left"/>
              <w:rPr/>
            </w:pPr>
            <w:r>
              <w:t>不支持</w:t>
            </w:r>
          </w:p>
        </w:tc>
        <w:tc>
          <w:tcPr>
            <w:tcW w:w="0" w:type="auto"/>
            <w:tcBorders/>
          </w:tcPr>
          <w:p w14:paraId="7F428BBF">
            <w:pPr>
              <w:pStyle w:val="style4098"/>
              <w:jc w:val="left"/>
              <w:rPr/>
            </w:pPr>
            <w:r>
              <w:t>不支持</w:t>
            </w:r>
          </w:p>
        </w:tc>
        <w:tc>
          <w:tcPr>
            <w:tcW w:w="0" w:type="auto"/>
            <w:tcBorders/>
          </w:tcPr>
          <w:p w14:paraId="465C11EC">
            <w:pPr>
              <w:pStyle w:val="style4098"/>
              <w:jc w:val="left"/>
              <w:rPr/>
            </w:pPr>
            <w:r>
              <w:t>支持（Trustee/KBS）</w:t>
            </w:r>
            <w:r>
              <w:rPr>
                <w:vertAlign w:val="superscript"/>
              </w:rPr>
              <w:footnoteReference w:id="156"/>
            </w:r>
          </w:p>
        </w:tc>
      </w:tr>
      <w:tr w14:paraId="1A26946A">
        <w:tblPrEx/>
        <w:trPr/>
        <w:tc>
          <w:tcPr>
            <w:tcW w:w="0" w:type="auto"/>
            <w:tcBorders/>
          </w:tcPr>
          <w:p w14:paraId="76945B3F">
            <w:pPr>
              <w:pStyle w:val="style4098"/>
              <w:jc w:val="left"/>
              <w:rPr/>
            </w:pPr>
            <w:r>
              <w:rPr>
                <w:b/>
                <w:bCs/>
              </w:rPr>
              <w:t>侧信道防护</w:t>
            </w:r>
          </w:p>
        </w:tc>
        <w:tc>
          <w:tcPr>
            <w:tcW w:w="0" w:type="auto"/>
            <w:tcBorders/>
          </w:tcPr>
          <w:p w14:paraId="4F09069D">
            <w:pPr>
              <w:pStyle w:val="style4098"/>
              <w:jc w:val="left"/>
              <w:rPr/>
            </w:pPr>
            <w:r>
              <w:t>依赖内核缓解</w:t>
            </w:r>
          </w:p>
        </w:tc>
        <w:tc>
          <w:tcPr>
            <w:tcW w:w="0" w:type="auto"/>
            <w:tcBorders/>
          </w:tcPr>
          <w:p w14:paraId="E8115101">
            <w:pPr>
              <w:pStyle w:val="style4098"/>
              <w:jc w:val="left"/>
              <w:rPr/>
            </w:pPr>
            <w:r>
              <w:t>依赖 Hypervisor 缓解</w:t>
            </w:r>
          </w:p>
        </w:tc>
        <w:tc>
          <w:tcPr>
            <w:tcW w:w="0" w:type="auto"/>
            <w:tcBorders/>
          </w:tcPr>
          <w:p w14:paraId="CDFB590F">
            <w:pPr>
              <w:pStyle w:val="style4098"/>
              <w:jc w:val="left"/>
              <w:rPr/>
            </w:pPr>
            <w:r>
              <w:t>eBPF 缓存分区 + Hypervisor</w:t>
            </w:r>
          </w:p>
        </w:tc>
        <w:tc>
          <w:tcPr>
            <w:tcW w:w="0" w:type="auto"/>
            <w:tcBorders/>
          </w:tcPr>
          <w:p w14:paraId="3E252270">
            <w:pPr>
              <w:pStyle w:val="style4098"/>
              <w:jc w:val="left"/>
              <w:rPr/>
            </w:pPr>
            <w:r>
              <w:t>硬件级内存加密隔离</w:t>
            </w:r>
          </w:p>
        </w:tc>
      </w:tr>
      <w:tr w14:paraId="E258EB3E">
        <w:tblPrEx/>
        <w:trPr/>
        <w:tc>
          <w:tcPr>
            <w:tcW w:w="0" w:type="auto"/>
            <w:tcBorders/>
          </w:tcPr>
          <w:p w14:paraId="DC391FE7">
            <w:pPr>
              <w:pStyle w:val="style4098"/>
              <w:jc w:val="left"/>
              <w:rPr/>
            </w:pPr>
            <w:r>
              <w:rPr>
                <w:b/>
                <w:bCs/>
              </w:rPr>
              <w:t>OCI 兼容性</w:t>
            </w:r>
          </w:p>
        </w:tc>
        <w:tc>
          <w:tcPr>
            <w:tcW w:w="0" w:type="auto"/>
            <w:tcBorders/>
          </w:tcPr>
          <w:p w14:paraId="DAEC3DE4">
            <w:pPr>
              <w:pStyle w:val="style4098"/>
              <w:jc w:val="left"/>
              <w:rPr/>
            </w:pPr>
            <w:r>
              <w:t>原生</w:t>
            </w:r>
          </w:p>
        </w:tc>
        <w:tc>
          <w:tcPr>
            <w:tcW w:w="0" w:type="auto"/>
            <w:tcBorders/>
          </w:tcPr>
          <w:p w14:paraId="401D2105">
            <w:pPr>
              <w:pStyle w:val="style4098"/>
              <w:jc w:val="left"/>
              <w:rPr/>
            </w:pPr>
            <w:r>
              <w:t>完整 CRI/RuntimeClass</w:t>
            </w:r>
            <w:r>
              <w:t xml:space="preserve"> </w:t>
            </w:r>
            <w:r>
              <w:rPr/>
              <w:fldChar w:fldCharType="begin"/>
            </w:r>
            <w:r>
              <w:instrText>NOTEREF _Ref_Footnote_95 \h \f</w:instrText>
            </w:r>
            <w:r>
              <w:rPr/>
              <w:fldChar w:fldCharType="separate"/>
            </w:r>
            <w:r>
              <w:rPr>
                <w:vertAlign w:val="superscript"/>
              </w:rPr>
              <w:t>95</w:t>
            </w:r>
            <w:r>
              <w:rPr/>
              <w:fldChar w:fldCharType="end"/>
            </w:r>
          </w:p>
        </w:tc>
        <w:tc>
          <w:tcPr>
            <w:tcW w:w="0" w:type="auto"/>
            <w:tcBorders/>
          </w:tcPr>
          <w:p w14:paraId="959B6CE2">
            <w:pPr>
              <w:pStyle w:val="style4098"/>
              <w:jc w:val="left"/>
              <w:rPr/>
            </w:pPr>
            <w:r>
              <w:t>Shim v2 兼容</w:t>
            </w:r>
            <w:r>
              <w:t xml:space="preserve"> </w:t>
            </w:r>
            <w:r>
              <w:rPr/>
              <w:fldChar w:fldCharType="begin"/>
            </w:r>
            <w:r>
              <w:instrText>NOTEREF _Ref_Footnote_8 \h \f</w:instrText>
            </w:r>
            <w:r>
              <w:rPr/>
              <w:fldChar w:fldCharType="separate"/>
            </w:r>
            <w:r>
              <w:rPr>
                <w:vertAlign w:val="superscript"/>
              </w:rPr>
              <w:t>8</w:t>
            </w:r>
            <w:r>
              <w:rPr/>
              <w:fldChar w:fldCharType="end"/>
            </w:r>
          </w:p>
        </w:tc>
        <w:tc>
          <w:tcPr>
            <w:tcW w:w="0" w:type="auto"/>
            <w:tcBorders/>
          </w:tcPr>
          <w:p w14:paraId="1EA2DFB3">
            <w:pPr>
              <w:pStyle w:val="style4098"/>
              <w:jc w:val="left"/>
              <w:rPr/>
            </w:pPr>
            <w:r>
              <w:t>Kata + CoCo Operator</w:t>
            </w:r>
          </w:p>
        </w:tc>
      </w:tr>
      <w:tr w14:paraId="22DB5578">
        <w:tblPrEx/>
        <w:trPr/>
        <w:tc>
          <w:tcPr>
            <w:tcW w:w="0" w:type="auto"/>
            <w:tcBorders/>
          </w:tcPr>
          <w:p w14:paraId="EF43A7CC">
            <w:pPr>
              <w:pStyle w:val="style4098"/>
              <w:jc w:val="left"/>
              <w:rPr/>
            </w:pPr>
            <w:r>
              <w:rPr>
                <w:b/>
                <w:bCs/>
              </w:rPr>
              <w:t>适用场景</w:t>
            </w:r>
          </w:p>
        </w:tc>
        <w:tc>
          <w:tcPr>
            <w:tcW w:w="0" w:type="auto"/>
            <w:tcBorders/>
          </w:tcPr>
          <w:p w14:paraId="3FF11058">
            <w:pPr>
              <w:pStyle w:val="style4098"/>
              <w:jc w:val="left"/>
              <w:rPr/>
            </w:pPr>
            <w:r>
              <w:t>可信内部应用</w:t>
            </w:r>
          </w:p>
        </w:tc>
        <w:tc>
          <w:tcPr>
            <w:tcW w:w="0" w:type="auto"/>
            <w:tcBorders/>
          </w:tcPr>
          <w:p w14:paraId="63FF0FC6">
            <w:pPr>
              <w:pStyle w:val="style4098"/>
              <w:jc w:val="left"/>
              <w:rPr/>
            </w:pPr>
            <w:r>
              <w:t>多租户通用容器</w:t>
            </w:r>
          </w:p>
        </w:tc>
        <w:tc>
          <w:tcPr>
            <w:tcW w:w="0" w:type="auto"/>
            <w:tcBorders/>
          </w:tcPr>
          <w:p w14:paraId="72841D30">
            <w:pPr>
              <w:pStyle w:val="style4098"/>
              <w:jc w:val="left"/>
              <w:rPr/>
            </w:pPr>
            <w:r>
              <w:t>AI Agent 代码执行</w:t>
            </w:r>
          </w:p>
        </w:tc>
        <w:tc>
          <w:tcPr>
            <w:tcW w:w="0" w:type="auto"/>
            <w:tcBorders/>
          </w:tcPr>
          <w:p w14:paraId="D644986B">
            <w:pPr>
              <w:pStyle w:val="style4098"/>
              <w:jc w:val="left"/>
              <w:rPr/>
            </w:pPr>
            <w:r>
              <w:t>金融/医疗/AI 模型保护</w:t>
            </w:r>
          </w:p>
        </w:tc>
      </w:tr>
    </w:tbl>
    <w:p w14:paraId="366946C1">
      <w:pPr>
        <w:pStyle w:val="style66"/>
        <w:rPr/>
      </w:pPr>
      <w:r>
        <w:t>上表揭示了一个关键设计权衡：隔离强度与资源开销呈正相关，但并非线性关系。L2 CubeSandbox 通过资源池预置与 CoW 技术，在 L1 的硬件隔离基础上将启动延迟压缩 60% 以上（从 150–500 ms 降至 &lt;60 ms），将增量内存开销降低一个数量级（从 20–50 MB 降至 &lt;5 MB），证明了”预置 + CoW”范式在安全性不降级的情况下实现性能突破的可行性。L3 的 TEE 层目前仍面临约 2 GB 额外内存开销与 2–5 秒启动延迟的制约，适合对数据机密性要求极高的工作负载，而非通用场景。</w:t>
      </w:r>
    </w:p>
    <w:bookmarkStart w:id="100" w:name="runtimeclass-隔离选择"/>
    <w:bookmarkEnd w:id="99"/>
    <w:p w14:paraId="9F3A5F5D">
      <w:pPr>
        <w:pStyle w:val="style4104"/>
        <w:rPr/>
      </w:pPr>
      <w:r>
        <w:t>6.1.3 RuntimeClass 隔离选择</w:t>
      </w:r>
    </w:p>
    <w:p w14:paraId="F02A0675">
      <w:pPr>
        <w:pStyle w:val="style4097"/>
        <w:rPr/>
      </w:pPr>
      <w:r>
        <w:t>Kubernetes RuntimeClass 机制提供了工作负载与运行时之间的声明式绑定，使四级隔离架构能够在同一集群中按需调度。平台定义以下 RuntimeClass：</w:t>
      </w:r>
    </w:p>
    <w:p w14:paraId="E7F07694">
      <w:pPr>
        <w:pStyle w:val="style4123"/>
        <w:rPr/>
      </w:pPr>
      <w:r>
        <w:rPr>
          <w:rStyle w:val="style4136"/>
        </w:rPr>
        <w:t># RuntimeClass 配置示例</w:t>
      </w:r>
      <w:r>
        <w:br/>
      </w:r>
      <w:r>
        <w:rPr>
          <w:rStyle w:val="style4141"/>
        </w:rPr>
        <w:t>apiVersion</w:t>
      </w:r>
      <w:r>
        <w:rPr>
          <w:rStyle w:val="style4124"/>
        </w:rPr>
        <w:t>:</w:t>
      </w:r>
      <w:r>
        <w:rPr>
          <w:rStyle w:val="style4148"/>
        </w:rPr>
        <w:t xml:space="preserve"> node.k8s.io/v1</w:t>
      </w:r>
      <w:r>
        <w:br/>
      </w:r>
      <w:r>
        <w:rPr>
          <w:rStyle w:val="style4141"/>
        </w:rPr>
        <w:t>kind</w:t>
      </w:r>
      <w:r>
        <w:rPr>
          <w:rStyle w:val="style4124"/>
        </w:rPr>
        <w:t>:</w:t>
      </w:r>
      <w:r>
        <w:rPr>
          <w:rStyle w:val="style4148"/>
        </w:rPr>
        <w:t xml:space="preserve"> RuntimeClass</w:t>
      </w:r>
      <w:r>
        <w:br/>
      </w:r>
      <w:r>
        <w:rPr>
          <w:rStyle w:val="style4141"/>
        </w:rPr>
        <w:t>metadata</w:t>
      </w:r>
      <w:r>
        <w:rPr>
          <w:rStyle w:val="style4124"/>
        </w:rPr>
        <w:t>:</w:t>
      </w:r>
      <w:r>
        <w:br/>
      </w:r>
      <w:r>
        <w:rPr>
          <w:rStyle w:val="style4148"/>
        </w:rPr>
        <w:t xml:space="preserve">  </w:t>
      </w:r>
      <w:r>
        <w:rPr>
          <w:rStyle w:val="style4141"/>
        </w:rPr>
        <w:t>name</w:t>
      </w:r>
      <w:r>
        <w:rPr>
          <w:rStyle w:val="style4124"/>
        </w:rPr>
        <w:t>:</w:t>
      </w:r>
      <w:r>
        <w:rPr>
          <w:rStyle w:val="style4148"/>
        </w:rPr>
        <w:t xml:space="preserve"> cube-sandbox</w:t>
      </w:r>
      <w:r>
        <w:rPr>
          <w:rStyle w:val="style4136"/>
        </w:rPr>
        <w:t xml:space="preserve">    # L2 极速沙箱</w:t>
      </w:r>
      <w:r>
        <w:br/>
      </w:r>
      <w:r>
        <w:rPr>
          <w:rStyle w:val="style4141"/>
        </w:rPr>
        <w:t>handler</w:t>
      </w:r>
      <w:r>
        <w:rPr>
          <w:rStyle w:val="style4124"/>
        </w:rPr>
        <w:t>:</w:t>
      </w:r>
      <w:r>
        <w:rPr>
          <w:rStyle w:val="style4148"/>
        </w:rPr>
        <w:t xml:space="preserve"> cube</w:t>
      </w:r>
      <w:r>
        <w:br/>
      </w:r>
      <w:r>
        <w:rPr>
          <w:rStyle w:val="style4141"/>
        </w:rPr>
        <w:t>overhead</w:t>
      </w:r>
      <w:r>
        <w:rPr>
          <w:rStyle w:val="style4124"/>
        </w:rPr>
        <w:t>:</w:t>
      </w:r>
      <w:r>
        <w:br/>
      </w:r>
      <w:r>
        <w:rPr>
          <w:rStyle w:val="style4148"/>
        </w:rPr>
        <w:t xml:space="preserve">  </w:t>
      </w:r>
      <w:r>
        <w:rPr>
          <w:rStyle w:val="style4141"/>
        </w:rPr>
        <w:t>podFixed</w:t>
      </w:r>
      <w:r>
        <w:rPr>
          <w:rStyle w:val="style4124"/>
        </w:rPr>
        <w:t>:</w:t>
      </w:r>
      <w:r>
        <w:br/>
      </w:r>
      <w:r>
        <w:rPr>
          <w:rStyle w:val="style4148"/>
        </w:rPr>
        <w:t xml:space="preserve">    </w:t>
      </w:r>
      <w:r>
        <w:rPr>
          <w:rStyle w:val="style4141"/>
        </w:rPr>
        <w:t>memory</w:t>
      </w:r>
      <w:r>
        <w:rPr>
          <w:rStyle w:val="style4124"/>
        </w:rPr>
        <w:t>:</w:t>
      </w:r>
      <w:r>
        <w:rPr>
          <w:rStyle w:val="style4148"/>
        </w:rPr>
        <w:t xml:space="preserve"> </w:t>
      </w:r>
      <w:r>
        <w:rPr>
          <w:rStyle w:val="style4132"/>
        </w:rPr>
        <w:t>"8Mi"</w:t>
      </w:r>
      <w:r>
        <w:rPr>
          <w:rStyle w:val="style4136"/>
        </w:rPr>
        <w:t xml:space="preserve">       # CoW 增量开销</w:t>
      </w:r>
      <w:r>
        <w:br/>
      </w:r>
      <w:r>
        <w:rPr>
          <w:rStyle w:val="style4148"/>
        </w:rPr>
        <w:t xml:space="preserve">    </w:t>
      </w:r>
      <w:r>
        <w:rPr>
          <w:rStyle w:val="style4141"/>
        </w:rPr>
        <w:t>cpu</w:t>
      </w:r>
      <w:r>
        <w:rPr>
          <w:rStyle w:val="style4124"/>
        </w:rPr>
        <w:t>:</w:t>
      </w:r>
      <w:r>
        <w:rPr>
          <w:rStyle w:val="style4148"/>
        </w:rPr>
        <w:t xml:space="preserve"> </w:t>
      </w:r>
      <w:r>
        <w:rPr>
          <w:rStyle w:val="style4132"/>
        </w:rPr>
        <w:t>"50m"</w:t>
      </w:r>
      <w:r>
        <w:br/>
      </w:r>
      <w:r>
        <w:rPr>
          <w:rStyle w:val="style4147"/>
        </w:rPr>
        <w:t>---</w:t>
      </w:r>
      <w:r>
        <w:br/>
      </w:r>
      <w:r>
        <w:rPr>
          <w:rStyle w:val="style4141"/>
        </w:rPr>
        <w:t>apiVersion</w:t>
      </w:r>
      <w:r>
        <w:rPr>
          <w:rStyle w:val="style4124"/>
        </w:rPr>
        <w:t>:</w:t>
      </w:r>
      <w:r>
        <w:rPr>
          <w:rStyle w:val="style4148"/>
        </w:rPr>
        <w:t xml:space="preserve"> node.k8s.io/v1</w:t>
      </w:r>
      <w:r>
        <w:br/>
      </w:r>
      <w:r>
        <w:rPr>
          <w:rStyle w:val="style4141"/>
        </w:rPr>
        <w:t>kind</w:t>
      </w:r>
      <w:r>
        <w:rPr>
          <w:rStyle w:val="style4124"/>
        </w:rPr>
        <w:t>:</w:t>
      </w:r>
      <w:r>
        <w:rPr>
          <w:rStyle w:val="style4148"/>
        </w:rPr>
        <w:t xml:space="preserve"> RuntimeClass</w:t>
      </w:r>
      <w:r>
        <w:br/>
      </w:r>
      <w:r>
        <w:rPr>
          <w:rStyle w:val="style4141"/>
        </w:rPr>
        <w:t>metadata</w:t>
      </w:r>
      <w:r>
        <w:rPr>
          <w:rStyle w:val="style4124"/>
        </w:rPr>
        <w:t>:</w:t>
      </w:r>
      <w:r>
        <w:br/>
      </w:r>
      <w:r>
        <w:rPr>
          <w:rStyle w:val="style4148"/>
        </w:rPr>
        <w:t xml:space="preserve">  </w:t>
      </w:r>
      <w:r>
        <w:rPr>
          <w:rStyle w:val="style4141"/>
        </w:rPr>
        <w:t>name</w:t>
      </w:r>
      <w:r>
        <w:rPr>
          <w:rStyle w:val="style4124"/>
        </w:rPr>
        <w:t>:</w:t>
      </w:r>
      <w:r>
        <w:rPr>
          <w:rStyle w:val="style4148"/>
        </w:rPr>
        <w:t xml:space="preserve"> kata-confidential</w:t>
      </w:r>
      <w:r>
        <w:rPr>
          <w:rStyle w:val="style4136"/>
        </w:rPr>
        <w:t xml:space="preserve">   # L3 机密计算</w:t>
      </w:r>
      <w:r>
        <w:br/>
      </w:r>
      <w:r>
        <w:rPr>
          <w:rStyle w:val="style4141"/>
        </w:rPr>
        <w:t>handler</w:t>
      </w:r>
      <w:r>
        <w:rPr>
          <w:rStyle w:val="style4124"/>
        </w:rPr>
        <w:t>:</w:t>
      </w:r>
      <w:r>
        <w:rPr>
          <w:rStyle w:val="style4148"/>
        </w:rPr>
        <w:t xml:space="preserve"> kata-confidential</w:t>
      </w:r>
      <w:r>
        <w:br/>
      </w:r>
      <w:r>
        <w:rPr>
          <w:rStyle w:val="style4141"/>
        </w:rPr>
        <w:t>overhead</w:t>
      </w:r>
      <w:r>
        <w:rPr>
          <w:rStyle w:val="style4124"/>
        </w:rPr>
        <w:t>:</w:t>
      </w:r>
      <w:r>
        <w:br/>
      </w:r>
      <w:r>
        <w:rPr>
          <w:rStyle w:val="style4148"/>
        </w:rPr>
        <w:t xml:space="preserve">  </w:t>
      </w:r>
      <w:r>
        <w:rPr>
          <w:rStyle w:val="style4141"/>
        </w:rPr>
        <w:t>podFixed</w:t>
      </w:r>
      <w:r>
        <w:rPr>
          <w:rStyle w:val="style4124"/>
        </w:rPr>
        <w:t>:</w:t>
      </w:r>
      <w:r>
        <w:br/>
      </w:r>
      <w:r>
        <w:rPr>
          <w:rStyle w:val="style4148"/>
        </w:rPr>
        <w:t xml:space="preserve">    </w:t>
      </w:r>
      <w:r>
        <w:rPr>
          <w:rStyle w:val="style4141"/>
        </w:rPr>
        <w:t>memory</w:t>
      </w:r>
      <w:r>
        <w:rPr>
          <w:rStyle w:val="style4124"/>
        </w:rPr>
        <w:t>:</w:t>
      </w:r>
      <w:r>
        <w:rPr>
          <w:rStyle w:val="style4148"/>
        </w:rPr>
        <w:t xml:space="preserve"> </w:t>
      </w:r>
      <w:r>
        <w:rPr>
          <w:rStyle w:val="style4132"/>
        </w:rPr>
        <w:t>"2Gi"</w:t>
      </w:r>
      <w:r>
        <w:rPr>
          <w:rStyle w:val="style4136"/>
        </w:rPr>
        <w:t xml:space="preserve">       # TEE 额外开销</w:t>
      </w:r>
      <w:r>
        <w:br/>
      </w:r>
      <w:r>
        <w:rPr>
          <w:rStyle w:val="style4148"/>
        </w:rPr>
        <w:t xml:space="preserve">    </w:t>
      </w:r>
      <w:r>
        <w:rPr>
          <w:rStyle w:val="style4141"/>
        </w:rPr>
        <w:t>cpu</w:t>
      </w:r>
      <w:r>
        <w:rPr>
          <w:rStyle w:val="style4124"/>
        </w:rPr>
        <w:t>:</w:t>
      </w:r>
      <w:r>
        <w:rPr>
          <w:rStyle w:val="style4148"/>
        </w:rPr>
        <w:t xml:space="preserve"> </w:t>
      </w:r>
      <w:r>
        <w:rPr>
          <w:rStyle w:val="style4132"/>
        </w:rPr>
        <w:t>"500m"</w:t>
      </w:r>
    </w:p>
    <w:p w14:paraId="F1226E5B">
      <w:pPr>
        <w:pStyle w:val="style4097"/>
        <w:rPr/>
      </w:pPr>
      <w:r>
        <w:t>工作负载按信任级别自动路由：内部监控与日志采集使用</w:t>
      </w:r>
      <w:r>
        <w:t xml:space="preserve"> </w:t>
      </w:r>
      <w:r>
        <w:rPr>
          <w:rStyle w:val="style4120"/>
        </w:rPr>
        <w:t>runc</w:t>
      </w:r>
      <w:r>
        <w:t>（L0），多租户 SaaS 服务使用</w:t>
      </w:r>
      <w:r>
        <w:t xml:space="preserve"> </w:t>
      </w:r>
      <w:r>
        <w:rPr>
          <w:rStyle w:val="style4120"/>
        </w:rPr>
        <w:t>kata</w:t>
      </w:r>
      <w:r>
        <w:t>（L1），AI Agent 代码执行使用</w:t>
      </w:r>
      <w:r>
        <w:t xml:space="preserve"> </w:t>
      </w:r>
      <w:r>
        <w:rPr>
          <w:rStyle w:val="style4120"/>
        </w:rPr>
        <w:t>cube-sandbox</w:t>
      </w:r>
      <w:r>
        <w:t>（L2），金融交易与医疗数据处理使用</w:t>
      </w:r>
      <w:r>
        <w:t xml:space="preserve"> </w:t>
      </w:r>
      <w:r>
        <w:rPr>
          <w:rStyle w:val="style4120"/>
        </w:rPr>
        <w:t>kata-confidential</w:t>
      </w:r>
      <w:r>
        <w:t>（L3）。这种分层策略避免了”一刀切”的安全开销——并非所有工作负载都需要 TEE 级别的隔离，强制统一将导致资源浪费与性能下降</w:t>
      </w:r>
      <w:r>
        <w:t xml:space="preserve"> </w:t>
      </w:r>
      <w:r>
        <w:rPr>
          <w:vertAlign w:val="superscript"/>
        </w:rPr>
        <w:footnoteReference w:id="157"/>
      </w:r>
      <w:r>
        <w:t xml:space="preserve"> </w:t>
      </w:r>
      <w:r>
        <w:rPr>
          <w:vertAlign w:val="superscript"/>
        </w:rPr>
        <w:footnoteReference w:id="158"/>
      </w:r>
      <w:r>
        <w:t>。</w:t>
      </w:r>
    </w:p>
    <w:bookmarkStart w:id="101" w:name="硬件级安全"/>
    <w:bookmarkEnd w:id="100"/>
    <w:bookmarkEnd w:id="97"/>
    <w:p w14:paraId="3D830921">
      <w:pPr>
        <w:pStyle w:val="style4103"/>
        <w:rPr/>
      </w:pPr>
      <w:r>
        <w:t>6.2 硬件级安全</w:t>
      </w:r>
    </w:p>
    <w:bookmarkStart w:id="102" w:name="microvm-安全模型"/>
    <w:p w14:paraId="B13D285F">
      <w:pPr>
        <w:pStyle w:val="style4104"/>
        <w:rPr/>
      </w:pPr>
      <w:r>
        <w:t>6.2.1 MicroVM 安全模型</w:t>
      </w:r>
    </w:p>
    <w:p w14:paraId="0BAC813E">
      <w:pPr>
        <w:pStyle w:val="style4097"/>
        <w:rPr/>
      </w:pPr>
      <w:r>
        <w:t>MicroVM 的安全保证源于三项核心机制：独立 Guest OS 内核、virtio 设备攻击面最小化与 Rust 内存安全。</w:t>
      </w:r>
    </w:p>
    <w:p w14:paraId="F25A0797">
      <w:pPr>
        <w:pStyle w:val="style66"/>
        <w:rPr/>
      </w:pPr>
      <w:r>
        <w:rPr>
          <w:b/>
          <w:bCs/>
        </w:rPr>
        <w:t>独立 Guest 内核</w:t>
      </w:r>
      <w:r>
        <w:t xml:space="preserve"> </w:t>
      </w:r>
      <w:r>
        <w:t>意味着每个工作负载运行在其专属的 Linux 内核实例中。传统容器共享宿主内核的攻击模式——如利用内核漏洞（Dirty Pipe、Leaky Vessels）从容器逃逸到宿主机——在 MicroVM 架构中需要额外突破 Guest Kernel 与 Hypervisor 两道边界</w:t>
      </w:r>
      <w:r>
        <w:t xml:space="preserve"> </w:t>
      </w:r>
      <w:r>
        <w:rPr/>
        <w:fldChar w:fldCharType="begin"/>
      </w:r>
      <w:r>
        <w:instrText>NOTEREF _Ref_Footnote_153 \h \f</w:instrText>
      </w:r>
      <w:r>
        <w:rPr/>
        <w:fldChar w:fldCharType="separate"/>
      </w:r>
      <w:r>
        <w:rPr>
          <w:vertAlign w:val="superscript"/>
        </w:rPr>
        <w:t>153</w:t>
      </w:r>
      <w:r>
        <w:rPr/>
        <w:fldChar w:fldCharType="end"/>
      </w:r>
      <w:r>
        <w:t>。Kata Containers 的”每个 Pod 一个独立 VM”设计使内核漏洞的影响范围被限制在单个 Pod 内</w:t>
      </w:r>
      <w:r>
        <w:t xml:space="preserve"> </w:t>
      </w:r>
      <w:r>
        <w:rPr>
          <w:vertAlign w:val="superscript"/>
        </w:rPr>
        <w:footnoteReference w:id="159"/>
      </w:r>
      <w:r>
        <w:t>。</w:t>
      </w:r>
    </w:p>
    <w:p w14:paraId="32A47D8B">
      <w:pPr>
        <w:pStyle w:val="style66"/>
        <w:rPr/>
      </w:pPr>
      <w:r>
        <w:rPr>
          <w:b/>
          <w:bCs/>
        </w:rPr>
        <w:t>virtio 设备攻击面最小化</w:t>
      </w:r>
      <w:r>
        <w:t xml:space="preserve"> </w:t>
      </w:r>
      <w:r>
        <w:t>通过裁剪虚拟设备模型实现。传统 QEMU 模拟完整的 PC 平台（~170 万行 C 代码），包含 BIOS、PCI 总线、USB 控制器、图形适配器等遗留设备，每一类设备都是潜在的攻击入口</w:t>
      </w:r>
      <w:r>
        <w:t xml:space="preserve"> </w:t>
      </w:r>
      <w:r>
        <w:rPr/>
        <w:fldChar w:fldCharType="begin"/>
      </w:r>
      <w:r>
        <w:instrText>NOTEREF _Ref_Footnote_7 \h \f</w:instrText>
      </w:r>
      <w:r>
        <w:rPr/>
        <w:fldChar w:fldCharType="separate"/>
      </w:r>
      <w:r>
        <w:rPr>
          <w:vertAlign w:val="superscript"/>
        </w:rPr>
        <w:t>7</w:t>
      </w:r>
      <w:r>
        <w:rPr/>
        <w:fldChar w:fldCharType="end"/>
      </w:r>
      <w:r>
        <w:t>。Firecracker 将设备集缩减至仅 5 个 virtio 设备，代码量降至约 5 万行 Rust</w:t>
      </w:r>
      <w:r>
        <w:t xml:space="preserve"> </w:t>
      </w:r>
      <w:r>
        <w:rPr/>
        <w:fldChar w:fldCharType="begin"/>
      </w:r>
      <w:r>
        <w:instrText>NOTEREF _Ref_Footnote_27 \h \f</w:instrText>
      </w:r>
      <w:r>
        <w:rPr/>
        <w:fldChar w:fldCharType="separate"/>
      </w:r>
      <w:r>
        <w:rPr>
          <w:vertAlign w:val="superscript"/>
        </w:rPr>
        <w:t>27</w:t>
      </w:r>
      <w:r>
        <w:rPr/>
        <w:fldChar w:fldCharType="end"/>
      </w:r>
      <w:r>
        <w:t>。CubeHypervisor 在此基础上进一步裁剪，移除 virtio-rng、virtio-vsock、USB 控制器、PCI 桥接器、TPM 设备与 virtio-iommu，仅保留 AI Agent 场景必需的最小设备集</w:t>
      </w:r>
      <w:r>
        <w:t xml:space="preserve"> </w:t>
      </w:r>
      <w:r>
        <w:rPr/>
        <w:fldChar w:fldCharType="begin"/>
      </w:r>
      <w:r>
        <w:instrText>NOTEREF _Ref_Footnote_3 \h \f</w:instrText>
      </w:r>
      <w:r>
        <w:rPr/>
        <w:fldChar w:fldCharType="separate"/>
      </w:r>
      <w:r>
        <w:rPr>
          <w:vertAlign w:val="superscript"/>
        </w:rPr>
        <w:t>3</w:t>
      </w:r>
      <w:r>
        <w:rPr/>
        <w:fldChar w:fldCharType="end"/>
      </w:r>
      <w:r>
        <w:t>。这种裁剪的直接安全收益是：VMM 层面的潜在漏洞面与代码量成正比缩减。</w:t>
      </w:r>
    </w:p>
    <w:p w14:paraId="695D0BC6">
      <w:pPr>
        <w:pStyle w:val="style66"/>
        <w:rPr/>
      </w:pPr>
      <w:r>
        <w:rPr>
          <w:b/>
          <w:bCs/>
        </w:rPr>
        <w:t>Rust 内存安全</w:t>
      </w:r>
      <w:r>
        <w:t xml:space="preserve"> </w:t>
      </w:r>
      <w:r>
        <w:t>消除了整类内存安全漏洞。Cloud Hypervisor（CubeSandbox 基础）、Firecracker（AWS）与 Dragonball（阿里云）三大生产级 VMM 均使用 Rust 编写，代码量均在 ~5 万行级别。Rust 的所有权模型在编译期消除 use-after-free、buffer overflow、double-free 等漏洞类型——这些在传统 C/C++ 编写的 QEMU 中反复出现</w:t>
      </w:r>
      <w:r>
        <w:t xml:space="preserve"> </w:t>
      </w:r>
      <w:r>
        <w:rPr/>
        <w:fldChar w:fldCharType="begin"/>
      </w:r>
      <w:r>
        <w:instrText>NOTEREF _Ref_Footnote_27 \h \f</w:instrText>
      </w:r>
      <w:r>
        <w:rPr/>
        <w:fldChar w:fldCharType="separate"/>
      </w:r>
      <w:r>
        <w:rPr>
          <w:vertAlign w:val="superscript"/>
        </w:rPr>
        <w:t>27</w:t>
      </w:r>
      <w:r>
        <w:rPr/>
        <w:fldChar w:fldCharType="end"/>
      </w:r>
      <w:r>
        <w:t>。</w:t>
      </w:r>
    </w:p>
    <w:p w14:paraId="44DA7354">
      <w:pPr>
        <w:pStyle w:val="style66"/>
        <w:rPr/>
      </w:pPr>
      <w:r>
        <w:t>Firecracker 的 Jailer 组件提供了 MicroVM 启动时的多层防御参考模型：通过 chroot 监狱限制进程文件系统可见范围，通过 PID/Mount/Network namespace 隔离进程上下文，通过 cgroups 限制资源使用，通过启动后权限降级（root→非特权用户）最小化运行时权限，最终通过线程级 seccomp 过滤器仅允许预定义的系统调用白名单</w:t>
      </w:r>
      <w:r>
        <w:t xml:space="preserve"> </w:t>
      </w:r>
      <w:r>
        <w:rPr>
          <w:vertAlign w:val="superscript"/>
        </w:rPr>
        <w:footnoteReference w:id="160"/>
      </w:r>
      <w:r>
        <w:t xml:space="preserve"> </w:t>
      </w:r>
      <w:r>
        <w:rPr>
          <w:vertAlign w:val="superscript"/>
        </w:rPr>
        <w:footnoteReference w:id="161"/>
      </w:r>
      <w:r>
        <w:t xml:space="preserve"> </w:t>
      </w:r>
      <w:r>
        <w:rPr>
          <w:vertAlign w:val="superscript"/>
        </w:rPr>
        <w:footnoteReference w:id="162"/>
      </w:r>
      <w:r>
        <w:t>。</w:t>
      </w:r>
    </w:p>
    <w:bookmarkStart w:id="103" w:name="tee-集成intel-tdxamd-sev-snparm-cca-对比"/>
    <w:bookmarkEnd w:id="102"/>
    <w:p w14:paraId="511767EF">
      <w:pPr>
        <w:pStyle w:val="style4104"/>
        <w:rPr/>
      </w:pPr>
      <w:r>
        <w:t>6.2.2 TEE 集成：Intel TDX、AMD SEV-SNP、ARM CCA 对比</w:t>
      </w:r>
    </w:p>
    <w:p w14:paraId="4987C07B">
      <w:pPr>
        <w:pStyle w:val="style4097"/>
        <w:rPr/>
      </w:pPr>
      <w:r>
        <w:t>可信执行环境（TEE）在 MicroVM 硬件隔离基础上叠加内存加密与远程证明能力，形成”即使 Hypervisor 被攻破也无法读取 VM 内存”的安全保证。</w:t>
      </w:r>
    </w:p>
    <w:tbl>
      <w:tblPr>
        <w:tblStyle w:val="style4111"/>
        <w:tblW w:w="5000" w:type="pct"/>
        <w:tblLook w:val="0020" w:firstRow="1" w:lastRow="0" w:firstColumn="0" w:lastColumn="0" w:noHBand="0" w:noVBand="0"/>
      </w:tblPr>
      <w:tblGrid>
        <w:gridCol w:w="1372"/>
        <w:gridCol w:w="2477"/>
        <w:gridCol w:w="2157"/>
        <w:gridCol w:w="1912"/>
      </w:tblGrid>
      <w:tr w14:paraId="A8157EF9">
        <w:trPr>
          <w:tblHeader/>
        </w:trPr>
        <w:tc>
          <w:tcPr>
            <w:tcW w:w="0" w:type="auto"/>
            <w:tcBorders/>
          </w:tcPr>
          <w:p w14:paraId="E30BC1DB">
            <w:pPr>
              <w:pStyle w:val="style4098"/>
              <w:jc w:val="left"/>
              <w:rPr/>
            </w:pPr>
            <w:r>
              <w:t>特性</w:t>
            </w:r>
          </w:p>
        </w:tc>
        <w:tc>
          <w:tcPr>
            <w:tcW w:w="0" w:type="auto"/>
            <w:tcBorders/>
          </w:tcPr>
          <w:p w14:paraId="9540B518">
            <w:pPr>
              <w:pStyle w:val="style4098"/>
              <w:jc w:val="left"/>
              <w:rPr/>
            </w:pPr>
            <w:r>
              <w:t>Intel TDX</w:t>
            </w:r>
          </w:p>
        </w:tc>
        <w:tc>
          <w:tcPr>
            <w:tcW w:w="0" w:type="auto"/>
            <w:tcBorders/>
          </w:tcPr>
          <w:p w14:paraId="DEFB4C5E">
            <w:pPr>
              <w:pStyle w:val="style4098"/>
              <w:jc w:val="left"/>
              <w:rPr/>
            </w:pPr>
            <w:r>
              <w:t>AMD SEV-SNP</w:t>
            </w:r>
          </w:p>
        </w:tc>
        <w:tc>
          <w:tcPr>
            <w:tcW w:w="0" w:type="auto"/>
            <w:tcBorders/>
          </w:tcPr>
          <w:p w14:paraId="58AD1A8A">
            <w:pPr>
              <w:pStyle w:val="style4098"/>
              <w:jc w:val="left"/>
              <w:rPr/>
            </w:pPr>
            <w:r>
              <w:t>ARM CCA</w:t>
            </w:r>
          </w:p>
        </w:tc>
      </w:tr>
      <w:tr w14:paraId="41B390FA">
        <w:tblPrEx/>
        <w:trPr/>
        <w:tc>
          <w:tcPr>
            <w:tcW w:w="0" w:type="auto"/>
            <w:tcBorders/>
          </w:tcPr>
          <w:p w14:paraId="2390DE83">
            <w:pPr>
              <w:pStyle w:val="style4098"/>
              <w:jc w:val="left"/>
              <w:rPr/>
            </w:pPr>
            <w:r>
              <w:rPr>
                <w:b/>
                <w:bCs/>
              </w:rPr>
              <w:t>硬件要求</w:t>
            </w:r>
          </w:p>
        </w:tc>
        <w:tc>
          <w:tcPr>
            <w:tcW w:w="0" w:type="auto"/>
            <w:tcBorders/>
          </w:tcPr>
          <w:p w14:paraId="9EB76517">
            <w:pPr>
              <w:pStyle w:val="style4098"/>
              <w:jc w:val="left"/>
              <w:rPr/>
            </w:pPr>
            <w:r>
              <w:t>4th Gen Xeon Scalable (Sapphire Rapids+)</w:t>
            </w:r>
          </w:p>
        </w:tc>
        <w:tc>
          <w:tcPr>
            <w:tcW w:w="0" w:type="auto"/>
            <w:tcBorders/>
          </w:tcPr>
          <w:p w14:paraId="6BA7BA65">
            <w:pPr>
              <w:pStyle w:val="style4098"/>
              <w:jc w:val="left"/>
              <w:rPr/>
            </w:pPr>
            <w:r>
              <w:t>EPYC 7003+ (Milan/Rome)</w:t>
            </w:r>
          </w:p>
        </w:tc>
        <w:tc>
          <w:tcPr>
            <w:tcW w:w="0" w:type="auto"/>
            <w:tcBorders/>
          </w:tcPr>
          <w:p w14:paraId="3E94331F">
            <w:pPr>
              <w:pStyle w:val="style4098"/>
              <w:jc w:val="left"/>
              <w:rPr/>
            </w:pPr>
            <w:r>
              <w:t>ARMv9 (Neoverse V2/N2)</w:t>
            </w:r>
          </w:p>
        </w:tc>
      </w:tr>
      <w:tr w14:paraId="46ECD2C3">
        <w:tblPrEx/>
        <w:trPr/>
        <w:tc>
          <w:tcPr>
            <w:tcW w:w="0" w:type="auto"/>
            <w:tcBorders/>
          </w:tcPr>
          <w:p w14:paraId="8D03C002">
            <w:pPr>
              <w:pStyle w:val="style4098"/>
              <w:jc w:val="left"/>
              <w:rPr/>
            </w:pPr>
            <w:r>
              <w:rPr>
                <w:b/>
                <w:bCs/>
              </w:rPr>
              <w:t>内存加密算法</w:t>
            </w:r>
          </w:p>
        </w:tc>
        <w:tc>
          <w:tcPr>
            <w:tcW w:w="0" w:type="auto"/>
            <w:tcBorders/>
          </w:tcPr>
          <w:p w14:paraId="CE84327C">
            <w:pPr>
              <w:pStyle w:val="style4098"/>
              <w:jc w:val="left"/>
              <w:rPr/>
            </w:pPr>
            <w:r>
              <w:t>AES-256-XTS (MKTME)</w:t>
            </w:r>
            <w:r>
              <w:t xml:space="preserve"> </w:t>
            </w:r>
            <w:r>
              <w:rPr/>
              <w:fldChar w:fldCharType="begin"/>
            </w:r>
            <w:r>
              <w:instrText>NOTEREF _Ref_Footnote_152 \h \f</w:instrText>
            </w:r>
            <w:r>
              <w:rPr/>
              <w:fldChar w:fldCharType="separate"/>
            </w:r>
            <w:r>
              <w:rPr>
                <w:vertAlign w:val="superscript"/>
              </w:rPr>
              <w:t>152</w:t>
            </w:r>
            <w:r>
              <w:rPr/>
              <w:fldChar w:fldCharType="end"/>
            </w:r>
          </w:p>
        </w:tc>
        <w:tc>
          <w:tcPr>
            <w:tcW w:w="0" w:type="auto"/>
            <w:tcBorders/>
          </w:tcPr>
          <w:p w14:paraId="F728BA4E">
            <w:pPr>
              <w:pStyle w:val="style4098"/>
              <w:jc w:val="left"/>
              <w:rPr/>
            </w:pPr>
            <w:r>
              <w:t>AES-128-GCM</w:t>
            </w:r>
            <w:r>
              <w:t xml:space="preserve"> </w:t>
            </w:r>
            <w:r>
              <w:rPr/>
              <w:fldChar w:fldCharType="begin"/>
            </w:r>
            <w:r>
              <w:instrText>NOTEREF _Ref_Footnote_152 \h \f</w:instrText>
            </w:r>
            <w:r>
              <w:rPr/>
              <w:fldChar w:fldCharType="separate"/>
            </w:r>
            <w:r>
              <w:rPr>
                <w:vertAlign w:val="superscript"/>
              </w:rPr>
              <w:t>152</w:t>
            </w:r>
            <w:r>
              <w:rPr/>
              <w:fldChar w:fldCharType="end"/>
            </w:r>
          </w:p>
        </w:tc>
        <w:tc>
          <w:tcPr>
            <w:tcW w:w="0" w:type="auto"/>
            <w:tcBorders/>
          </w:tcPr>
          <w:p w14:paraId="251C44B1">
            <w:pPr>
              <w:pStyle w:val="style4098"/>
              <w:jc w:val="left"/>
              <w:rPr/>
            </w:pPr>
            <w:r>
              <w:t>Dynamic（运行时协商）</w:t>
            </w:r>
          </w:p>
        </w:tc>
      </w:tr>
      <w:tr w14:paraId="0EAACEB9">
        <w:tblPrEx/>
        <w:trPr/>
        <w:tc>
          <w:tcPr>
            <w:tcW w:w="0" w:type="auto"/>
            <w:tcBorders/>
          </w:tcPr>
          <w:p w14:paraId="D596C6A8">
            <w:pPr>
              <w:pStyle w:val="style4098"/>
              <w:jc w:val="left"/>
              <w:rPr/>
            </w:pPr>
            <w:r>
              <w:rPr>
                <w:b/>
                <w:bCs/>
              </w:rPr>
              <w:t>隔离粒度</w:t>
            </w:r>
          </w:p>
        </w:tc>
        <w:tc>
          <w:tcPr>
            <w:tcW w:w="0" w:type="auto"/>
            <w:tcBorders/>
          </w:tcPr>
          <w:p w14:paraId="7052D8E3">
            <w:pPr>
              <w:pStyle w:val="style4098"/>
              <w:jc w:val="left"/>
              <w:rPr/>
            </w:pPr>
            <w:r>
              <w:t>VM 级（Trust Domain）</w:t>
            </w:r>
          </w:p>
        </w:tc>
        <w:tc>
          <w:tcPr>
            <w:tcW w:w="0" w:type="auto"/>
            <w:tcBorders/>
          </w:tcPr>
          <w:p w14:paraId="04A869A8">
            <w:pPr>
              <w:pStyle w:val="style4098"/>
              <w:jc w:val="left"/>
              <w:rPr/>
            </w:pPr>
            <w:r>
              <w:t>VM 级</w:t>
            </w:r>
          </w:p>
        </w:tc>
        <w:tc>
          <w:tcPr>
            <w:tcW w:w="0" w:type="auto"/>
            <w:tcBorders/>
          </w:tcPr>
          <w:p w14:paraId="7CB37665">
            <w:pPr>
              <w:pStyle w:val="style4098"/>
              <w:jc w:val="left"/>
              <w:rPr/>
            </w:pPr>
            <w:r>
              <w:t>Realm 级</w:t>
            </w:r>
          </w:p>
        </w:tc>
      </w:tr>
      <w:tr w14:paraId="C651D779">
        <w:tblPrEx/>
        <w:trPr/>
        <w:tc>
          <w:tcPr>
            <w:tcW w:w="0" w:type="auto"/>
            <w:tcBorders/>
          </w:tcPr>
          <w:p w14:paraId="5DCC482A">
            <w:pPr>
              <w:pStyle w:val="style4098"/>
              <w:jc w:val="left"/>
              <w:rPr/>
            </w:pPr>
            <w:r>
              <w:rPr>
                <w:b/>
                <w:bCs/>
              </w:rPr>
              <w:t>TCB 大小</w:t>
            </w:r>
          </w:p>
        </w:tc>
        <w:tc>
          <w:tcPr>
            <w:tcW w:w="0" w:type="auto"/>
            <w:tcBorders/>
          </w:tcPr>
          <w:p w14:paraId="22A9ED46">
            <w:pPr>
              <w:pStyle w:val="style4098"/>
              <w:jc w:val="left"/>
              <w:rPr/>
            </w:pPr>
            <w:r>
              <w:t>小（排除 Hypervisor）</w:t>
            </w:r>
            <w:r>
              <w:rPr>
                <w:vertAlign w:val="superscript"/>
              </w:rPr>
              <w:footnoteReference w:id="163"/>
            </w:r>
          </w:p>
        </w:tc>
        <w:tc>
          <w:tcPr>
            <w:tcW w:w="0" w:type="auto"/>
            <w:tcBorders/>
          </w:tcPr>
          <w:p w14:paraId="7732258C">
            <w:pPr>
              <w:pStyle w:val="style4098"/>
              <w:jc w:val="left"/>
              <w:rPr/>
            </w:pPr>
            <w:r>
              <w:t>中</w:t>
            </w:r>
          </w:p>
        </w:tc>
        <w:tc>
          <w:tcPr>
            <w:tcW w:w="0" w:type="auto"/>
            <w:tcBorders/>
          </w:tcPr>
          <w:p w14:paraId="4355D0FB">
            <w:pPr>
              <w:pStyle w:val="style4098"/>
              <w:jc w:val="left"/>
              <w:rPr/>
            </w:pPr>
            <w:r>
              <w:t>小</w:t>
            </w:r>
          </w:p>
        </w:tc>
      </w:tr>
      <w:tr w14:paraId="8EFE6270">
        <w:tblPrEx/>
        <w:trPr/>
        <w:tc>
          <w:tcPr>
            <w:tcW w:w="0" w:type="auto"/>
            <w:tcBorders/>
          </w:tcPr>
          <w:p w14:paraId="60A7DB90">
            <w:pPr>
              <w:pStyle w:val="style4098"/>
              <w:jc w:val="left"/>
              <w:rPr/>
            </w:pPr>
            <w:r>
              <w:rPr>
                <w:b/>
                <w:bCs/>
              </w:rPr>
              <w:t>侧信道防护</w:t>
            </w:r>
          </w:p>
        </w:tc>
        <w:tc>
          <w:tcPr>
            <w:tcW w:w="0" w:type="auto"/>
            <w:tcBorders/>
          </w:tcPr>
          <w:p w14:paraId="34A909EF">
            <w:pPr>
              <w:pStyle w:val="style4098"/>
              <w:jc w:val="left"/>
              <w:rPr/>
            </w:pPr>
            <w:r>
              <w:t>优秀</w:t>
            </w:r>
          </w:p>
        </w:tc>
        <w:tc>
          <w:tcPr>
            <w:tcW w:w="0" w:type="auto"/>
            <w:tcBorders/>
          </w:tcPr>
          <w:p w14:paraId="78D21D74">
            <w:pPr>
              <w:pStyle w:val="style4098"/>
              <w:jc w:val="left"/>
              <w:rPr/>
            </w:pPr>
            <w:r>
              <w:t>良好</w:t>
            </w:r>
          </w:p>
        </w:tc>
        <w:tc>
          <w:tcPr>
            <w:tcW w:w="0" w:type="auto"/>
            <w:tcBorders/>
          </w:tcPr>
          <w:p w14:paraId="8EF3268F">
            <w:pPr>
              <w:pStyle w:val="style4098"/>
              <w:jc w:val="left"/>
              <w:rPr/>
            </w:pPr>
            <w:r>
              <w:t>良好</w:t>
            </w:r>
          </w:p>
        </w:tc>
      </w:tr>
      <w:tr w14:paraId="4F689266">
        <w:tblPrEx/>
        <w:trPr/>
        <w:tc>
          <w:tcPr>
            <w:tcW w:w="0" w:type="auto"/>
            <w:tcBorders/>
          </w:tcPr>
          <w:p w14:paraId="FDE29017">
            <w:pPr>
              <w:pStyle w:val="style4098"/>
              <w:jc w:val="left"/>
              <w:rPr/>
            </w:pPr>
            <w:r>
              <w:rPr>
                <w:b/>
                <w:bCs/>
              </w:rPr>
              <w:t>远程证明服务</w:t>
            </w:r>
          </w:p>
        </w:tc>
        <w:tc>
          <w:tcPr>
            <w:tcW w:w="0" w:type="auto"/>
            <w:tcBorders/>
          </w:tcPr>
          <w:p w14:paraId="CFB7F787">
            <w:pPr>
              <w:pStyle w:val="style4098"/>
              <w:jc w:val="left"/>
              <w:rPr/>
            </w:pPr>
            <w:r>
              <w:t>Intel Attestation Service</w:t>
            </w:r>
          </w:p>
        </w:tc>
        <w:tc>
          <w:tcPr>
            <w:tcW w:w="0" w:type="auto"/>
            <w:tcBorders/>
          </w:tcPr>
          <w:p w14:paraId="1877CE39">
            <w:pPr>
              <w:pStyle w:val="style4098"/>
              <w:jc w:val="left"/>
              <w:rPr/>
            </w:pPr>
            <w:r>
              <w:t>AMD Key Distribution Service</w:t>
            </w:r>
          </w:p>
        </w:tc>
        <w:tc>
          <w:tcPr>
            <w:tcW w:w="0" w:type="auto"/>
            <w:tcBorders/>
          </w:tcPr>
          <w:p w14:paraId="6B664BD7">
            <w:pPr>
              <w:pStyle w:val="style4098"/>
              <w:jc w:val="left"/>
              <w:rPr/>
            </w:pPr>
            <w:r>
              <w:t>平台相关</w:t>
            </w:r>
          </w:p>
        </w:tc>
      </w:tr>
      <w:tr w14:paraId="B87A9B65">
        <w:tblPrEx/>
        <w:trPr/>
        <w:tc>
          <w:tcPr>
            <w:tcW w:w="0" w:type="auto"/>
            <w:tcBorders/>
          </w:tcPr>
          <w:p w14:paraId="EA071717">
            <w:pPr>
              <w:pStyle w:val="style4098"/>
              <w:jc w:val="left"/>
              <w:rPr/>
            </w:pPr>
            <w:r>
              <w:rPr>
                <w:b/>
                <w:bCs/>
              </w:rPr>
              <w:t>性能开销（CPU/内存）</w:t>
            </w:r>
          </w:p>
        </w:tc>
        <w:tc>
          <w:tcPr>
            <w:tcW w:w="0" w:type="auto"/>
            <w:tcBorders/>
          </w:tcPr>
          <w:p w14:paraId="CEE7CE3C">
            <w:pPr>
              <w:pStyle w:val="style4098"/>
              <w:jc w:val="left"/>
              <w:rPr/>
            </w:pPr>
            <w:r>
              <w:t>2–6% / 3–8%</w:t>
            </w:r>
            <w:r>
              <w:t xml:space="preserve"> </w:t>
            </w:r>
            <w:r>
              <w:rPr/>
              <w:fldChar w:fldCharType="begin"/>
            </w:r>
            <w:r>
              <w:instrText>NOTEREF _Ref_Footnote_152 \h \f</w:instrText>
            </w:r>
            <w:r>
              <w:rPr/>
              <w:fldChar w:fldCharType="separate"/>
            </w:r>
            <w:r>
              <w:rPr>
                <w:vertAlign w:val="superscript"/>
              </w:rPr>
              <w:t>152</w:t>
            </w:r>
            <w:r>
              <w:rPr/>
              <w:fldChar w:fldCharType="end"/>
            </w:r>
            <w:r>
              <w:t xml:space="preserve"> </w:t>
            </w:r>
            <w:r>
              <w:rPr/>
              <w:fldChar w:fldCharType="begin"/>
            </w:r>
            <w:r>
              <w:instrText>NOTEREF _Ref_Footnote_163 \h \f</w:instrText>
            </w:r>
            <w:r>
              <w:rPr/>
              <w:fldChar w:fldCharType="separate"/>
            </w:r>
            <w:r>
              <w:rPr>
                <w:vertAlign w:val="superscript"/>
              </w:rPr>
              <w:t>163</w:t>
            </w:r>
            <w:r>
              <w:rPr/>
              <w:fldChar w:fldCharType="end"/>
            </w:r>
          </w:p>
        </w:tc>
        <w:tc>
          <w:tcPr>
            <w:tcW w:w="0" w:type="auto"/>
            <w:tcBorders/>
          </w:tcPr>
          <w:p w14:paraId="FCA7AE74">
            <w:pPr>
              <w:pStyle w:val="style4098"/>
              <w:jc w:val="left"/>
              <w:rPr/>
            </w:pPr>
            <w:r>
              <w:t>3–7% / 5–10%</w:t>
            </w:r>
            <w:r>
              <w:t xml:space="preserve"> </w:t>
            </w:r>
            <w:r>
              <w:rPr/>
              <w:fldChar w:fldCharType="begin"/>
            </w:r>
            <w:r>
              <w:instrText>NOTEREF _Ref_Footnote_152 \h \f</w:instrText>
            </w:r>
            <w:r>
              <w:rPr/>
              <w:fldChar w:fldCharType="separate"/>
            </w:r>
            <w:r>
              <w:rPr>
                <w:vertAlign w:val="superscript"/>
              </w:rPr>
              <w:t>152</w:t>
            </w:r>
            <w:r>
              <w:rPr/>
              <w:fldChar w:fldCharType="end"/>
            </w:r>
            <w:r>
              <w:t xml:space="preserve"> </w:t>
            </w:r>
            <w:r>
              <w:rPr/>
              <w:fldChar w:fldCharType="begin"/>
            </w:r>
            <w:r>
              <w:instrText>NOTEREF _Ref_Footnote_163 \h \f</w:instrText>
            </w:r>
            <w:r>
              <w:rPr/>
              <w:fldChar w:fldCharType="separate"/>
            </w:r>
            <w:r>
              <w:rPr>
                <w:vertAlign w:val="superscript"/>
              </w:rPr>
              <w:t>163</w:t>
            </w:r>
            <w:r>
              <w:rPr/>
              <w:fldChar w:fldCharType="end"/>
            </w:r>
          </w:p>
        </w:tc>
        <w:tc>
          <w:tcPr>
            <w:tcW w:w="0" w:type="auto"/>
            <w:tcBorders/>
          </w:tcPr>
          <w:p w14:paraId="7A4CA1D2">
            <w:pPr>
              <w:pStyle w:val="style4098"/>
              <w:jc w:val="left"/>
              <w:rPr/>
            </w:pPr>
            <w:r>
              <w:t>3–6%（估计）</w:t>
            </w:r>
          </w:p>
        </w:tc>
      </w:tr>
      <w:tr w14:paraId="F78D4140">
        <w:tblPrEx/>
        <w:trPr/>
        <w:tc>
          <w:tcPr>
            <w:tcW w:w="0" w:type="auto"/>
            <w:tcBorders/>
          </w:tcPr>
          <w:p w14:paraId="02541375">
            <w:pPr>
              <w:pStyle w:val="style4098"/>
              <w:jc w:val="left"/>
              <w:rPr/>
            </w:pPr>
            <w:r>
              <w:rPr>
                <w:b/>
                <w:bCs/>
              </w:rPr>
              <w:t>云平台支持</w:t>
            </w:r>
          </w:p>
        </w:tc>
        <w:tc>
          <w:tcPr>
            <w:tcW w:w="0" w:type="auto"/>
            <w:tcBorders/>
          </w:tcPr>
          <w:p w14:paraId="6ADBF9DD">
            <w:pPr>
              <w:pStyle w:val="style4098"/>
              <w:jc w:val="left"/>
              <w:rPr/>
            </w:pPr>
            <w:r>
              <w:t>GCP、Azure</w:t>
            </w:r>
          </w:p>
        </w:tc>
        <w:tc>
          <w:tcPr>
            <w:tcW w:w="0" w:type="auto"/>
            <w:tcBorders/>
          </w:tcPr>
          <w:p w14:paraId="C2321AD6">
            <w:pPr>
              <w:pStyle w:val="style4098"/>
              <w:jc w:val="left"/>
              <w:rPr/>
            </w:pPr>
            <w:r>
              <w:t>GCP、Azure、AWS</w:t>
            </w:r>
          </w:p>
        </w:tc>
        <w:tc>
          <w:tcPr>
            <w:tcW w:w="0" w:type="auto"/>
            <w:tcBorders/>
          </w:tcPr>
          <w:p w14:paraId="8CCC7DB2">
            <w:pPr>
              <w:pStyle w:val="style4098"/>
              <w:jc w:val="left"/>
              <w:rPr/>
            </w:pPr>
            <w:r>
              <w:t>边缘设备为主</w:t>
            </w:r>
          </w:p>
        </w:tc>
      </w:tr>
      <w:tr w14:paraId="034B07F9">
        <w:tblPrEx/>
        <w:trPr/>
        <w:tc>
          <w:tcPr>
            <w:tcW w:w="0" w:type="auto"/>
            <w:tcBorders/>
          </w:tcPr>
          <w:p w14:paraId="BDFAB8D0">
            <w:pPr>
              <w:pStyle w:val="style4098"/>
              <w:jc w:val="left"/>
              <w:rPr/>
            </w:pPr>
            <w:r>
              <w:rPr>
                <w:b/>
                <w:bCs/>
              </w:rPr>
              <w:t>成熟度</w:t>
            </w:r>
          </w:p>
        </w:tc>
        <w:tc>
          <w:tcPr>
            <w:tcW w:w="0" w:type="auto"/>
            <w:tcBorders/>
          </w:tcPr>
          <w:p w14:paraId="CFAB3909">
            <w:pPr>
              <w:pStyle w:val="style4098"/>
              <w:jc w:val="left"/>
              <w:rPr/>
            </w:pPr>
            <w:r>
              <w:t>中（2+ 年）</w:t>
            </w:r>
          </w:p>
        </w:tc>
        <w:tc>
          <w:tcPr>
            <w:tcW w:w="0" w:type="auto"/>
            <w:tcBorders/>
          </w:tcPr>
          <w:p w14:paraId="5AE326F7">
            <w:pPr>
              <w:pStyle w:val="style4098"/>
              <w:jc w:val="left"/>
              <w:rPr/>
            </w:pPr>
            <w:r>
              <w:t>高（5+ 年）</w:t>
            </w:r>
          </w:p>
        </w:tc>
        <w:tc>
          <w:tcPr>
            <w:tcW w:w="0" w:type="auto"/>
            <w:tcBorders/>
          </w:tcPr>
          <w:p w14:paraId="A4071A1D">
            <w:pPr>
              <w:pStyle w:val="style4098"/>
              <w:jc w:val="left"/>
              <w:rPr/>
            </w:pPr>
            <w:r>
              <w:t>低（&lt;1 年，2025+ 逐步可用）</w:t>
            </w:r>
            <w:r>
              <w:rPr>
                <w:vertAlign w:val="superscript"/>
              </w:rPr>
              <w:footnoteReference w:id="164"/>
            </w:r>
          </w:p>
        </w:tc>
      </w:tr>
    </w:tbl>
    <w:p w14:paraId="1BB0FE23">
      <w:pPr>
        <w:pStyle w:val="style66"/>
        <w:rPr/>
      </w:pPr>
      <w:r>
        <w:t>三种 TEE 方案在功能上趋同，但在生态成熟度与部署便利性上存在显著差异。AMD SEV-SNP 拥有最长的生产部署历史（GCP、Azure、AWS 均支持），但其 AES-128-GCM 加密强度略低于 TDX 的 AES-256-XTS。Intel TDX 的侧信道防护设计更为完善，但硬件要求更严格（需 Sapphire Rapids 及以上）。ARM CCA 引入了创新的 Realm World 概念，由 RMM（Realm Management Monitor）管理安全域，在边缘与移动场景具有独特优势，但生态系统成熟度最低</w:t>
      </w:r>
      <w:r>
        <w:t xml:space="preserve"> </w:t>
      </w:r>
      <w:r>
        <w:rPr/>
        <w:fldChar w:fldCharType="begin"/>
      </w:r>
      <w:r>
        <w:instrText>NOTEREF _Ref_Footnote_164 \h \f</w:instrText>
      </w:r>
      <w:r>
        <w:rPr/>
        <w:fldChar w:fldCharType="separate"/>
      </w:r>
      <w:r>
        <w:rPr>
          <w:vertAlign w:val="superscript"/>
        </w:rPr>
        <w:t>164</w:t>
      </w:r>
      <w:r>
        <w:rPr/>
        <w:fldChar w:fldCharType="end"/>
      </w:r>
      <w:r>
        <w:t xml:space="preserve"> </w:t>
      </w:r>
      <w:r>
        <w:rPr>
          <w:vertAlign w:val="superscript"/>
        </w:rPr>
        <w:footnoteReference w:id="165"/>
      </w:r>
      <w:r>
        <w:t>。</w:t>
      </w:r>
    </w:p>
    <w:p w14:paraId="A65C4D41">
      <w:pPr>
        <w:pStyle w:val="style66"/>
        <w:rPr/>
      </w:pPr>
      <w:r>
        <w:t>平台 TEE 选型建议采取”SEV-SNP 优先、TDX 并行、CCA 跟踪”的策略：AMD SEV-SNP 作为默认 TEE 后端（成熟度最高），Intel TDX 作为 x86 场景替代选项（侧信道防护更优），ARM CCA 纳入技术跟踪（边缘场景未来扩展）。</w:t>
      </w:r>
    </w:p>
    <w:bookmarkStart w:id="104" w:name="coco-架构kata-tee-trusteekbs"/>
    <w:bookmarkEnd w:id="103"/>
    <w:p w14:paraId="26292ADB">
      <w:pPr>
        <w:pStyle w:val="style4104"/>
        <w:rPr/>
      </w:pPr>
      <w:r>
        <w:t>6.2.3 CoCo 架构：Kata + TEE + Trustee/KBS</w:t>
      </w:r>
    </w:p>
    <w:p w14:paraId="80C0C92C">
      <w:pPr>
        <w:pStyle w:val="style4097"/>
        <w:rPr/>
      </w:pPr>
      <w:r>
        <w:t>Confidential Containers（CoCo）是 CNCF 孵化项目，将 Kata Containers 与 TEE 深度集成，实现 Pod 级别的硬件隔离与自动远程证明</w:t>
      </w:r>
      <w:r>
        <w:t xml:space="preserve"> </w:t>
      </w:r>
      <w:r>
        <w:rPr/>
        <w:fldChar w:fldCharType="begin"/>
      </w:r>
      <w:r>
        <w:instrText>NOTEREF _Ref_Footnote_150 \h \f</w:instrText>
      </w:r>
      <w:r>
        <w:rPr/>
        <w:fldChar w:fldCharType="separate"/>
      </w:r>
      <w:r>
        <w:rPr>
          <w:vertAlign w:val="superscript"/>
        </w:rPr>
        <w:t>150</w:t>
      </w:r>
      <w:r>
        <w:rPr/>
        <w:fldChar w:fldCharType="end"/>
      </w:r>
      <w:r>
        <w:t xml:space="preserve"> </w:t>
      </w:r>
      <w:r>
        <w:rPr/>
        <w:fldChar w:fldCharType="begin"/>
      </w:r>
      <w:r>
        <w:instrText>NOTEREF _Ref_Footnote_155 \h \f</w:instrText>
      </w:r>
      <w:r>
        <w:rPr/>
        <w:fldChar w:fldCharType="separate"/>
      </w:r>
      <w:r>
        <w:rPr>
          <w:vertAlign w:val="superscript"/>
        </w:rPr>
        <w:t>155</w:t>
      </w:r>
      <w:r>
        <w:rPr/>
        <w:fldChar w:fldCharType="end"/>
      </w:r>
      <w:r>
        <w:t>。</w:t>
      </w:r>
    </w:p>
    <w:p w14:paraId="7A7575B3">
      <w:pPr>
        <w:pStyle w:val="style66"/>
        <w:rPr/>
      </w:pPr>
      <w:r>
        <w:t>CoCo 架构包含五个核心组件：Kata Containers 将 Pod 运行在轻量级机密 VM 中；Attestation Agent（AA）在 Guest OS 内运行，生成 TEE 平台特定的证明报告；Confidential Data Hub（CDH）管理密钥与敏感数据的生命周期；Trustee（即 KBS，Key Broker Service）作为外部可信服务，验证 TEE 证据并执行策略驱动的密钥释放；Kyverno 在 Kubernetes 层动态注入证明代理配置。</w:t>
      </w:r>
    </w:p>
    <w:p w14:paraId="C5C65509">
      <w:pPr>
        <w:pStyle w:val="style66"/>
        <w:rPr/>
      </w:pPr>
      <w:r>
        <w:t>远程证明流程遵循以下步骤：Pod 启动时，Attestation Agent 读取 TEE 平台特定的度量值（TDX Quote 或 SEV-SNP Attestation Report）并生成证明证据；证据发送至 Trustee/KBS，Trustee 通过平台特定的 Verifier Driver 验证证据真实性；若验证通过且满足预设策略（如镜像哈希、启动参数检查），Trustee 释放解密密钥或注入密钥材料</w:t>
      </w:r>
      <w:r>
        <w:t xml:space="preserve"> </w:t>
      </w:r>
      <w:r>
        <w:rPr/>
        <w:fldChar w:fldCharType="begin"/>
      </w:r>
      <w:r>
        <w:instrText>NOTEREF _Ref_Footnote_150 \h \f</w:instrText>
      </w:r>
      <w:r>
        <w:rPr/>
        <w:fldChar w:fldCharType="separate"/>
      </w:r>
      <w:r>
        <w:rPr>
          <w:vertAlign w:val="superscript"/>
        </w:rPr>
        <w:t>150</w:t>
      </w:r>
      <w:r>
        <w:rPr/>
        <w:fldChar w:fldCharType="end"/>
      </w:r>
      <w:r>
        <w:t xml:space="preserve"> </w:t>
      </w:r>
      <w:r>
        <w:rPr/>
        <w:fldChar w:fldCharType="begin"/>
      </w:r>
      <w:r>
        <w:instrText>NOTEREF _Ref_Footnote_156 \h \f</w:instrText>
      </w:r>
      <w:r>
        <w:rPr/>
        <w:fldChar w:fldCharType="separate"/>
      </w:r>
      <w:r>
        <w:rPr>
          <w:vertAlign w:val="superscript"/>
        </w:rPr>
        <w:t>156</w:t>
      </w:r>
      <w:r>
        <w:rPr/>
        <w:fldChar w:fldCharType="end"/>
      </w:r>
      <w:r>
        <w:t xml:space="preserve"> </w:t>
      </w:r>
      <w:r>
        <w:rPr/>
        <w:fldChar w:fldCharType="begin"/>
      </w:r>
      <w:r>
        <w:instrText>NOTEREF _Ref_Footnote_151 \h \f</w:instrText>
      </w:r>
      <w:r>
        <w:rPr/>
        <w:fldChar w:fldCharType="separate"/>
      </w:r>
      <w:r>
        <w:rPr>
          <w:vertAlign w:val="superscript"/>
        </w:rPr>
        <w:t>151</w:t>
      </w:r>
      <w:r>
        <w:rPr/>
        <w:fldChar w:fldCharType="end"/>
      </w:r>
      <w:r>
        <w:t>。</w:t>
      </w:r>
    </w:p>
    <w:p w14:paraId="D18A24C0">
      <w:pPr>
        <w:pStyle w:val="style66"/>
        <w:rPr/>
      </w:pPr>
      <w:r>
        <w:t>CoCo 的安全保证并非无条件的。已知限制包括：证明粒度仅覆盖 Guest OS 而不测量容器镜像内容——恶意镜像仍可在 TEE 内运行；每个 Pod 约 2 GB 额外内存开销限制了部署密度；网络隔离策略无法加密；配置错误（如静默禁用机密模式、镜像替换）仍可绕过安全控制</w:t>
      </w:r>
      <w:r>
        <w:t xml:space="preserve"> </w:t>
      </w:r>
      <w:r>
        <w:rPr/>
        <w:fldChar w:fldCharType="begin"/>
      </w:r>
      <w:r>
        <w:instrText>NOTEREF _Ref_Footnote_155 \h \f</w:instrText>
      </w:r>
      <w:r>
        <w:rPr/>
        <w:fldChar w:fldCharType="separate"/>
      </w:r>
      <w:r>
        <w:rPr>
          <w:vertAlign w:val="superscript"/>
        </w:rPr>
        <w:t>155</w:t>
      </w:r>
      <w:r>
        <w:rPr/>
        <w:fldChar w:fldCharType="end"/>
      </w:r>
      <w:r>
        <w:t xml:space="preserve"> </w:t>
      </w:r>
      <w:r>
        <w:rPr>
          <w:vertAlign w:val="superscript"/>
        </w:rPr>
        <w:footnoteReference w:id="166"/>
      </w:r>
      <w:r>
        <w:t>。因此，CoCo 应被视为纵深防御体系的最内层，而非唯一安全屏障。</w:t>
      </w:r>
    </w:p>
    <w:bookmarkStart w:id="105" w:name="多租户安全策略"/>
    <w:bookmarkEnd w:id="104"/>
    <w:bookmarkEnd w:id="101"/>
    <w:p w14:paraId="826D1251">
      <w:pPr>
        <w:pStyle w:val="style4103"/>
        <w:rPr/>
      </w:pPr>
      <w:r>
        <w:t>6.3 多租户安全策略</w:t>
      </w:r>
    </w:p>
    <w:bookmarkStart w:id="106" w:name="零信任网络"/>
    <w:p w14:paraId="890797C1">
      <w:pPr>
        <w:pStyle w:val="style4104"/>
        <w:rPr/>
      </w:pPr>
      <w:r>
        <w:t>6.3.1 零信任网络</w:t>
      </w:r>
    </w:p>
    <w:p w14:paraId="EC202818">
      <w:pPr>
        <w:pStyle w:val="style4097"/>
        <w:rPr/>
      </w:pPr>
      <w:r>
        <w:t>多租户环境的网络安全遵循”永不信任，始终验证”的零信任架构原则</w:t>
      </w:r>
      <w:r>
        <w:t xml:space="preserve"> </w:t>
      </w:r>
      <w:r>
        <w:rPr>
          <w:vertAlign w:val="superscript"/>
        </w:rPr>
        <w:footnoteReference w:id="167"/>
      </w:r>
      <w:r>
        <w:t xml:space="preserve"> </w:t>
      </w:r>
      <w:r>
        <w:rPr>
          <w:vertAlign w:val="superscript"/>
        </w:rPr>
        <w:footnoteReference w:id="168"/>
      </w:r>
      <w:r>
        <w:t>。平台实施三层递进式网络控制：</w:t>
      </w:r>
    </w:p>
    <w:p w14:paraId="59C554F0">
      <w:pPr>
        <w:pStyle w:val="style66"/>
        <w:rPr/>
      </w:pPr>
      <w:r>
        <w:rPr>
          <w:b/>
          <w:bCs/>
        </w:rPr>
        <w:t>默认拒绝基线</w:t>
      </w:r>
      <w:r>
        <w:t>是所有命名空间/租户间通信的默认策略为拒绝，仅通过显式 NetworkPolicy 允许必要通信路径。出站 DNS 查询限制为 kube-system 命名空间内的 CoreDNS 实例，阻止租户通过 DNS 隧道进行数据外泄。</w:t>
      </w:r>
    </w:p>
    <w:p w14:paraId="0B367BB6">
      <w:pPr>
        <w:pStyle w:val="style66"/>
        <w:rPr/>
      </w:pPr>
      <w:r>
        <w:rPr>
          <w:b/>
          <w:bCs/>
        </w:rPr>
        <w:t>mTLS 服务间认证</w:t>
      </w:r>
      <w:r>
        <w:t>通过 Istio 服务网格实现。每个服务实例自动获取基于 SPIFFE（Secure Production Identity Framework For Everyone）身份的 X.509 证书，所有东西向流量强制双向认证。关键配置要求将 PeerAuthentication 设置为</w:t>
      </w:r>
      <w:r>
        <w:t xml:space="preserve"> </w:t>
      </w:r>
      <w:r>
        <w:rPr>
          <w:rStyle w:val="style4120"/>
        </w:rPr>
        <w:t>STRICT</w:t>
      </w:r>
      <w:r>
        <w:t xml:space="preserve"> </w:t>
      </w:r>
      <w:r>
        <w:t>模式——Istio 默认的</w:t>
      </w:r>
      <w:r>
        <w:t xml:space="preserve"> </w:t>
      </w:r>
      <w:r>
        <w:rPr>
          <w:rStyle w:val="style4120"/>
        </w:rPr>
        <w:t>PERMISSIVE</w:t>
      </w:r>
      <w:r>
        <w:t xml:space="preserve"> </w:t>
      </w:r>
      <w:r>
        <w:t>模式同时接受明文与 mTLS 流量，实质上不提供安全保证</w:t>
      </w:r>
      <w:r>
        <w:t xml:space="preserve"> </w:t>
      </w:r>
      <w:r>
        <w:rPr>
          <w:vertAlign w:val="superscript"/>
        </w:rPr>
        <w:footnoteReference w:id="169"/>
      </w:r>
      <w:r>
        <w:t>。SPIRE（SPIFFE Runtime Environment）作为证书签发与轮换基础设施，通过节点证明与工作负载证明双重验证确保身份的真实性</w:t>
      </w:r>
      <w:r>
        <w:t xml:space="preserve"> </w:t>
      </w:r>
      <w:r>
        <w:rPr/>
        <w:fldChar w:fldCharType="begin"/>
      </w:r>
      <w:r>
        <w:instrText>NOTEREF _Ref_Footnote_100 \h \f</w:instrText>
      </w:r>
      <w:r>
        <w:rPr/>
        <w:fldChar w:fldCharType="separate"/>
      </w:r>
      <w:r>
        <w:rPr>
          <w:vertAlign w:val="superscript"/>
        </w:rPr>
        <w:t>100</w:t>
      </w:r>
      <w:r>
        <w:rPr/>
        <w:fldChar w:fldCharType="end"/>
      </w:r>
      <w:r>
        <w:t xml:space="preserve"> </w:t>
      </w:r>
      <w:r>
        <w:rPr>
          <w:vertAlign w:val="superscript"/>
        </w:rPr>
        <w:footnoteReference w:id="170"/>
      </w:r>
      <w:r>
        <w:t xml:space="preserve"> </w:t>
      </w:r>
      <w:r>
        <w:rPr>
          <w:vertAlign w:val="superscript"/>
        </w:rPr>
        <w:footnoteReference w:id="171"/>
      </w:r>
      <w:r>
        <w:t>。</w:t>
      </w:r>
    </w:p>
    <w:p w14:paraId="61A391C9">
      <w:pPr>
        <w:pStyle w:val="style66"/>
        <w:rPr/>
      </w:pPr>
      <w:r>
        <w:rPr>
          <w:b/>
          <w:bCs/>
        </w:rPr>
        <w:t>微分段</w:t>
      </w:r>
      <w:r>
        <w:t>将网络划分为基于工作负载身份而非 IP 地址的安全区域。Cilium 在 L3–L4 层基于 eBPF 实现 O(1) 查找的网络策略执行（延迟 2–5 μs，对比 iptables 的 50–200 μs）</w:t>
      </w:r>
      <w:r>
        <w:rPr/>
        <w:fldChar w:fldCharType="begin"/>
      </w:r>
      <w:r>
        <w:instrText>NOTEREF _Ref_Footnote_26 \h \f</w:instrText>
      </w:r>
      <w:r>
        <w:rPr/>
        <w:fldChar w:fldCharType="separate"/>
      </w:r>
      <w:r>
        <w:rPr>
          <w:vertAlign w:val="superscript"/>
        </w:rPr>
        <w:t>26</w:t>
      </w:r>
      <w:r>
        <w:rPr/>
        <w:fldChar w:fldCharType="end"/>
      </w:r>
      <w:r>
        <w:t>，Istio 在 L7 层实现基于 HTTP 方法、路径与请求头的细粒度访问控制。两者组合形成从网络包到应用请求的全栈微分段</w:t>
      </w:r>
      <w:r>
        <w:t xml:space="preserve"> </w:t>
      </w:r>
      <w:r>
        <w:rPr>
          <w:vertAlign w:val="superscript"/>
        </w:rPr>
        <w:footnoteReference w:id="172"/>
      </w:r>
      <w:r>
        <w:t xml:space="preserve"> </w:t>
      </w:r>
      <w:r>
        <w:rPr>
          <w:vertAlign w:val="superscript"/>
        </w:rPr>
        <w:footnoteReference w:id="173"/>
      </w:r>
      <w:r>
        <w:t>。</w:t>
      </w:r>
    </w:p>
    <w:bookmarkStart w:id="107" w:name="rbac-权限模型"/>
    <w:bookmarkEnd w:id="106"/>
    <w:p w14:paraId="9BAB63A8">
      <w:pPr>
        <w:pStyle w:val="style4104"/>
        <w:rPr/>
      </w:pPr>
      <w:r>
        <w:t>6.3.2 RBAC 权限模型</w:t>
      </w:r>
    </w:p>
    <w:p w14:paraId="BBA89B04">
      <w:pPr>
        <w:pStyle w:val="style4097"/>
        <w:rPr/>
      </w:pPr>
      <w:r>
        <w:t>平台 RBAC（Role-Based Access Control）体系在三个层级构建：</w:t>
      </w:r>
    </w:p>
    <w:p w14:paraId="CA4DE77D">
      <w:pPr>
        <w:pStyle w:val="style66"/>
        <w:rPr/>
      </w:pPr>
      <w:r>
        <w:rPr>
          <w:b/>
          <w:bCs/>
        </w:rPr>
        <w:t>Kubernetes RBAC</w:t>
      </w:r>
      <w:r>
        <w:t xml:space="preserve"> </w:t>
      </w:r>
      <w:r>
        <w:t>提供集群级权限控制。每个租户分配独立的 Namespace，通过 ResourceQuota 限制 CPU、内存、存储与对象数量，通过 LimitRanges 设置默认与最大资源请求，通过 RBAC Role/RoleBinding 遵循最小权限原则。关键安全配置包括：禁止特权容器（</w:t>
      </w:r>
      <w:r>
        <w:rPr>
          <w:rStyle w:val="style4120"/>
        </w:rPr>
        <w:t>allowPrivilegeEscalation: false</w:t>
      </w:r>
      <w:r>
        <w:t>），禁止主机命名空间共享（</w:t>
      </w:r>
      <w:r>
        <w:rPr>
          <w:rStyle w:val="style4120"/>
        </w:rPr>
        <w:t>hostPID: false, hostNetwork: false</w:t>
      </w:r>
      <w:r>
        <w:t>），禁止根文件系统可写（</w:t>
      </w:r>
      <w:r>
        <w:rPr>
          <w:rStyle w:val="style4120"/>
        </w:rPr>
        <w:t>readOnlyRootFilesystem: true</w:t>
      </w:r>
      <w:r>
        <w:t>）。</w:t>
      </w:r>
    </w:p>
    <w:p w14:paraId="894A33C5">
      <w:pPr>
        <w:pStyle w:val="style66"/>
        <w:rPr/>
      </w:pPr>
      <w:r>
        <w:rPr>
          <w:b/>
          <w:bCs/>
        </w:rPr>
        <w:t>Incus Project</w:t>
      </w:r>
      <w:r>
        <w:t xml:space="preserve"> </w:t>
      </w:r>
      <w:r>
        <w:t>提供容器与 VM 的统一项目隔离。每个租户对应一个 Incus Project，实现实例、网络、存储卷与配置文件的逻辑隔离。Project 级别的权限控制限制租户仅能操作其 project 内的资源，防止跨租户资源访问。</w:t>
      </w:r>
    </w:p>
    <w:p w14:paraId="2A553E75">
      <w:pPr>
        <w:pStyle w:val="style66"/>
        <w:rPr/>
      </w:pPr>
      <w:r>
        <w:rPr>
          <w:b/>
          <w:bCs/>
        </w:rPr>
        <w:t>LDAP/AD 集成</w:t>
      </w:r>
      <w:r>
        <w:t>通过 OAuth2/OIDC 协议对接企业身份提供商，实现统一的身份源与单点登录。Kubernetes 通过</w:t>
      </w:r>
      <w:r>
        <w:t xml:space="preserve"> </w:t>
      </w:r>
      <w:r>
        <w:rPr>
          <w:rStyle w:val="style4120"/>
        </w:rPr>
        <w:t>--oidc-issuer-url</w:t>
      </w:r>
      <w:r>
        <w:t xml:space="preserve"> </w:t>
      </w:r>
      <w:r>
        <w:t>与</w:t>
      </w:r>
      <w:r>
        <w:t xml:space="preserve"> </w:t>
      </w:r>
      <w:r>
        <w:rPr>
          <w:rStyle w:val="style4120"/>
        </w:rPr>
        <w:t>--oidc-client-id</w:t>
      </w:r>
      <w:r>
        <w:t xml:space="preserve"> </w:t>
      </w:r>
      <w:r>
        <w:t>配置集成外部身份提供商，Incus 通过</w:t>
      </w:r>
      <w:r>
        <w:t xml:space="preserve"> </w:t>
      </w:r>
      <w:r>
        <w:rPr>
          <w:rStyle w:val="style4120"/>
        </w:rPr>
        <w:t>oidc.*</w:t>
      </w:r>
      <w:r>
        <w:t xml:space="preserve"> </w:t>
      </w:r>
      <w:r>
        <w:t>配置项实现相同功能。</w:t>
      </w:r>
    </w:p>
    <w:bookmarkStart w:id="108" w:name="安全加固"/>
    <w:bookmarkEnd w:id="107"/>
    <w:p w14:paraId="010D29D6">
      <w:pPr>
        <w:pStyle w:val="style4104"/>
        <w:rPr/>
      </w:pPr>
      <w:r>
        <w:t>6.3.3 安全加固</w:t>
      </w:r>
    </w:p>
    <w:p w14:paraId="EFE8F4B7">
      <w:pPr>
        <w:pStyle w:val="style4097"/>
        <w:rPr/>
      </w:pPr>
      <w:r>
        <w:t>运行时安全加固采用分层 LSM（Linux Security Modules）与系统调用过滤的组合策略。</w:t>
      </w:r>
    </w:p>
    <w:p w14:paraId="64D020A3">
      <w:pPr>
        <w:pStyle w:val="style66"/>
        <w:rPr/>
      </w:pPr>
      <w:r>
        <w:t>seccomp-bpf 通过 BPF 规则限制容器进程可执行的系统调用。Docker 默认 seccomp 策略阻止约 44 个危险系统调用（总计 300+），采用白名单模式仅允许明确列出的调用</w:t>
      </w:r>
      <w:r>
        <w:t xml:space="preserve"> </w:t>
      </w:r>
      <w:r>
        <w:rPr>
          <w:vertAlign w:val="superscript"/>
        </w:rPr>
        <w:footnoteReference w:id="174"/>
      </w:r>
      <w:r>
        <w:t>。平台在此基础上针对 AI Agent 场景定制更严格的策略，移除不必要的网络、 mount 与进程管理相关调用。</w:t>
      </w:r>
    </w:p>
    <w:p w14:paraId="D873EE91">
      <w:pPr>
        <w:pStyle w:val="style66"/>
        <w:rPr/>
      </w:pPr>
      <w:r>
        <w:t>AppArmor（Ubuntu 默认）与 SELinux（RHEL 默认）提供强制访问控制。AppArmor 采用路径访问控制模型，学习曲线适中，性能损耗约 3–5%，支持策略热更新；SELinux 采用类型强制（Type Enforcement）MAC 模型，策略粒度更细（系统级），但学习曲线极高，性能损耗 5–8%，实践中经常被管理员关闭或设置为宽容模式，反而降低了安全性</w:t>
      </w:r>
      <w:r>
        <w:t xml:space="preserve"> </w:t>
      </w:r>
      <w:r>
        <w:rPr>
          <w:vertAlign w:val="superscript"/>
        </w:rPr>
        <w:footnoteReference w:id="175"/>
      </w:r>
      <w:r>
        <w:t>。平台推荐 Ubuntu 场景使用 AppArmor、RHEL 场景使用 SELinux，并强制要求启用 enforcing 模式。</w:t>
      </w:r>
    </w:p>
    <w:p w14:paraId="56EA701F">
      <w:pPr>
        <w:pStyle w:val="style66"/>
        <w:rPr/>
      </w:pPr>
      <w:r>
        <w:t>CIS（Center for Internet Security）Kubernetes Benchmark 提供 200+ 条安全建议，高优先级控制项包括：RBAC 启用与配置（CIS 5.1.x）、Pod 安全标准（CIS 5.2.x，禁止特权容器与主机网络）、网络策略应用（CIS 5.3.x）与审计日志（CIS 3.2.x）</w:t>
      </w:r>
      <w:r>
        <w:rPr>
          <w:vertAlign w:val="superscript"/>
        </w:rPr>
        <w:footnoteReference w:id="176"/>
      </w:r>
      <w:r>
        <w:t>。平台通过 kube-bench 工具定期执行 CIS 合规扫描，将不合配置项纳入 CI/CD 门禁检查。</w:t>
      </w:r>
    </w:p>
    <w:bookmarkStart w:id="109" w:name="合规性设计"/>
    <w:bookmarkEnd w:id="108"/>
    <w:bookmarkEnd w:id="105"/>
    <w:p w14:paraId="0D687A43">
      <w:pPr>
        <w:pStyle w:val="style4103"/>
        <w:rPr/>
      </w:pPr>
      <w:r>
        <w:t>6.4 合规性设计</w:t>
      </w:r>
    </w:p>
    <w:bookmarkStart w:id="110" w:name="等保-2.0-合规映射"/>
    <w:p w14:paraId="42AA2A6E">
      <w:pPr>
        <w:pStyle w:val="style4104"/>
        <w:rPr/>
      </w:pPr>
      <w:r>
        <w:t>6.4.1 等保 2.0 合规映射</w:t>
      </w:r>
    </w:p>
    <w:p w14:paraId="ED22F255">
      <w:pPr>
        <w:pStyle w:val="style4097"/>
        <w:rPr/>
      </w:pPr>
      <w:r>
        <w:t>等保 2.0（GB/T 22239-2019）对容器安全提出明确的技术要求，平台的安全隔离架构在条款层面可直接映射。</w:t>
      </w:r>
    </w:p>
    <w:tbl>
      <w:tblPr>
        <w:tblStyle w:val="style4111"/>
        <w:tblW w:w="5000" w:type="pct"/>
        <w:tblLook w:val="0020" w:firstRow="1" w:lastRow="0" w:firstColumn="0" w:lastColumn="0" w:noHBand="0" w:noVBand="0"/>
      </w:tblPr>
      <w:tblGrid>
        <w:gridCol w:w="1170"/>
        <w:gridCol w:w="1217"/>
        <w:gridCol w:w="3041"/>
        <w:gridCol w:w="2492"/>
      </w:tblGrid>
      <w:tr w14:paraId="F27236BA">
        <w:trPr>
          <w:tblHeader/>
        </w:trPr>
        <w:tc>
          <w:tcPr>
            <w:tcW w:w="0" w:type="auto"/>
            <w:tcBorders/>
          </w:tcPr>
          <w:p w14:paraId="39890D5A">
            <w:pPr>
              <w:pStyle w:val="style4098"/>
              <w:jc w:val="left"/>
              <w:rPr/>
            </w:pPr>
            <w:r>
              <w:t>等保 2.0 条款</w:t>
            </w:r>
          </w:p>
        </w:tc>
        <w:tc>
          <w:tcPr>
            <w:tcW w:w="0" w:type="auto"/>
            <w:tcBorders/>
          </w:tcPr>
          <w:p w14:paraId="DB7B2439">
            <w:pPr>
              <w:pStyle w:val="style4098"/>
              <w:jc w:val="left"/>
              <w:rPr/>
            </w:pPr>
            <w:r>
              <w:t>安全要求</w:t>
            </w:r>
          </w:p>
        </w:tc>
        <w:tc>
          <w:tcPr>
            <w:tcW w:w="0" w:type="auto"/>
            <w:tcBorders/>
          </w:tcPr>
          <w:p w14:paraId="ECCAC825">
            <w:pPr>
              <w:pStyle w:val="style4098"/>
              <w:jc w:val="left"/>
              <w:rPr/>
            </w:pPr>
            <w:r>
              <w:t>平台实施方案</w:t>
            </w:r>
          </w:p>
        </w:tc>
        <w:tc>
          <w:tcPr>
            <w:tcW w:w="0" w:type="auto"/>
            <w:tcBorders/>
          </w:tcPr>
          <w:p w14:paraId="F4A61C72">
            <w:pPr>
              <w:pStyle w:val="style4098"/>
              <w:jc w:val="left"/>
              <w:rPr/>
            </w:pPr>
            <w:r>
              <w:t>技术控制</w:t>
            </w:r>
          </w:p>
        </w:tc>
      </w:tr>
      <w:tr w14:paraId="D469CB30">
        <w:tblPrEx/>
        <w:trPr/>
        <w:tc>
          <w:tcPr>
            <w:tcW w:w="0" w:type="auto"/>
            <w:tcBorders/>
          </w:tcPr>
          <w:p w14:paraId="6E26CC45">
            <w:pPr>
              <w:pStyle w:val="style4098"/>
              <w:jc w:val="left"/>
              <w:rPr/>
            </w:pPr>
            <w:r>
              <w:t>8.1.3.2 身份鉴别</w:t>
            </w:r>
          </w:p>
        </w:tc>
        <w:tc>
          <w:tcPr>
            <w:tcW w:w="0" w:type="auto"/>
            <w:tcBorders/>
          </w:tcPr>
          <w:p w14:paraId="700CA8BC">
            <w:pPr>
              <w:pStyle w:val="style4098"/>
              <w:jc w:val="left"/>
              <w:rPr/>
            </w:pPr>
            <w:r>
              <w:t>容器实例访问的身份标识与鉴别</w:t>
            </w:r>
          </w:p>
        </w:tc>
        <w:tc>
          <w:tcPr>
            <w:tcW w:w="0" w:type="auto"/>
            <w:tcBorders/>
          </w:tcPr>
          <w:p w14:paraId="4BC8C36F">
            <w:pPr>
              <w:pStyle w:val="style4098"/>
              <w:jc w:val="left"/>
              <w:rPr/>
            </w:pPr>
            <w:r>
              <w:t>RBAC + OIDC/LDAP 集成 + mTLS</w:t>
            </w:r>
          </w:p>
        </w:tc>
        <w:tc>
          <w:tcPr>
            <w:tcW w:w="0" w:type="auto"/>
            <w:tcBorders/>
          </w:tcPr>
          <w:p w14:paraId="5095AC01">
            <w:pPr>
              <w:pStyle w:val="style4098"/>
              <w:jc w:val="left"/>
              <w:rPr/>
            </w:pPr>
            <w:r>
              <w:t>K8s RBAC、SPIFFE/SPIRE</w:t>
            </w:r>
          </w:p>
        </w:tc>
      </w:tr>
      <w:tr w14:paraId="6B793573">
        <w:tblPrEx/>
        <w:trPr/>
        <w:tc>
          <w:tcPr>
            <w:tcW w:w="0" w:type="auto"/>
            <w:tcBorders/>
          </w:tcPr>
          <w:p w14:paraId="60C58429">
            <w:pPr>
              <w:pStyle w:val="style4098"/>
              <w:jc w:val="left"/>
              <w:rPr/>
            </w:pPr>
            <w:r>
              <w:t>8.1.3.3 访问控制</w:t>
            </w:r>
          </w:p>
        </w:tc>
        <w:tc>
          <w:tcPr>
            <w:tcW w:w="0" w:type="auto"/>
            <w:tcBorders/>
          </w:tcPr>
          <w:p w14:paraId="0C5B315C">
            <w:pPr>
              <w:pStyle w:val="style4098"/>
              <w:jc w:val="left"/>
              <w:rPr/>
            </w:pPr>
            <w:r>
              <w:t>细粒度资源访问控制</w:t>
            </w:r>
          </w:p>
        </w:tc>
        <w:tc>
          <w:tcPr>
            <w:tcW w:w="0" w:type="auto"/>
            <w:tcBorders/>
          </w:tcPr>
          <w:p w14:paraId="47F0C04B">
            <w:pPr>
              <w:pStyle w:val="style4098"/>
              <w:jc w:val="left"/>
              <w:rPr/>
            </w:pPr>
            <w:r>
              <w:t>Namespace 隔离 + RBAC + ResourceQuota</w:t>
            </w:r>
          </w:p>
        </w:tc>
        <w:tc>
          <w:tcPr>
            <w:tcW w:w="0" w:type="auto"/>
            <w:tcBorders/>
          </w:tcPr>
          <w:p w14:paraId="9B5D3101">
            <w:pPr>
              <w:pStyle w:val="style4098"/>
              <w:jc w:val="left"/>
              <w:rPr/>
            </w:pPr>
            <w:r>
              <w:t>NetworkPolicy、LimitRange</w:t>
            </w:r>
          </w:p>
        </w:tc>
      </w:tr>
      <w:tr w14:paraId="CF3A622F">
        <w:tblPrEx/>
        <w:trPr/>
        <w:tc>
          <w:tcPr>
            <w:tcW w:w="0" w:type="auto"/>
            <w:tcBorders/>
          </w:tcPr>
          <w:p w14:paraId="92BF82FE">
            <w:pPr>
              <w:pStyle w:val="style4098"/>
              <w:jc w:val="left"/>
              <w:rPr/>
            </w:pPr>
            <w:r>
              <w:t>8.1.4.2 入侵防范</w:t>
            </w:r>
          </w:p>
        </w:tc>
        <w:tc>
          <w:tcPr>
            <w:tcW w:w="0" w:type="auto"/>
            <w:tcBorders/>
          </w:tcPr>
          <w:p w14:paraId="D9085104">
            <w:pPr>
              <w:pStyle w:val="style4098"/>
              <w:jc w:val="left"/>
              <w:rPr/>
            </w:pPr>
            <w:r>
              <w:t>检测重要节点入侵行为</w:t>
            </w:r>
          </w:p>
        </w:tc>
        <w:tc>
          <w:tcPr>
            <w:tcW w:w="0" w:type="auto"/>
            <w:tcBorders/>
          </w:tcPr>
          <w:p w14:paraId="78E6C5DB">
            <w:pPr>
              <w:pStyle w:val="style4098"/>
              <w:jc w:val="left"/>
              <w:rPr/>
            </w:pPr>
            <w:r>
              <w:t>运行时安全监控（Falco/Tetragon）+ 审计日志</w:t>
            </w:r>
          </w:p>
        </w:tc>
        <w:tc>
          <w:tcPr>
            <w:tcW w:w="0" w:type="auto"/>
            <w:tcBorders/>
          </w:tcPr>
          <w:p w14:paraId="29CC33E9">
            <w:pPr>
              <w:pStyle w:val="style4098"/>
              <w:jc w:val="left"/>
              <w:rPr/>
            </w:pPr>
            <w:r>
              <w:t>seccomp、LSM、审计策略</w:t>
            </w:r>
          </w:p>
        </w:tc>
      </w:tr>
      <w:tr w14:paraId="1F62A2C0">
        <w:tblPrEx/>
        <w:trPr/>
        <w:tc>
          <w:tcPr>
            <w:tcW w:w="0" w:type="auto"/>
            <w:tcBorders/>
          </w:tcPr>
          <w:p w14:paraId="1005BE6F">
            <w:pPr>
              <w:pStyle w:val="style4098"/>
              <w:jc w:val="left"/>
              <w:rPr/>
            </w:pPr>
            <w:r>
              <w:t>8.1.5.2 可信验证</w:t>
            </w:r>
          </w:p>
        </w:tc>
        <w:tc>
          <w:tcPr>
            <w:tcW w:w="0" w:type="auto"/>
            <w:tcBorders/>
          </w:tcPr>
          <w:p w14:paraId="45B7332D">
            <w:pPr>
              <w:pStyle w:val="style4098"/>
              <w:jc w:val="left"/>
              <w:rPr/>
            </w:pPr>
            <w:r>
              <w:t>重要可执行程序的完整性校验</w:t>
            </w:r>
          </w:p>
        </w:tc>
        <w:tc>
          <w:tcPr>
            <w:tcW w:w="0" w:type="auto"/>
            <w:tcBorders/>
          </w:tcPr>
          <w:p w14:paraId="F29C2FEB">
            <w:pPr>
              <w:pStyle w:val="style4098"/>
              <w:jc w:val="left"/>
              <w:rPr/>
            </w:pPr>
            <w:r>
              <w:t>镜像签名（cosign）+ SBOM 验证 + 远程证明</w:t>
            </w:r>
          </w:p>
        </w:tc>
        <w:tc>
          <w:tcPr>
            <w:tcW w:w="0" w:type="auto"/>
            <w:tcBorders/>
          </w:tcPr>
          <w:p w14:paraId="390E3DB1">
            <w:pPr>
              <w:pStyle w:val="style4098"/>
              <w:jc w:val="left"/>
              <w:rPr/>
            </w:pPr>
            <w:r>
              <w:t>CoCo Trustee、镜像哈希校验</w:t>
            </w:r>
          </w:p>
        </w:tc>
      </w:tr>
      <w:tr w14:paraId="089923E7">
        <w:tblPrEx/>
        <w:trPr/>
        <w:tc>
          <w:tcPr>
            <w:tcW w:w="0" w:type="auto"/>
            <w:tcBorders/>
          </w:tcPr>
          <w:p w14:paraId="7C33FCB9">
            <w:pPr>
              <w:pStyle w:val="style4098"/>
              <w:jc w:val="left"/>
              <w:rPr/>
            </w:pPr>
            <w:r>
              <w:t>访问控制 e)</w:t>
            </w:r>
          </w:p>
        </w:tc>
        <w:tc>
          <w:tcPr>
            <w:tcW w:w="0" w:type="auto"/>
            <w:tcBorders/>
          </w:tcPr>
          <w:p w14:paraId="24C5EFCB">
            <w:pPr>
              <w:pStyle w:val="style4098"/>
              <w:jc w:val="left"/>
              <w:rPr/>
            </w:pPr>
            <w:r>
              <w:t>安全容器运行时的内核级强隔离</w:t>
            </w:r>
          </w:p>
        </w:tc>
        <w:tc>
          <w:tcPr>
            <w:tcW w:w="0" w:type="auto"/>
            <w:tcBorders/>
          </w:tcPr>
          <w:p w14:paraId="905C785A">
            <w:pPr>
              <w:pStyle w:val="style4098"/>
              <w:jc w:val="left"/>
              <w:rPr/>
            </w:pPr>
            <w:r>
              <w:t>Kata/CubeSandbox MicroVM 独立 Guest 内核</w:t>
            </w:r>
          </w:p>
        </w:tc>
        <w:tc>
          <w:tcPr>
            <w:tcW w:w="0" w:type="auto"/>
            <w:tcBorders/>
          </w:tcPr>
          <w:p w14:paraId="4CCDBA7C">
            <w:pPr>
              <w:pStyle w:val="style4098"/>
              <w:jc w:val="left"/>
              <w:rPr/>
            </w:pPr>
            <w:r>
              <w:t>KVM 硬件虚拟化、裁剪 VMM</w:t>
            </w:r>
            <w:r>
              <w:t xml:space="preserve"> </w:t>
            </w:r>
            <w:r>
              <w:rPr/>
              <w:fldChar w:fldCharType="begin"/>
            </w:r>
            <w:r>
              <w:instrText>NOTEREF _Ref_Footnote_13 \h \f</w:instrText>
            </w:r>
            <w:r>
              <w:rPr/>
              <w:fldChar w:fldCharType="separate"/>
            </w:r>
            <w:r>
              <w:rPr>
                <w:vertAlign w:val="superscript"/>
              </w:rPr>
              <w:t>13</w:t>
            </w:r>
            <w:r>
              <w:rPr/>
              <w:fldChar w:fldCharType="end"/>
            </w:r>
            <w:r>
              <w:t xml:space="preserve"> </w:t>
            </w:r>
            <w:r>
              <w:rPr>
                <w:vertAlign w:val="superscript"/>
              </w:rPr>
              <w:footnoteReference w:id="177"/>
            </w:r>
          </w:p>
        </w:tc>
      </w:tr>
    </w:tbl>
    <w:p w14:paraId="7576130E">
      <w:pPr>
        <w:pStyle w:val="style66"/>
        <w:rPr/>
      </w:pPr>
      <w:r>
        <w:t>等保 2.0 明确要求使用安全容器运行时技术实现内核级别的强隔离</w:t>
      </w:r>
      <w:r>
        <w:t xml:space="preserve"> </w:t>
      </w:r>
      <w:r>
        <w:rPr/>
        <w:fldChar w:fldCharType="begin"/>
      </w:r>
      <w:r>
        <w:instrText>NOTEREF _Ref_Footnote_177 \h \f</w:instrText>
      </w:r>
      <w:r>
        <w:rPr/>
        <w:fldChar w:fldCharType="separate"/>
      </w:r>
      <w:r>
        <w:rPr>
          <w:vertAlign w:val="superscript"/>
        </w:rPr>
        <w:t>177</w:t>
      </w:r>
      <w:r>
        <w:rPr/>
        <w:fldChar w:fldCharType="end"/>
      </w:r>
      <w:r>
        <w:t>。CubeSandbox 基于 KVM MicroVM 的隔离级别在技术上等效于 Kata Containers，满足该条款要求。然而，技术满足不等于合规认证——平台仍需通过正式的等保测评机构认证，将”等保 2.0 开箱合规”作为产品化的核心卖点</w:t>
      </w:r>
      <w:r>
        <w:t xml:space="preserve"> </w:t>
      </w:r>
      <w:r>
        <w:rPr/>
        <w:fldChar w:fldCharType="begin"/>
      </w:r>
      <w:r>
        <w:instrText>NOTEREF _Ref_Footnote_13 \h \f</w:instrText>
      </w:r>
      <w:r>
        <w:rPr/>
        <w:fldChar w:fldCharType="separate"/>
      </w:r>
      <w:r>
        <w:rPr>
          <w:vertAlign w:val="superscript"/>
        </w:rPr>
        <w:t>13</w:t>
      </w:r>
      <w:r>
        <w:rPr/>
        <w:fldChar w:fldCharType="end"/>
      </w:r>
      <w:r>
        <w:t xml:space="preserve"> </w:t>
      </w:r>
      <w:r>
        <w:rPr>
          <w:vertAlign w:val="superscript"/>
        </w:rPr>
        <w:footnoteReference w:id="178"/>
      </w:r>
      <w:r>
        <w:t xml:space="preserve"> </w:t>
      </w:r>
      <w:r>
        <w:rPr>
          <w:vertAlign w:val="superscript"/>
        </w:rPr>
        <w:footnoteReference w:id="179"/>
      </w:r>
      <w:r>
        <w:t>。</w:t>
      </w:r>
    </w:p>
    <w:bookmarkStart w:id="111" w:name="多标准合规矩阵"/>
    <w:bookmarkEnd w:id="110"/>
    <w:p w14:paraId="C8A29874">
      <w:pPr>
        <w:pStyle w:val="style4104"/>
        <w:rPr/>
      </w:pPr>
      <w:r>
        <w:t>6.4.2 多标准合规矩阵</w:t>
      </w:r>
    </w:p>
    <w:p w14:paraId="F725E091">
      <w:pPr>
        <w:pStyle w:val="style4097"/>
        <w:rPr/>
      </w:pPr>
      <w:r>
        <w:t>平台安全架构需同时满足等保 2.0（中国）、PCI DSS（支付卡行业）、SOC 2（服务组织控制）与 GDPR（欧盟数据保护）四项合规标准的要求。下表展示各标准在容器安全领域的控制项映射与平台实现状态。</w:t>
      </w:r>
    </w:p>
    <w:tbl>
      <w:tblPr>
        <w:tblStyle w:val="style4111"/>
        <w:tblW w:w="5000" w:type="pct"/>
        <w:tblLook w:val="0020" w:firstRow="1" w:lastRow="0" w:firstColumn="0" w:lastColumn="0" w:noHBand="0" w:noVBand="0"/>
      </w:tblPr>
      <w:tblGrid>
        <w:gridCol w:w="458"/>
        <w:gridCol w:w="1718"/>
        <w:gridCol w:w="1200"/>
        <w:gridCol w:w="1627"/>
        <w:gridCol w:w="1274"/>
        <w:gridCol w:w="1804"/>
      </w:tblGrid>
      <w:tr w14:paraId="B0145D3F">
        <w:trPr>
          <w:tblHeader/>
        </w:trPr>
        <w:tc>
          <w:tcPr>
            <w:tcW w:w="0" w:type="auto"/>
            <w:tcBorders/>
          </w:tcPr>
          <w:p w14:paraId="EE47E09A">
            <w:pPr>
              <w:pStyle w:val="style4098"/>
              <w:jc w:val="left"/>
              <w:rPr/>
            </w:pPr>
            <w:r>
              <w:t>安全控制域</w:t>
            </w:r>
          </w:p>
        </w:tc>
        <w:tc>
          <w:tcPr>
            <w:tcW w:w="0" w:type="auto"/>
            <w:tcBorders/>
          </w:tcPr>
          <w:p w14:paraId="2A09F524">
            <w:pPr>
              <w:pStyle w:val="style4098"/>
              <w:jc w:val="left"/>
              <w:rPr/>
            </w:pPr>
            <w:r>
              <w:t>等保 2.0</w:t>
            </w:r>
          </w:p>
        </w:tc>
        <w:tc>
          <w:tcPr>
            <w:tcW w:w="0" w:type="auto"/>
            <w:tcBorders/>
          </w:tcPr>
          <w:p w14:paraId="15046351">
            <w:pPr>
              <w:pStyle w:val="style4098"/>
              <w:jc w:val="left"/>
              <w:rPr/>
            </w:pPr>
            <w:r>
              <w:t>PCI DSS 4.0</w:t>
            </w:r>
          </w:p>
        </w:tc>
        <w:tc>
          <w:tcPr>
            <w:tcW w:w="0" w:type="auto"/>
            <w:tcBorders/>
          </w:tcPr>
          <w:p w14:paraId="6F886E21">
            <w:pPr>
              <w:pStyle w:val="style4098"/>
              <w:jc w:val="left"/>
              <w:rPr/>
            </w:pPr>
            <w:r>
              <w:t>SOC 2 Type II</w:t>
            </w:r>
          </w:p>
        </w:tc>
        <w:tc>
          <w:tcPr>
            <w:tcW w:w="0" w:type="auto"/>
            <w:tcBorders/>
          </w:tcPr>
          <w:p w14:paraId="AD20697B">
            <w:pPr>
              <w:pStyle w:val="style4098"/>
              <w:jc w:val="left"/>
              <w:rPr/>
            </w:pPr>
            <w:r>
              <w:t>GDPR</w:t>
            </w:r>
          </w:p>
        </w:tc>
        <w:tc>
          <w:tcPr>
            <w:tcW w:w="0" w:type="auto"/>
            <w:tcBorders/>
          </w:tcPr>
          <w:p w14:paraId="FE034785">
            <w:pPr>
              <w:pStyle w:val="style4098"/>
              <w:jc w:val="left"/>
              <w:rPr/>
            </w:pPr>
            <w:r>
              <w:t>平台实现</w:t>
            </w:r>
          </w:p>
        </w:tc>
      </w:tr>
      <w:tr w14:paraId="C2FAE8FB">
        <w:tblPrEx/>
        <w:trPr/>
        <w:tc>
          <w:tcPr>
            <w:tcW w:w="0" w:type="auto"/>
            <w:tcBorders/>
          </w:tcPr>
          <w:p w14:paraId="45EB7C7C">
            <w:pPr>
              <w:pStyle w:val="style4098"/>
              <w:jc w:val="left"/>
              <w:rPr/>
            </w:pPr>
            <w:r>
              <w:rPr>
                <w:b/>
                <w:bCs/>
              </w:rPr>
              <w:t>身份与访问管理</w:t>
            </w:r>
          </w:p>
        </w:tc>
        <w:tc>
          <w:tcPr>
            <w:tcW w:w="0" w:type="auto"/>
            <w:tcBorders/>
          </w:tcPr>
          <w:p w14:paraId="BFB006D3">
            <w:pPr>
              <w:pStyle w:val="style4098"/>
              <w:jc w:val="left"/>
              <w:rPr/>
            </w:pPr>
            <w:r>
              <w:t>8.1.3.2/3.3 身份鉴别与访问控制</w:t>
            </w:r>
          </w:p>
        </w:tc>
        <w:tc>
          <w:tcPr>
            <w:tcW w:w="0" w:type="auto"/>
            <w:tcBorders/>
          </w:tcPr>
          <w:p w14:paraId="B7FEE18D">
            <w:pPr>
              <w:pStyle w:val="style4098"/>
              <w:jc w:val="left"/>
              <w:rPr/>
            </w:pPr>
            <w:r>
              <w:t>Req 7/8 访问控制与 MFA</w:t>
            </w:r>
          </w:p>
        </w:tc>
        <w:tc>
          <w:tcPr>
            <w:tcW w:w="0" w:type="auto"/>
            <w:tcBorders/>
          </w:tcPr>
          <w:p w14:paraId="BF41B259">
            <w:pPr>
              <w:pStyle w:val="style4098"/>
              <w:jc w:val="left"/>
              <w:rPr/>
            </w:pPr>
            <w:r>
              <w:t>CC6.1 逻辑访问控制</w:t>
            </w:r>
          </w:p>
        </w:tc>
        <w:tc>
          <w:tcPr>
            <w:tcW w:w="0" w:type="auto"/>
            <w:tcBorders/>
          </w:tcPr>
          <w:p w14:paraId="7EA9CAAA">
            <w:pPr>
              <w:pStyle w:val="style4098"/>
              <w:jc w:val="left"/>
              <w:rPr/>
            </w:pPr>
            <w:r>
              <w:t>Art.32 处理安全</w:t>
            </w:r>
          </w:p>
        </w:tc>
        <w:tc>
          <w:tcPr>
            <w:tcW w:w="0" w:type="auto"/>
            <w:tcBorders/>
          </w:tcPr>
          <w:p w14:paraId="E7BBF066">
            <w:pPr>
              <w:pStyle w:val="style4098"/>
              <w:jc w:val="left"/>
              <w:rPr/>
            </w:pPr>
            <w:r>
              <w:t>RBAC + OIDC + mTLS + SPIFFE</w:t>
            </w:r>
          </w:p>
        </w:tc>
      </w:tr>
      <w:tr w14:paraId="3111E3F1">
        <w:tblPrEx/>
        <w:trPr/>
        <w:tc>
          <w:tcPr>
            <w:tcW w:w="0" w:type="auto"/>
            <w:tcBorders/>
          </w:tcPr>
          <w:p w14:paraId="CC18D4FE">
            <w:pPr>
              <w:pStyle w:val="style4098"/>
              <w:jc w:val="left"/>
              <w:rPr/>
            </w:pPr>
            <w:r>
              <w:rPr>
                <w:b/>
                <w:bCs/>
              </w:rPr>
              <w:t>数据加密</w:t>
            </w:r>
          </w:p>
        </w:tc>
        <w:tc>
          <w:tcPr>
            <w:tcW w:w="0" w:type="auto"/>
            <w:tcBorders/>
          </w:tcPr>
          <w:p w14:paraId="5B32F2AC">
            <w:pPr>
              <w:pStyle w:val="style4098"/>
              <w:jc w:val="left"/>
              <w:rPr/>
            </w:pPr>
            <w:r>
              <w:t>8.1.4.8 数据传输保密性</w:t>
            </w:r>
          </w:p>
        </w:tc>
        <w:tc>
          <w:tcPr>
            <w:tcW w:w="0" w:type="auto"/>
            <w:tcBorders/>
          </w:tcPr>
          <w:p w14:paraId="44FA3ABE">
            <w:pPr>
              <w:pStyle w:val="style4098"/>
              <w:jc w:val="left"/>
              <w:rPr/>
            </w:pPr>
            <w:r>
              <w:t>Req 4.1 传输中加密</w:t>
            </w:r>
          </w:p>
        </w:tc>
        <w:tc>
          <w:tcPr>
            <w:tcW w:w="0" w:type="auto"/>
            <w:tcBorders/>
          </w:tcPr>
          <w:p w14:paraId="8EDD7A1D">
            <w:pPr>
              <w:pStyle w:val="style4098"/>
              <w:jc w:val="left"/>
              <w:rPr/>
            </w:pPr>
            <w:r>
              <w:t>CC6.7 加密使用</w:t>
            </w:r>
          </w:p>
        </w:tc>
        <w:tc>
          <w:tcPr>
            <w:tcW w:w="0" w:type="auto"/>
            <w:tcBorders/>
          </w:tcPr>
          <w:p w14:paraId="4EC24F1D">
            <w:pPr>
              <w:pStyle w:val="style4098"/>
              <w:jc w:val="left"/>
              <w:rPr/>
            </w:pPr>
            <w:r>
              <w:t>Art.32 加密措施</w:t>
            </w:r>
          </w:p>
        </w:tc>
        <w:tc>
          <w:tcPr>
            <w:tcW w:w="0" w:type="auto"/>
            <w:tcBorders/>
          </w:tcPr>
          <w:p w14:paraId="DB3DD504">
            <w:pPr>
              <w:pStyle w:val="style4098"/>
              <w:jc w:val="left"/>
              <w:rPr/>
            </w:pPr>
            <w:r>
              <w:t>mTLS (东西向) + LUKS (静态) + TEE (内存)</w:t>
            </w:r>
          </w:p>
        </w:tc>
      </w:tr>
      <w:tr w14:paraId="4FD3ED3B">
        <w:tblPrEx/>
        <w:trPr/>
        <w:tc>
          <w:tcPr>
            <w:tcW w:w="0" w:type="auto"/>
            <w:tcBorders/>
          </w:tcPr>
          <w:p w14:paraId="D770AB33">
            <w:pPr>
              <w:pStyle w:val="style4098"/>
              <w:jc w:val="left"/>
              <w:rPr/>
            </w:pPr>
            <w:r>
              <w:rPr>
                <w:b/>
                <w:bCs/>
              </w:rPr>
              <w:t>网络隔离</w:t>
            </w:r>
          </w:p>
        </w:tc>
        <w:tc>
          <w:tcPr>
            <w:tcW w:w="0" w:type="auto"/>
            <w:tcBorders/>
          </w:tcPr>
          <w:p w14:paraId="09C341F9">
            <w:pPr>
              <w:pStyle w:val="style4098"/>
              <w:jc w:val="left"/>
              <w:rPr/>
            </w:pPr>
            <w:r>
              <w:t>8.1.4.4 边界防护</w:t>
            </w:r>
          </w:p>
        </w:tc>
        <w:tc>
          <w:tcPr>
            <w:tcW w:w="0" w:type="auto"/>
            <w:tcBorders/>
          </w:tcPr>
          <w:p w14:paraId="C569F58F">
            <w:pPr>
              <w:pStyle w:val="style4098"/>
              <w:jc w:val="left"/>
              <w:rPr/>
            </w:pPr>
            <w:r>
              <w:t>Req 1.2 网络微分段</w:t>
            </w:r>
          </w:p>
        </w:tc>
        <w:tc>
          <w:tcPr>
            <w:tcW w:w="0" w:type="auto"/>
            <w:tcBorders/>
          </w:tcPr>
          <w:p w14:paraId="2D7459DA">
            <w:pPr>
              <w:pStyle w:val="style4098"/>
              <w:jc w:val="left"/>
              <w:rPr/>
            </w:pPr>
            <w:r>
              <w:t>CC6.6 逻辑隔离</w:t>
            </w:r>
          </w:p>
        </w:tc>
        <w:tc>
          <w:tcPr>
            <w:tcW w:w="0" w:type="auto"/>
            <w:tcBorders/>
          </w:tcPr>
          <w:p w14:paraId="B671CD0E">
            <w:pPr>
              <w:pStyle w:val="style4098"/>
              <w:jc w:val="left"/>
              <w:rPr/>
            </w:pPr>
            <w:r>
              <w:t>Art.32 网络安全性</w:t>
            </w:r>
          </w:p>
        </w:tc>
        <w:tc>
          <w:tcPr>
            <w:tcW w:w="0" w:type="auto"/>
            <w:tcBorders/>
          </w:tcPr>
          <w:p w14:paraId="845A4D8F">
            <w:pPr>
              <w:pStyle w:val="style4098"/>
              <w:jc w:val="left"/>
              <w:rPr/>
            </w:pPr>
            <w:r>
              <w:t>eBPF/XDP + NetworkPolicy + OVN</w:t>
            </w:r>
          </w:p>
        </w:tc>
      </w:tr>
      <w:tr w14:paraId="62D460A1">
        <w:tblPrEx/>
        <w:trPr/>
        <w:tc>
          <w:tcPr>
            <w:tcW w:w="0" w:type="auto"/>
            <w:tcBorders/>
          </w:tcPr>
          <w:p w14:paraId="12536EED">
            <w:pPr>
              <w:pStyle w:val="style4098"/>
              <w:jc w:val="left"/>
              <w:rPr/>
            </w:pPr>
            <w:r>
              <w:rPr>
                <w:b/>
                <w:bCs/>
              </w:rPr>
              <w:t>漏洞管理</w:t>
            </w:r>
          </w:p>
        </w:tc>
        <w:tc>
          <w:tcPr>
            <w:tcW w:w="0" w:type="auto"/>
            <w:tcBorders/>
          </w:tcPr>
          <w:p w14:paraId="F8FE018B">
            <w:pPr>
              <w:pStyle w:val="style4098"/>
              <w:jc w:val="left"/>
              <w:rPr/>
            </w:pPr>
            <w:r>
              <w:t>8.1.4.3 恶意代码防护</w:t>
            </w:r>
          </w:p>
        </w:tc>
        <w:tc>
          <w:tcPr>
            <w:tcW w:w="0" w:type="auto"/>
            <w:tcBorders/>
          </w:tcPr>
          <w:p w14:paraId="2F201E85">
            <w:pPr>
              <w:pStyle w:val="style4098"/>
              <w:jc w:val="left"/>
              <w:rPr/>
            </w:pPr>
            <w:r>
              <w:t>Req 6.2/6.3 漏洞扫描与补丁</w:t>
            </w:r>
          </w:p>
        </w:tc>
        <w:tc>
          <w:tcPr>
            <w:tcW w:w="0" w:type="auto"/>
            <w:tcBorders/>
          </w:tcPr>
          <w:p w14:paraId="ABB441D6">
            <w:pPr>
              <w:pStyle w:val="style4098"/>
              <w:jc w:val="left"/>
              <w:rPr/>
            </w:pPr>
            <w:r>
              <w:t>CC7.1 漏洞检测</w:t>
            </w:r>
          </w:p>
        </w:tc>
        <w:tc>
          <w:tcPr>
            <w:tcW w:w="0" w:type="auto"/>
            <w:tcBorders/>
          </w:tcPr>
          <w:p w14:paraId="41E4BB45">
            <w:pPr>
              <w:pStyle w:val="style4098"/>
              <w:jc w:val="left"/>
              <w:rPr/>
            </w:pPr>
            <w:r>
              <w:t>Art.32 安全流程</w:t>
            </w:r>
          </w:p>
        </w:tc>
        <w:tc>
          <w:tcPr>
            <w:tcW w:w="0" w:type="auto"/>
            <w:tcBorders/>
          </w:tcPr>
          <w:p w14:paraId="C565DCEF">
            <w:pPr>
              <w:pStyle w:val="style4098"/>
              <w:jc w:val="left"/>
              <w:rPr/>
            </w:pPr>
            <w:r>
              <w:t>镜像扫描 (Trivy/Snyk) + 运行时检测 (Falco)</w:t>
            </w:r>
          </w:p>
        </w:tc>
      </w:tr>
      <w:tr w14:paraId="43FF712D">
        <w:tblPrEx/>
        <w:trPr/>
        <w:tc>
          <w:tcPr>
            <w:tcW w:w="0" w:type="auto"/>
            <w:tcBorders/>
          </w:tcPr>
          <w:p w14:paraId="9BEF1F28">
            <w:pPr>
              <w:pStyle w:val="style4098"/>
              <w:jc w:val="left"/>
              <w:rPr/>
            </w:pPr>
            <w:r>
              <w:rPr>
                <w:b/>
                <w:bCs/>
              </w:rPr>
              <w:t>审计与监控</w:t>
            </w:r>
          </w:p>
        </w:tc>
        <w:tc>
          <w:tcPr>
            <w:tcW w:w="0" w:type="auto"/>
            <w:tcBorders/>
          </w:tcPr>
          <w:p w14:paraId="5F3F1674">
            <w:pPr>
              <w:pStyle w:val="style4098"/>
              <w:jc w:val="left"/>
              <w:rPr/>
            </w:pPr>
            <w:r>
              <w:t>8.1.4.2/8.1.5.4 入侵防范与审计</w:t>
            </w:r>
          </w:p>
        </w:tc>
        <w:tc>
          <w:tcPr>
            <w:tcW w:w="0" w:type="auto"/>
            <w:tcBorders/>
          </w:tcPr>
          <w:p w14:paraId="51637B2B">
            <w:pPr>
              <w:pStyle w:val="style4098"/>
              <w:jc w:val="left"/>
              <w:rPr/>
            </w:pPr>
            <w:r>
              <w:t>Req 10.2/10.3 审计日志</w:t>
            </w:r>
          </w:p>
        </w:tc>
        <w:tc>
          <w:tcPr>
            <w:tcW w:w="0" w:type="auto"/>
            <w:tcBorders/>
          </w:tcPr>
          <w:p w14:paraId="95F8CC9A">
            <w:pPr>
              <w:pStyle w:val="style4098"/>
              <w:jc w:val="left"/>
              <w:rPr/>
            </w:pPr>
            <w:r>
              <w:t>CC7.2 系统监控</w:t>
            </w:r>
          </w:p>
        </w:tc>
        <w:tc>
          <w:tcPr>
            <w:tcW w:w="0" w:type="auto"/>
            <w:tcBorders/>
          </w:tcPr>
          <w:p w14:paraId="8F7246EC">
            <w:pPr>
              <w:pStyle w:val="style4098"/>
              <w:jc w:val="left"/>
              <w:rPr/>
            </w:pPr>
            <w:r>
              <w:t>Art.33 泄露通知</w:t>
            </w:r>
          </w:p>
        </w:tc>
        <w:tc>
          <w:tcPr>
            <w:tcW w:w="0" w:type="auto"/>
            <w:tcBorders/>
          </w:tcPr>
          <w:p w14:paraId="2683F8AB">
            <w:pPr>
              <w:pStyle w:val="style4098"/>
              <w:jc w:val="left"/>
              <w:rPr/>
            </w:pPr>
            <w:r>
              <w:t>Auditd + Falco + SIEM 集成</w:t>
            </w:r>
          </w:p>
        </w:tc>
      </w:tr>
      <w:tr w14:paraId="660363E9">
        <w:tblPrEx/>
        <w:trPr/>
        <w:tc>
          <w:tcPr>
            <w:tcW w:w="0" w:type="auto"/>
            <w:tcBorders/>
          </w:tcPr>
          <w:p w14:paraId="A00DB4A3">
            <w:pPr>
              <w:pStyle w:val="style4098"/>
              <w:jc w:val="left"/>
              <w:rPr/>
            </w:pPr>
            <w:r>
              <w:rPr>
                <w:b/>
                <w:bCs/>
              </w:rPr>
              <w:t>运行时隔离</w:t>
            </w:r>
          </w:p>
        </w:tc>
        <w:tc>
          <w:tcPr>
            <w:tcW w:w="0" w:type="auto"/>
            <w:tcBorders/>
          </w:tcPr>
          <w:p w14:paraId="72A8DDEB">
            <w:pPr>
              <w:pStyle w:val="style4098"/>
              <w:jc w:val="left"/>
              <w:rPr/>
            </w:pPr>
            <w:r>
              <w:t>访问控制 e) 内核级强隔离</w:t>
            </w:r>
          </w:p>
        </w:tc>
        <w:tc>
          <w:tcPr>
            <w:tcW w:w="0" w:type="auto"/>
            <w:tcBorders/>
          </w:tcPr>
          <w:p w14:paraId="BBE621A6">
            <w:pPr>
              <w:pStyle w:val="style4098"/>
              <w:jc w:val="left"/>
              <w:rPr/>
            </w:pPr>
            <w:r>
              <w:t>Req 2.1 系统加固</w:t>
            </w:r>
          </w:p>
        </w:tc>
        <w:tc>
          <w:tcPr>
            <w:tcW w:w="0" w:type="auto"/>
            <w:tcBorders/>
          </w:tcPr>
          <w:p w14:paraId="1F524EAA">
            <w:pPr>
              <w:pStyle w:val="style4098"/>
              <w:jc w:val="left"/>
              <w:rPr/>
            </w:pPr>
            <w:r>
              <w:t>CC6.1 隔离机制</w:t>
            </w:r>
          </w:p>
        </w:tc>
        <w:tc>
          <w:tcPr>
            <w:tcW w:w="0" w:type="auto"/>
            <w:tcBorders/>
          </w:tcPr>
          <w:p w14:paraId="A5C4F033">
            <w:pPr>
              <w:pStyle w:val="style4098"/>
              <w:jc w:val="left"/>
              <w:rPr/>
            </w:pPr>
            <w:r>
              <w:t>Art.32 隔离措施</w:t>
            </w:r>
          </w:p>
        </w:tc>
        <w:tc>
          <w:tcPr>
            <w:tcW w:w="0" w:type="auto"/>
            <w:tcBorders/>
          </w:tcPr>
          <w:p w14:paraId="C3B1A815">
            <w:pPr>
              <w:pStyle w:val="style4098"/>
              <w:jc w:val="left"/>
              <w:rPr/>
            </w:pPr>
            <w:r>
              <w:t>MicroVM (KVM) + seccomp + LSM</w:t>
            </w:r>
          </w:p>
        </w:tc>
      </w:tr>
      <w:tr w14:paraId="A13E0B6A">
        <w:tblPrEx/>
        <w:trPr/>
        <w:tc>
          <w:tcPr>
            <w:tcW w:w="0" w:type="auto"/>
            <w:tcBorders/>
          </w:tcPr>
          <w:p w14:paraId="AEB07598">
            <w:pPr>
              <w:pStyle w:val="style4098"/>
              <w:jc w:val="left"/>
              <w:rPr/>
            </w:pPr>
            <w:r>
              <w:rPr>
                <w:b/>
                <w:bCs/>
              </w:rPr>
              <w:t>密钥管理</w:t>
            </w:r>
          </w:p>
        </w:tc>
        <w:tc>
          <w:tcPr>
            <w:tcW w:w="0" w:type="auto"/>
            <w:tcBorders/>
          </w:tcPr>
          <w:p w14:paraId="E6FF4507">
            <w:pPr>
              <w:pStyle w:val="style4098"/>
              <w:jc w:val="left"/>
              <w:rPr/>
            </w:pPr>
            <w:r>
              <w:t>8.1.5.2 可信验证</w:t>
            </w:r>
          </w:p>
        </w:tc>
        <w:tc>
          <w:tcPr>
            <w:tcW w:w="0" w:type="auto"/>
            <w:tcBorders/>
          </w:tcPr>
          <w:p w14:paraId="A1311D95">
            <w:pPr>
              <w:pStyle w:val="style4098"/>
              <w:jc w:val="left"/>
              <w:rPr/>
            </w:pPr>
            <w:r>
              <w:t>Req 3.6 密钥管理</w:t>
            </w:r>
          </w:p>
        </w:tc>
        <w:tc>
          <w:tcPr>
            <w:tcW w:w="0" w:type="auto"/>
            <w:tcBorders/>
          </w:tcPr>
          <w:p w14:paraId="BF6D99BB">
            <w:pPr>
              <w:pStyle w:val="style4098"/>
              <w:jc w:val="left"/>
              <w:rPr/>
            </w:pPr>
            <w:r>
              <w:t>CC6.8 密钥控制</w:t>
            </w:r>
          </w:p>
        </w:tc>
        <w:tc>
          <w:tcPr>
            <w:tcW w:w="0" w:type="auto"/>
            <w:tcBorders/>
          </w:tcPr>
          <w:p w14:paraId="6F1CC464">
            <w:pPr>
              <w:pStyle w:val="style4098"/>
              <w:jc w:val="left"/>
              <w:rPr/>
            </w:pPr>
            <w:r>
              <w:t>Art.32 密钥安全</w:t>
            </w:r>
          </w:p>
        </w:tc>
        <w:tc>
          <w:tcPr>
            <w:tcW w:w="0" w:type="auto"/>
            <w:tcBorders/>
          </w:tcPr>
          <w:p w14:paraId="7F7BE351">
            <w:pPr>
              <w:pStyle w:val="style4098"/>
              <w:jc w:val="left"/>
              <w:rPr/>
            </w:pPr>
            <w:r>
              <w:t>Trustee/KBS + HashiCorp Vault</w:t>
            </w:r>
          </w:p>
        </w:tc>
      </w:tr>
      <w:tr w14:paraId="88EC68AF">
        <w:tblPrEx/>
        <w:trPr/>
        <w:tc>
          <w:tcPr>
            <w:tcW w:w="0" w:type="auto"/>
            <w:tcBorders/>
          </w:tcPr>
          <w:p w14:paraId="B282E889">
            <w:pPr>
              <w:pStyle w:val="style4098"/>
              <w:jc w:val="left"/>
              <w:rPr/>
            </w:pPr>
            <w:r>
              <w:rPr>
                <w:b/>
                <w:bCs/>
              </w:rPr>
              <w:t>事件响应</w:t>
            </w:r>
          </w:p>
        </w:tc>
        <w:tc>
          <w:tcPr>
            <w:tcW w:w="0" w:type="auto"/>
            <w:tcBorders/>
          </w:tcPr>
          <w:p w14:paraId="EAB93502">
            <w:pPr>
              <w:pStyle w:val="style4098"/>
              <w:jc w:val="left"/>
              <w:rPr/>
            </w:pPr>
            <w:r>
              <w:t>8.1.5.3/8.1.5.4 应急响应</w:t>
            </w:r>
          </w:p>
        </w:tc>
        <w:tc>
          <w:tcPr>
            <w:tcW w:w="0" w:type="auto"/>
            <w:tcBorders/>
          </w:tcPr>
          <w:p w14:paraId="C8050CC3">
            <w:pPr>
              <w:pStyle w:val="style4098"/>
              <w:jc w:val="left"/>
              <w:rPr/>
            </w:pPr>
            <w:r>
              <w:t>Req 12.10 事件响应</w:t>
            </w:r>
          </w:p>
        </w:tc>
        <w:tc>
          <w:tcPr>
            <w:tcW w:w="0" w:type="auto"/>
            <w:tcBorders/>
          </w:tcPr>
          <w:p w14:paraId="1F0692E0">
            <w:pPr>
              <w:pStyle w:val="style4098"/>
              <w:jc w:val="left"/>
              <w:rPr/>
            </w:pPr>
            <w:r>
              <w:t>CC7.3/CC7.4 事件处理</w:t>
            </w:r>
          </w:p>
        </w:tc>
        <w:tc>
          <w:tcPr>
            <w:tcW w:w="0" w:type="auto"/>
            <w:tcBorders/>
          </w:tcPr>
          <w:p w14:paraId="3C9F83C2">
            <w:pPr>
              <w:pStyle w:val="style4098"/>
              <w:jc w:val="left"/>
              <w:rPr/>
            </w:pPr>
            <w:r>
              <w:t>Art.33/34 通知义务</w:t>
            </w:r>
          </w:p>
        </w:tc>
        <w:tc>
          <w:tcPr>
            <w:tcW w:w="0" w:type="auto"/>
            <w:tcBorders/>
          </w:tcPr>
          <w:p w14:paraId="37D1B30E">
            <w:pPr>
              <w:pStyle w:val="style4098"/>
              <w:jc w:val="left"/>
              <w:rPr/>
            </w:pPr>
            <w:r>
              <w:t>SIEM/SOAR 集成 + 自动隔离</w:t>
            </w:r>
          </w:p>
        </w:tc>
      </w:tr>
    </w:tbl>
    <w:p w14:paraId="D2F3B9ED">
      <w:pPr>
        <w:pStyle w:val="style66"/>
        <w:rPr/>
      </w:pPr>
      <w:r>
        <w:t>上表揭示了一个跨合规标准的共同趋势：四项标准均将”运行时隔离”与”网络微分段”列为核心控制项，恰好对应平台基于 MicroVM + eBPF 的技术优势。等保 2.0 的独特要求是”内核级强隔离”——传统基于共享内核的 LXC 容器无法满足；PCI DSS 的独特要求是”持卡人数据环境（CDE）的网络微分段”——平台通过 OVN + Cilium 的 L3–L7 全覆盖网络策略实现；SOC 2 的独特要求是”30 天内修复高危漏洞”——需要镜像扫描与补丁管理流程的自动化；GDPR 的独特要求是”数据泄露 72 小时内通知”——需要运行时检测与事件响应的自动化集成</w:t>
      </w:r>
      <w:r>
        <w:t xml:space="preserve"> </w:t>
      </w:r>
      <w:r>
        <w:rPr/>
        <w:fldChar w:fldCharType="begin"/>
      </w:r>
      <w:r>
        <w:instrText>NOTEREF _Ref_Footnote_172 \h \f</w:instrText>
      </w:r>
      <w:r>
        <w:rPr/>
        <w:fldChar w:fldCharType="separate"/>
      </w:r>
      <w:r>
        <w:rPr>
          <w:vertAlign w:val="superscript"/>
        </w:rPr>
        <w:t>172</w:t>
      </w:r>
      <w:r>
        <w:rPr/>
        <w:fldChar w:fldCharType="end"/>
      </w:r>
      <w:r>
        <w:t xml:space="preserve"> </w:t>
      </w:r>
      <w:r>
        <w:rPr>
          <w:vertAlign w:val="superscript"/>
        </w:rPr>
        <w:footnoteReference w:id="180"/>
      </w:r>
      <w:r>
        <w:t>。</w:t>
      </w:r>
    </w:p>
    <w:p w14:paraId="82FD87F4">
      <w:pPr>
        <w:pStyle w:val="style66"/>
        <w:rPr/>
      </w:pPr>
      <w:r>
        <w:t>合规性的关键实施挑战在于，不同标准对同一控制项的验证方式存在差异。等保 2.0 依赖现场测评与技术检测工具，PCI DSS 依赖 QSA（Qualified Security Assessor）审计，SOC 2 依赖外部审计师的控制测试，GDPR 依赖监管机构的执法审查。平台的安全架构设计需确保控制措施的可审计性——每一项安全控制都应有对应的日志记录、配置证据与自动化检测报告，以支撑多标准下的合规证明。</w:t>
      </w:r>
    </w:p>
    <w:p w14:paraId="5D4C4C56">
      <w:pPr>
        <w:pStyle w:val="style0"/>
        <w:rPr/>
      </w:pPr>
      <w:r>
        <w:rPr/>
        <w:pict>
          <v:rect id="1041" stroked="t" style="margin-left:0.0pt;margin-top:0.0pt;width:0.0pt;height:1.5pt;mso-wrap-distance-left:0.0pt;mso-wrap-distance-right:0.0pt;visibility:visible;" o:hr="t" o:hralign="center" o:hrstd="t">
            <v:fill/>
          </v:rect>
        </w:pict>
      </w:r>
    </w:p>
    <w:bookmarkStart w:id="112" w:name="统一编排与管理"/>
    <w:bookmarkEnd w:id="111"/>
    <w:bookmarkEnd w:id="109"/>
    <w:bookmarkEnd w:id="96"/>
    <w:p w14:paraId="64C7624B">
      <w:pPr>
        <w:pStyle w:val="style4102"/>
        <w:rPr/>
      </w:pPr>
      <w:r>
        <w:t>7. 统一编排与管理</w:t>
      </w:r>
    </w:p>
    <w:p w14:paraId="6B7FD680">
      <w:pPr>
        <w:pStyle w:val="style4097"/>
        <w:rPr/>
      </w:pPr>
      <w:r>
        <w:t>容器与虚拟机（Virtual Machine, VM）的统一编排是云原生基础设施的核心挑战。传统方案将容器和VM分置于独立编排平面——容器由Kubernetes调度，VM由OpenStack Nova或Proxmox VE管理——导致运维复杂度倍增、资源调度孤岛与重复投资。本章基于Kubernetes + KubeVirt + RuntimeClass技术栈，设计覆盖容器、安全容器、极速沙箱和系统容器/VM的统一编排模型，并阐述集群管理、高可用与资源调度的完整方案。图7-1展示整体架构。</w:t>
      </w:r>
    </w:p>
    <w:p w14:paraId="09E052D0">
      <w:pPr>
        <w:pStyle w:val="style4118"/>
        <w:rPr/>
      </w:pPr>
      <w:r>
        <w:rPr/>
        <w:drawing>
          <wp:inline distL="0" distT="0" distB="0" distR="0">
            <wp:extent cx="5334000" cy="6678423"/>
            <wp:effectExtent l="0" t="0" r="0" b="0"/>
            <wp:docPr id="1042" name="Picture" descr="图7-1 CubeSandbox统一编排与管理架构"/>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a:blip r:embed="rId11" cstate="print"/>
                    <a:srcRect l="0" t="0" r="0" b="0"/>
                    <a:stretch/>
                  </pic:blipFill>
                  <pic:spPr>
                    <a:xfrm rot="0">
                      <a:off x="0" y="0"/>
                      <a:ext cx="5334000" cy="6678423"/>
                    </a:xfrm>
                    <a:prstGeom prst="rect"/>
                    <a:ln>
                      <a:noFill/>
                    </a:ln>
                  </pic:spPr>
                </pic:pic>
              </a:graphicData>
            </a:graphic>
          </wp:inline>
        </w:drawing>
      </w:r>
    </w:p>
    <w:p w14:paraId="3417A28A">
      <w:pPr>
        <w:pStyle w:val="style4116"/>
        <w:rPr/>
      </w:pPr>
      <w:r>
        <w:t>图7-1 CubeSandbox统一编排与管理架构</w:t>
      </w:r>
    </w:p>
    <w:p w14:paraId="32ECF750">
      <w:pPr>
        <w:pStyle w:val="style66"/>
        <w:rPr/>
      </w:pPr>
      <w:r>
        <w:rPr>
          <w:b/>
          <w:bCs/>
        </w:rPr>
        <w:t>图7-1 CubeSandbox统一编排与管理架构</w:t>
      </w:r>
      <w:r>
        <w:t>。架构自顶向下分为用户界面层、Kubernetes控制平面、KubeVirt虚拟化编排层、统一抽象与调度层、多运行时执行层、集群管理与高可用栈、资源调度与弹性伸缩层及基础设施层，通过声明式API和事件驱动机制协同，实现对runc、kata-clh、cube、incus四种运行时的统一编排。</w:t>
      </w:r>
    </w:p>
    <w:bookmarkStart w:id="113" w:name="统一编排模型"/>
    <w:p w14:paraId="19181C3E">
      <w:pPr>
        <w:pStyle w:val="style4103"/>
        <w:rPr/>
      </w:pPr>
      <w:r>
        <w:t>7.1 统一编排模型</w:t>
      </w:r>
    </w:p>
    <w:bookmarkStart w:id="114" w:name="kubernetes-kubevirt-编排"/>
    <w:p w14:paraId="DCA7EAFB">
      <w:pPr>
        <w:pStyle w:val="style4104"/>
        <w:rPr/>
      </w:pPr>
      <w:r>
        <w:t>7.1.1 Kubernetes + KubeVirt 编排</w:t>
      </w:r>
    </w:p>
    <w:p w14:paraId="EECEB319">
      <w:pPr>
        <w:pStyle w:val="style4097"/>
        <w:rPr/>
      </w:pPr>
      <w:r>
        <w:t>KubeVirt是当前最成熟的Kubernetes原生VM编排方案，通过自定义资源定义（Custom Resource Definition, CRD）将VM纳入Kubernetes管理体系，已有40余个生产级用户验证</w:t>
      </w:r>
      <w:r>
        <w:t xml:space="preserve"> </w:t>
      </w:r>
      <w:r>
        <w:rPr>
          <w:vertAlign w:val="superscript"/>
        </w:rPr>
        <w:footnoteReference w:id="181"/>
      </w:r>
      <w:r>
        <w:t>。核心组件包括：virt-api作为虚拟化API网关处理请求验证与路由</w:t>
      </w:r>
      <w:r>
        <w:t xml:space="preserve"> </w:t>
      </w:r>
      <w:r>
        <w:rPr/>
        <w:fldChar w:fldCharType="begin"/>
      </w:r>
      <w:r>
        <w:instrText>NOTEREF _Ref_Footnote_136 \h \f</w:instrText>
      </w:r>
      <w:r>
        <w:rPr/>
        <w:fldChar w:fldCharType="separate"/>
      </w:r>
      <w:r>
        <w:rPr>
          <w:vertAlign w:val="superscript"/>
        </w:rPr>
        <w:t>136</w:t>
      </w:r>
      <w:r>
        <w:rPr/>
        <w:fldChar w:fldCharType="end"/>
      </w:r>
      <w:r>
        <w:t xml:space="preserve"> </w:t>
      </w:r>
      <w:r>
        <w:rPr>
          <w:vertAlign w:val="superscript"/>
        </w:rPr>
        <w:footnoteReference w:id="182"/>
      </w:r>
      <w:r>
        <w:t>；virt-controller监视VirtualMachineInstance（VMI）对象状态，为每个VMI创建对应Pod并协调实时迁移</w:t>
      </w:r>
      <w:r>
        <w:t xml:space="preserve"> </w:t>
      </w:r>
      <w:r>
        <w:rPr/>
        <w:fldChar w:fldCharType="begin"/>
      </w:r>
      <w:r>
        <w:instrText>NOTEREF _Ref_Footnote_15 \h \f</w:instrText>
      </w:r>
      <w:r>
        <w:rPr/>
        <w:fldChar w:fldCharType="separate"/>
      </w:r>
      <w:r>
        <w:rPr>
          <w:vertAlign w:val="superscript"/>
        </w:rPr>
        <w:t>15</w:t>
      </w:r>
      <w:r>
        <w:rPr/>
        <w:fldChar w:fldCharType="end"/>
      </w:r>
      <w:r>
        <w:t xml:space="preserve"> </w:t>
      </w:r>
      <w:r>
        <w:rPr/>
        <w:fldChar w:fldCharType="begin"/>
      </w:r>
      <w:r>
        <w:instrText>NOTEREF _Ref_Footnote_89 \h \f</w:instrText>
      </w:r>
      <w:r>
        <w:rPr/>
        <w:fldChar w:fldCharType="separate"/>
      </w:r>
      <w:r>
        <w:rPr>
          <w:vertAlign w:val="superscript"/>
        </w:rPr>
        <w:t>89</w:t>
      </w:r>
      <w:r>
        <w:rPr/>
        <w:fldChar w:fldCharType="end"/>
      </w:r>
      <w:r>
        <w:t>；virt-handler以DaemonSet部署于每个节点，同步VMI规范到本地libvirt域</w:t>
      </w:r>
      <w:r>
        <w:t xml:space="preserve"> </w:t>
      </w:r>
      <w:r>
        <w:rPr/>
        <w:fldChar w:fldCharType="begin"/>
      </w:r>
      <w:r>
        <w:instrText>NOTEREF _Ref_Footnote_15 \h \f</w:instrText>
      </w:r>
      <w:r>
        <w:rPr/>
        <w:fldChar w:fldCharType="separate"/>
      </w:r>
      <w:r>
        <w:rPr>
          <w:vertAlign w:val="superscript"/>
        </w:rPr>
        <w:t>15</w:t>
      </w:r>
      <w:r>
        <w:rPr/>
        <w:fldChar w:fldCharType="end"/>
      </w:r>
      <w:r>
        <w:t xml:space="preserve"> </w:t>
      </w:r>
      <w:r>
        <w:rPr/>
        <w:fldChar w:fldCharType="begin"/>
      </w:r>
      <w:r>
        <w:instrText>NOTEREF _Ref_Footnote_89 \h \f</w:instrText>
      </w:r>
      <w:r>
        <w:rPr/>
        <w:fldChar w:fldCharType="separate"/>
      </w:r>
      <w:r>
        <w:rPr>
          <w:vertAlign w:val="superscript"/>
        </w:rPr>
        <w:t>89</w:t>
      </w:r>
      <w:r>
        <w:rPr/>
        <w:fldChar w:fldCharType="end"/>
      </w:r>
      <w:r>
        <w:t>；virt-launcher Pod提供隔离环境并通过libvirtd启动VMI进程</w:t>
      </w:r>
      <w:r>
        <w:t xml:space="preserve"> </w:t>
      </w:r>
      <w:r>
        <w:rPr/>
        <w:fldChar w:fldCharType="begin"/>
      </w:r>
      <w:r>
        <w:instrText>NOTEREF _Ref_Footnote_136 \h \f</w:instrText>
      </w:r>
      <w:r>
        <w:rPr/>
        <w:fldChar w:fldCharType="separate"/>
      </w:r>
      <w:r>
        <w:rPr>
          <w:vertAlign w:val="superscript"/>
        </w:rPr>
        <w:t>136</w:t>
      </w:r>
      <w:r>
        <w:rPr/>
        <w:fldChar w:fldCharType="end"/>
      </w:r>
      <w:r>
        <w:t>。</w:t>
      </w:r>
    </w:p>
    <w:p w14:paraId="31914523">
      <w:pPr>
        <w:pStyle w:val="style66"/>
        <w:rPr/>
      </w:pPr>
      <w:r>
        <w:t>KubeVirt通过四层CRD定义VM资源</w:t>
      </w:r>
      <w:r>
        <w:t xml:space="preserve"> </w:t>
      </w:r>
      <w:r>
        <w:rPr/>
        <w:fldChar w:fldCharType="begin"/>
      </w:r>
      <w:r>
        <w:instrText>NOTEREF _Ref_Footnote_15 \h \f</w:instrText>
      </w:r>
      <w:r>
        <w:rPr/>
        <w:fldChar w:fldCharType="separate"/>
      </w:r>
      <w:r>
        <w:rPr>
          <w:vertAlign w:val="superscript"/>
        </w:rPr>
        <w:t>15</w:t>
      </w:r>
      <w:r>
        <w:rPr/>
        <w:fldChar w:fldCharType="end"/>
      </w:r>
      <w:r>
        <w:t xml:space="preserve"> </w:t>
      </w:r>
      <w:r>
        <w:rPr/>
        <w:fldChar w:fldCharType="begin"/>
      </w:r>
      <w:r>
        <w:instrText>NOTEREF _Ref_Footnote_118 \h \f</w:instrText>
      </w:r>
      <w:r>
        <w:rPr/>
        <w:fldChar w:fldCharType="separate"/>
      </w:r>
      <w:r>
        <w:rPr>
          <w:vertAlign w:val="superscript"/>
        </w:rPr>
        <w:t>118</w:t>
      </w:r>
      <w:r>
        <w:rPr/>
        <w:fldChar w:fldCharType="end"/>
      </w:r>
      <w:r>
        <w:t xml:space="preserve"> </w:t>
      </w:r>
      <w:r>
        <w:rPr/>
        <w:fldChar w:fldCharType="begin"/>
      </w:r>
      <w:r>
        <w:instrText>NOTEREF _Ref_Footnote_53 \h \f</w:instrText>
      </w:r>
      <w:r>
        <w:rPr/>
        <w:fldChar w:fldCharType="separate"/>
      </w:r>
      <w:r>
        <w:rPr>
          <w:vertAlign w:val="superscript"/>
        </w:rPr>
        <w:t>53</w:t>
      </w:r>
      <w:r>
        <w:rPr/>
        <w:fldChar w:fldCharType="end"/>
      </w:r>
      <w:r>
        <w:t>：VMI是核心运行时对象（类比Pod），VM管理生命周期（类比StatefulSet），VMIRS确保指定数量VMI运行（类比ReplicaSet），DataVolume管理持久化存储（类比PVC）。VM与容器共享网络平面并支持Service和NetworkPolicy；存储通过PVC、containerDisk和CDI集成</w:t>
      </w:r>
      <w:r>
        <w:t xml:space="preserve"> </w:t>
      </w:r>
      <w:r>
        <w:rPr/>
        <w:fldChar w:fldCharType="begin"/>
      </w:r>
      <w:r>
        <w:instrText>NOTEREF _Ref_Footnote_181 \h \f</w:instrText>
      </w:r>
      <w:r>
        <w:rPr/>
        <w:fldChar w:fldCharType="separate"/>
      </w:r>
      <w:r>
        <w:rPr>
          <w:vertAlign w:val="superscript"/>
        </w:rPr>
        <w:t>181</w:t>
      </w:r>
      <w:r>
        <w:rPr/>
        <w:fldChar w:fldCharType="end"/>
      </w:r>
      <w:r>
        <w:t xml:space="preserve"> </w:t>
      </w:r>
      <w:r>
        <w:rPr>
          <w:vertAlign w:val="superscript"/>
        </w:rPr>
        <w:footnoteReference w:id="183"/>
      </w:r>
      <w:r>
        <w:t>。文件系统模式PVC须使用ReadWriteMany（RWX）才支持实时迁移</w:t>
      </w:r>
      <w:r>
        <w:t xml:space="preserve"> </w:t>
      </w:r>
      <w:r>
        <w:rPr/>
        <w:fldChar w:fldCharType="begin"/>
      </w:r>
      <w:r>
        <w:instrText>NOTEREF _Ref_Footnote_181 \h \f</w:instrText>
      </w:r>
      <w:r>
        <w:rPr/>
        <w:fldChar w:fldCharType="separate"/>
      </w:r>
      <w:r>
        <w:rPr>
          <w:vertAlign w:val="superscript"/>
        </w:rPr>
        <w:t>181</w:t>
      </w:r>
      <w:r>
        <w:rPr/>
        <w:fldChar w:fldCharType="end"/>
      </w:r>
      <w:r>
        <w:t>。统一编排中容器与VM采用统一YAML定义，virt-controller将VMI转换为带RuntimeClass标注的标准Pod进入Kubernetes调度流程</w:t>
      </w:r>
      <w:r>
        <w:t xml:space="preserve"> </w:t>
      </w:r>
      <w:r>
        <w:rPr/>
        <w:fldChar w:fldCharType="begin"/>
      </w:r>
      <w:r>
        <w:instrText>NOTEREF _Ref_Footnote_15 \h \f</w:instrText>
      </w:r>
      <w:r>
        <w:rPr/>
        <w:fldChar w:fldCharType="separate"/>
      </w:r>
      <w:r>
        <w:rPr>
          <w:vertAlign w:val="superscript"/>
        </w:rPr>
        <w:t>15</w:t>
      </w:r>
      <w:r>
        <w:rPr/>
        <w:fldChar w:fldCharType="end"/>
      </w:r>
      <w:r>
        <w:t>。</w:t>
      </w:r>
    </w:p>
    <w:bookmarkStart w:id="115" w:name="统一实例抽象"/>
    <w:bookmarkEnd w:id="114"/>
    <w:p w14:paraId="2CBB319B">
      <w:pPr>
        <w:pStyle w:val="style4104"/>
        <w:rPr/>
      </w:pPr>
      <w:r>
        <w:t>7.1.2 统一实例抽象</w:t>
      </w:r>
    </w:p>
    <w:p w14:paraId="80B8DBC6">
      <w:pPr>
        <w:pStyle w:val="style4097"/>
        <w:rPr/>
      </w:pPr>
      <w:r>
        <w:t>为跨越容器、VM和安全沙箱三种隔离形态，设计统一Instance CRD作为核心抽象，参考KubeVirt CRD层次与OpenNebula instance type设计</w:t>
      </w:r>
      <w:r>
        <w:t xml:space="preserve"> </w:t>
      </w:r>
      <w:r>
        <w:rPr/>
        <w:fldChar w:fldCharType="begin"/>
      </w:r>
      <w:r>
        <w:instrText>NOTEREF _Ref_Footnote_15 \h \f</w:instrText>
      </w:r>
      <w:r>
        <w:rPr/>
        <w:fldChar w:fldCharType="separate"/>
      </w:r>
      <w:r>
        <w:rPr>
          <w:vertAlign w:val="superscript"/>
        </w:rPr>
        <w:t>15</w:t>
      </w:r>
      <w:r>
        <w:rPr/>
        <w:fldChar w:fldCharType="end"/>
      </w:r>
      <w:r>
        <w:t xml:space="preserve"> </w:t>
      </w:r>
      <w:r>
        <w:rPr>
          <w:vertAlign w:val="superscript"/>
        </w:rPr>
        <w:footnoteReference w:id="184"/>
      </w:r>
      <w:r>
        <w:t>。CRD定义三层继承体系：顶层Instance基类包含所有实例共享的通用字段；中间层分为ContainerInstance、VMInstance和HybridInstance；底层细分为StandardContainer（runc标准容器）、SecureContainer（Kata/gVisor安全容器）、LightweightVM（Cloud Hypervisor轻量VM）、StandardVM（QEMU/KVM标准VM）等具体类型。</w:t>
      </w:r>
    </w:p>
    <w:p w14:paraId="E37EDADD">
      <w:pPr>
        <w:pStyle w:val="style66"/>
        <w:rPr/>
      </w:pPr>
      <w:r>
        <w:t>统一spec字段设计遵循”一次定义，多处复用”原则。resources段声明CPU、内存和GPU请求，GPU支持指定设备型号（如nvidia.com/H100_SXM5_80GB）和分配模式（passthrough/vgpu/MIG）</w:t>
      </w:r>
      <w:r>
        <w:rPr>
          <w:vertAlign w:val="superscript"/>
        </w:rPr>
        <w:footnoteReference w:id="185"/>
      </w:r>
      <w:r>
        <w:t xml:space="preserve"> </w:t>
      </w:r>
      <w:r>
        <w:rPr>
          <w:vertAlign w:val="superscript"/>
        </w:rPr>
        <w:footnoteReference w:id="186"/>
      </w:r>
      <w:r>
        <w:t>；storage段通过root和additionalVolumes描述根磁盘与数据卷，支持OCI镜像和VM镜像；network段定义多网卡配置，兼容masquerade、bridge、SR-IOV等类型；isolation段声明namespace/gvisor/vm隔离级别和机密计算开关；scaling段支持manual/auto/replica三种模式；migration段启用实时迁移并配置迁移策略（live-migration/cold-migration/none）。统一抽象使同一YAML通过切换runtime.class字段在四种运行时间无缝迁移。</w:t>
      </w:r>
    </w:p>
    <w:bookmarkStart w:id="116" w:name="runtimeclass-多态调度"/>
    <w:bookmarkEnd w:id="115"/>
    <w:p w14:paraId="88941F41">
      <w:pPr>
        <w:pStyle w:val="style4104"/>
        <w:rPr/>
      </w:pPr>
      <w:r>
        <w:t>7.1.3 RuntimeClass 多态调度</w:t>
      </w:r>
    </w:p>
    <w:p w14:paraId="143BEE9E">
      <w:pPr>
        <w:pStyle w:val="style4097"/>
        <w:rPr/>
      </w:pPr>
      <w:r>
        <w:t>RuntimeClass是Kubernetes选择容器运行时配置的标准机制，v1.20达到通用可用（General Availability, GA）状态</w:t>
      </w:r>
      <w:r>
        <w:t xml:space="preserve"> </w:t>
      </w:r>
      <w:r>
        <w:rPr/>
        <w:fldChar w:fldCharType="begin"/>
      </w:r>
      <w:r>
        <w:instrText>NOTEREF _Ref_Footnote_5 \h \f</w:instrText>
      </w:r>
      <w:r>
        <w:rPr/>
        <w:fldChar w:fldCharType="separate"/>
      </w:r>
      <w:r>
        <w:rPr>
          <w:vertAlign w:val="superscript"/>
        </w:rPr>
        <w:t>5</w:t>
      </w:r>
      <w:r>
        <w:rPr/>
        <w:fldChar w:fldCharType="end"/>
      </w:r>
      <w:r>
        <w:t>，通过容器运行时接口（Container Runtime Interface, CRI）传递runtime_handler使不同Pod进入匹配的运行时</w:t>
      </w:r>
      <w:r>
        <w:t xml:space="preserve"> </w:t>
      </w:r>
      <w:r>
        <w:rPr/>
        <w:fldChar w:fldCharType="begin"/>
      </w:r>
      <w:r>
        <w:instrText>NOTEREF _Ref_Footnote_7 \h \f</w:instrText>
      </w:r>
      <w:r>
        <w:rPr/>
        <w:fldChar w:fldCharType="separate"/>
      </w:r>
      <w:r>
        <w:rPr>
          <w:vertAlign w:val="superscript"/>
        </w:rPr>
        <w:t>7</w:t>
      </w:r>
      <w:r>
        <w:rPr/>
        <w:fldChar w:fldCharType="end"/>
      </w:r>
      <w:r>
        <w:t xml:space="preserve"> </w:t>
      </w:r>
      <w:r>
        <w:rPr/>
        <w:fldChar w:fldCharType="begin"/>
      </w:r>
      <w:r>
        <w:instrText>NOTEREF _Ref_Footnote_98 \h \f</w:instrText>
      </w:r>
      <w:r>
        <w:rPr/>
        <w:fldChar w:fldCharType="separate"/>
      </w:r>
      <w:r>
        <w:rPr>
          <w:vertAlign w:val="superscript"/>
        </w:rPr>
        <w:t>98</w:t>
      </w:r>
      <w:r>
        <w:rPr/>
        <w:fldChar w:fldCharType="end"/>
      </w:r>
      <w:r>
        <w:t>。四种RuntimeClass调度策略如表7-1所示。</w:t>
      </w:r>
    </w:p>
    <w:p w14:paraId="D327F509">
      <w:pPr>
        <w:pStyle w:val="style66"/>
        <w:rPr/>
      </w:pPr>
      <w:r>
        <w:rPr>
          <w:b/>
          <w:bCs/>
        </w:rPr>
        <w:t>表7-1 四种RuntimeClass调度策略对比</w:t>
      </w:r>
    </w:p>
    <w:tbl>
      <w:tblPr>
        <w:tblStyle w:val="style4111"/>
        <w:tblW w:w="5000" w:type="pct"/>
        <w:tblLook w:val="0020" w:firstRow="1" w:lastRow="0" w:firstColumn="0" w:lastColumn="0" w:noHBand="0" w:noVBand="0"/>
      </w:tblPr>
      <w:tblGrid>
        <w:gridCol w:w="1478"/>
        <w:gridCol w:w="1322"/>
        <w:gridCol w:w="1852"/>
        <w:gridCol w:w="1917"/>
        <w:gridCol w:w="1950"/>
      </w:tblGrid>
      <w:tr w14:paraId="3112DDD9">
        <w:trPr>
          <w:tblHeader/>
        </w:trPr>
        <w:tc>
          <w:tcPr>
            <w:tcW w:w="0" w:type="auto"/>
            <w:tcBorders/>
          </w:tcPr>
          <w:p w14:paraId="D09374C6">
            <w:pPr>
              <w:pStyle w:val="style4098"/>
              <w:jc w:val="left"/>
              <w:rPr/>
            </w:pPr>
            <w:r>
              <w:t>维度</w:t>
            </w:r>
          </w:p>
        </w:tc>
        <w:tc>
          <w:tcPr>
            <w:tcW w:w="0" w:type="auto"/>
            <w:tcBorders/>
          </w:tcPr>
          <w:p w14:paraId="D39E920A">
            <w:pPr>
              <w:pStyle w:val="style4098"/>
              <w:jc w:val="center"/>
              <w:rPr/>
            </w:pPr>
            <w:r>
              <w:t>runc（标准容器）</w:t>
            </w:r>
          </w:p>
        </w:tc>
        <w:tc>
          <w:tcPr>
            <w:tcW w:w="0" w:type="auto"/>
            <w:tcBorders/>
          </w:tcPr>
          <w:p w14:paraId="4F573A17">
            <w:pPr>
              <w:pStyle w:val="style4098"/>
              <w:jc w:val="center"/>
              <w:rPr/>
            </w:pPr>
            <w:r>
              <w:t>kata-clh（安全容器）</w:t>
            </w:r>
          </w:p>
        </w:tc>
        <w:tc>
          <w:tcPr>
            <w:tcW w:w="0" w:type="auto"/>
            <w:tcBorders/>
          </w:tcPr>
          <w:p w14:paraId="B1C60E63">
            <w:pPr>
              <w:pStyle w:val="style4098"/>
              <w:jc w:val="center"/>
              <w:rPr/>
            </w:pPr>
            <w:r>
              <w:t>cube（极速沙箱）</w:t>
            </w:r>
          </w:p>
        </w:tc>
        <w:tc>
          <w:tcPr>
            <w:tcW w:w="0" w:type="auto"/>
            <w:tcBorders/>
          </w:tcPr>
          <w:p w14:paraId="A72BEA16">
            <w:pPr>
              <w:pStyle w:val="style4098"/>
              <w:jc w:val="center"/>
              <w:rPr/>
            </w:pPr>
            <w:r>
              <w:t>incus（系统容器/VM）</w:t>
            </w:r>
          </w:p>
        </w:tc>
      </w:tr>
      <w:tr w14:paraId="5D63F389">
        <w:tblPrEx/>
        <w:trPr/>
        <w:tc>
          <w:tcPr>
            <w:tcW w:w="0" w:type="auto"/>
            <w:tcBorders/>
          </w:tcPr>
          <w:p w14:paraId="D4CF0B3D">
            <w:pPr>
              <w:pStyle w:val="style4098"/>
              <w:jc w:val="left"/>
              <w:rPr/>
            </w:pPr>
            <w:r>
              <w:t>处理器</w:t>
            </w:r>
          </w:p>
        </w:tc>
        <w:tc>
          <w:tcPr>
            <w:tcW w:w="0" w:type="auto"/>
            <w:tcBorders/>
          </w:tcPr>
          <w:p w14:paraId="F7CDC6CA">
            <w:pPr>
              <w:pStyle w:val="style4098"/>
              <w:jc w:val="center"/>
              <w:rPr/>
            </w:pPr>
            <w:r>
              <w:t>runc/crun</w:t>
            </w:r>
          </w:p>
        </w:tc>
        <w:tc>
          <w:tcPr>
            <w:tcW w:w="0" w:type="auto"/>
            <w:tcBorders/>
          </w:tcPr>
          <w:p w14:paraId="B7A7613D">
            <w:pPr>
              <w:pStyle w:val="style4098"/>
              <w:jc w:val="center"/>
              <w:rPr/>
            </w:pPr>
            <w:r>
              <w:t>containerd-shim-kata-v2</w:t>
            </w:r>
          </w:p>
        </w:tc>
        <w:tc>
          <w:tcPr>
            <w:tcW w:w="0" w:type="auto"/>
            <w:tcBorders/>
          </w:tcPr>
          <w:p w14:paraId="A1C030A9">
            <w:pPr>
              <w:pStyle w:val="style4098"/>
              <w:jc w:val="center"/>
              <w:rPr/>
            </w:pPr>
            <w:r>
              <w:t>CubeShim</w:t>
            </w:r>
          </w:p>
        </w:tc>
        <w:tc>
          <w:tcPr>
            <w:tcW w:w="0" w:type="auto"/>
            <w:tcBorders/>
          </w:tcPr>
          <w:p w14:paraId="82E38899">
            <w:pPr>
              <w:pStyle w:val="style4098"/>
              <w:jc w:val="center"/>
              <w:rPr/>
            </w:pPr>
            <w:r>
              <w:t>incusd</w:t>
            </w:r>
          </w:p>
        </w:tc>
      </w:tr>
      <w:tr w14:paraId="57E4D9FD">
        <w:tblPrEx/>
        <w:trPr/>
        <w:tc>
          <w:tcPr>
            <w:tcW w:w="0" w:type="auto"/>
            <w:tcBorders/>
          </w:tcPr>
          <w:p w14:paraId="6F222212">
            <w:pPr>
              <w:pStyle w:val="style4098"/>
              <w:jc w:val="left"/>
              <w:rPr/>
            </w:pPr>
            <w:r>
              <w:t>虚拟化层</w:t>
            </w:r>
          </w:p>
        </w:tc>
        <w:tc>
          <w:tcPr>
            <w:tcW w:w="0" w:type="auto"/>
            <w:tcBorders/>
          </w:tcPr>
          <w:p w14:paraId="85A30949">
            <w:pPr>
              <w:pStyle w:val="style4098"/>
              <w:jc w:val="center"/>
              <w:rPr/>
            </w:pPr>
            <w:r>
              <w:t>无（命名空间+cgroups）</w:t>
            </w:r>
          </w:p>
        </w:tc>
        <w:tc>
          <w:tcPr>
            <w:tcW w:w="0" w:type="auto"/>
            <w:tcBorders/>
          </w:tcPr>
          <w:p w14:paraId="5F8020ED">
            <w:pPr>
              <w:pStyle w:val="style4098"/>
              <w:jc w:val="center"/>
              <w:rPr/>
            </w:pPr>
            <w:r>
              <w:t>Cloud Hypervisor MicroVM</w:t>
            </w:r>
          </w:p>
        </w:tc>
        <w:tc>
          <w:tcPr>
            <w:tcW w:w="0" w:type="auto"/>
            <w:tcBorders/>
          </w:tcPr>
          <w:p w14:paraId="77275976">
            <w:pPr>
              <w:pStyle w:val="style4098"/>
              <w:jc w:val="center"/>
              <w:rPr/>
            </w:pPr>
            <w:r>
              <w:t>CubeHypervisor KVM MicroVM</w:t>
            </w:r>
          </w:p>
        </w:tc>
        <w:tc>
          <w:tcPr>
            <w:tcW w:w="0" w:type="auto"/>
            <w:tcBorders/>
          </w:tcPr>
          <w:p w14:paraId="893EFE35">
            <w:pPr>
              <w:pStyle w:val="style4098"/>
              <w:jc w:val="center"/>
              <w:rPr/>
            </w:pPr>
            <w:r>
              <w:t>LXC / QEMU-KVM</w:t>
            </w:r>
          </w:p>
        </w:tc>
      </w:tr>
      <w:tr w14:paraId="876784C6">
        <w:tblPrEx/>
        <w:trPr/>
        <w:tc>
          <w:tcPr>
            <w:tcW w:w="0" w:type="auto"/>
            <w:tcBorders/>
          </w:tcPr>
          <w:p w14:paraId="B0ACDAED">
            <w:pPr>
              <w:pStyle w:val="style4098"/>
              <w:jc w:val="left"/>
              <w:rPr/>
            </w:pPr>
            <w:r>
              <w:t>冷启动时间</w:t>
            </w:r>
          </w:p>
        </w:tc>
        <w:tc>
          <w:tcPr>
            <w:tcW w:w="0" w:type="auto"/>
            <w:tcBorders/>
          </w:tcPr>
          <w:p w14:paraId="1A9B91A1">
            <w:pPr>
              <w:pStyle w:val="style4098"/>
              <w:jc w:val="center"/>
              <w:rPr/>
            </w:pPr>
            <w:r>
              <w:t>~200 ms</w:t>
            </w:r>
            <w:r>
              <w:t xml:space="preserve"> </w:t>
            </w:r>
            <w:r>
              <w:rPr/>
              <w:fldChar w:fldCharType="begin"/>
            </w:r>
            <w:r>
              <w:instrText>NOTEREF _Ref_Footnote_44 \h \f</w:instrText>
            </w:r>
            <w:r>
              <w:rPr/>
              <w:fldChar w:fldCharType="separate"/>
            </w:r>
            <w:r>
              <w:rPr>
                <w:vertAlign w:val="superscript"/>
              </w:rPr>
              <w:t>44</w:t>
            </w:r>
            <w:r>
              <w:rPr/>
              <w:fldChar w:fldCharType="end"/>
            </w:r>
          </w:p>
        </w:tc>
        <w:tc>
          <w:tcPr>
            <w:tcW w:w="0" w:type="auto"/>
            <w:tcBorders/>
          </w:tcPr>
          <w:p w14:paraId="116214BC">
            <w:pPr>
              <w:pStyle w:val="style4098"/>
              <w:jc w:val="center"/>
              <w:rPr/>
            </w:pPr>
            <w:r>
              <w:t>100-200 ms</w:t>
            </w:r>
            <w:r>
              <w:t xml:space="preserve"> </w:t>
            </w:r>
            <w:r>
              <w:rPr/>
              <w:fldChar w:fldCharType="begin"/>
            </w:r>
            <w:r>
              <w:instrText>NOTEREF _Ref_Footnote_44 \h \f</w:instrText>
            </w:r>
            <w:r>
              <w:rPr/>
              <w:fldChar w:fldCharType="separate"/>
            </w:r>
            <w:r>
              <w:rPr>
                <w:vertAlign w:val="superscript"/>
              </w:rPr>
              <w:t>44</w:t>
            </w:r>
            <w:r>
              <w:rPr/>
              <w:fldChar w:fldCharType="end"/>
            </w:r>
          </w:p>
        </w:tc>
        <w:tc>
          <w:tcPr>
            <w:tcW w:w="0" w:type="auto"/>
            <w:tcBorders/>
          </w:tcPr>
          <w:p w14:paraId="2C212322">
            <w:pPr>
              <w:pStyle w:val="style4098"/>
              <w:jc w:val="center"/>
              <w:rPr/>
            </w:pPr>
            <w:r>
              <w:t>&lt;60 ms（单并发）</w:t>
            </w:r>
          </w:p>
        </w:tc>
        <w:tc>
          <w:tcPr>
            <w:tcW w:w="0" w:type="auto"/>
            <w:tcBorders/>
          </w:tcPr>
          <w:p w14:paraId="E1AA4F26">
            <w:pPr>
              <w:pStyle w:val="style4098"/>
              <w:jc w:val="center"/>
              <w:rPr/>
            </w:pPr>
            <w:r>
              <w:t>秒级（系统容器）</w:t>
            </w:r>
          </w:p>
        </w:tc>
      </w:tr>
      <w:tr w14:paraId="DDE89315">
        <w:tblPrEx/>
        <w:trPr/>
        <w:tc>
          <w:tcPr>
            <w:tcW w:w="0" w:type="auto"/>
            <w:tcBorders/>
          </w:tcPr>
          <w:p w14:paraId="8A5B9229">
            <w:pPr>
              <w:pStyle w:val="style4098"/>
              <w:jc w:val="left"/>
              <w:rPr/>
            </w:pPr>
            <w:r>
              <w:t>内存增量开销</w:t>
            </w:r>
          </w:p>
        </w:tc>
        <w:tc>
          <w:tcPr>
            <w:tcW w:w="0" w:type="auto"/>
            <w:tcBorders/>
          </w:tcPr>
          <w:p w14:paraId="DD20E227">
            <w:pPr>
              <w:pStyle w:val="style4098"/>
              <w:jc w:val="center"/>
              <w:rPr/>
            </w:pPr>
            <w:r>
              <w:t>&lt;2%</w:t>
            </w:r>
          </w:p>
        </w:tc>
        <w:tc>
          <w:tcPr>
            <w:tcW w:w="0" w:type="auto"/>
            <w:tcBorders/>
          </w:tcPr>
          <w:p w14:paraId="15636FBF">
            <w:pPr>
              <w:pStyle w:val="style4098"/>
              <w:jc w:val="center"/>
              <w:rPr/>
            </w:pPr>
            <w:r>
              <w:t>~30 MB（VMM进程）</w:t>
            </w:r>
          </w:p>
        </w:tc>
        <w:tc>
          <w:tcPr>
            <w:tcW w:w="0" w:type="auto"/>
            <w:tcBorders/>
          </w:tcPr>
          <w:p w14:paraId="33E4AA27">
            <w:pPr>
              <w:pStyle w:val="style4098"/>
              <w:jc w:val="center"/>
              <w:rPr/>
            </w:pPr>
            <w:r>
              <w:t>&lt;5 MB</w:t>
            </w:r>
          </w:p>
        </w:tc>
        <w:tc>
          <w:tcPr>
            <w:tcW w:w="0" w:type="auto"/>
            <w:tcBorders/>
          </w:tcPr>
          <w:p w14:paraId="6CC03D2A">
            <w:pPr>
              <w:pStyle w:val="style4098"/>
              <w:jc w:val="center"/>
              <w:rPr/>
            </w:pPr>
            <w:r>
              <w:t>~2 MB（LXC共享内核）</w:t>
            </w:r>
          </w:p>
        </w:tc>
      </w:tr>
      <w:tr w14:paraId="E18912B6">
        <w:tblPrEx/>
        <w:trPr/>
        <w:tc>
          <w:tcPr>
            <w:tcW w:w="0" w:type="auto"/>
            <w:tcBorders/>
          </w:tcPr>
          <w:p w14:paraId="21191A40">
            <w:pPr>
              <w:pStyle w:val="style4098"/>
              <w:jc w:val="left"/>
              <w:rPr/>
            </w:pPr>
            <w:r>
              <w:t>隔离级别</w:t>
            </w:r>
          </w:p>
        </w:tc>
        <w:tc>
          <w:tcPr>
            <w:tcW w:w="0" w:type="auto"/>
            <w:tcBorders/>
          </w:tcPr>
          <w:p w14:paraId="CB694C63">
            <w:pPr>
              <w:pStyle w:val="style4098"/>
              <w:jc w:val="center"/>
              <w:rPr/>
            </w:pPr>
            <w:r>
              <w:t>进程级</w:t>
            </w:r>
          </w:p>
        </w:tc>
        <w:tc>
          <w:tcPr>
            <w:tcW w:w="0" w:type="auto"/>
            <w:tcBorders/>
          </w:tcPr>
          <w:p w14:paraId="6633C3FD">
            <w:pPr>
              <w:pStyle w:val="style4098"/>
              <w:jc w:val="center"/>
              <w:rPr/>
            </w:pPr>
            <w:r>
              <w:t>硬件VM级</w:t>
            </w:r>
          </w:p>
        </w:tc>
        <w:tc>
          <w:tcPr>
            <w:tcW w:w="0" w:type="auto"/>
            <w:tcBorders/>
          </w:tcPr>
          <w:p w14:paraId="C4EF8C2D">
            <w:pPr>
              <w:pStyle w:val="style4098"/>
              <w:jc w:val="center"/>
              <w:rPr/>
            </w:pPr>
            <w:r>
              <w:t>硬件VM级</w:t>
            </w:r>
          </w:p>
        </w:tc>
        <w:tc>
          <w:tcPr>
            <w:tcW w:w="0" w:type="auto"/>
            <w:tcBorders/>
          </w:tcPr>
          <w:p w14:paraId="87A398B2">
            <w:pPr>
              <w:pStyle w:val="style4098"/>
              <w:jc w:val="center"/>
              <w:rPr/>
            </w:pPr>
            <w:r>
              <w:t>命名空间/硬件VM级</w:t>
            </w:r>
          </w:p>
        </w:tc>
      </w:tr>
      <w:tr w14:paraId="E9E919B5">
        <w:tblPrEx/>
        <w:trPr/>
        <w:tc>
          <w:tcPr>
            <w:tcW w:w="0" w:type="auto"/>
            <w:tcBorders/>
          </w:tcPr>
          <w:p w14:paraId="6E3566E4">
            <w:pPr>
              <w:pStyle w:val="style4098"/>
              <w:jc w:val="left"/>
              <w:rPr/>
            </w:pPr>
            <w:r>
              <w:t>适用场景</w:t>
            </w:r>
          </w:p>
        </w:tc>
        <w:tc>
          <w:tcPr>
            <w:tcW w:w="0" w:type="auto"/>
            <w:tcBorders/>
          </w:tcPr>
          <w:p w14:paraId="38DB10A8">
            <w:pPr>
              <w:pStyle w:val="style4098"/>
              <w:jc w:val="center"/>
              <w:rPr/>
            </w:pPr>
            <w:r>
              <w:t>可信内部应用</w:t>
            </w:r>
          </w:p>
        </w:tc>
        <w:tc>
          <w:tcPr>
            <w:tcW w:w="0" w:type="auto"/>
            <w:tcBorders/>
          </w:tcPr>
          <w:p w14:paraId="86C2EAD3">
            <w:pPr>
              <w:pStyle w:val="style4098"/>
              <w:jc w:val="center"/>
              <w:rPr/>
            </w:pPr>
            <w:r>
              <w:t>多租户SaaS</w:t>
            </w:r>
          </w:p>
        </w:tc>
        <w:tc>
          <w:tcPr>
            <w:tcW w:w="0" w:type="auto"/>
            <w:tcBorders/>
          </w:tcPr>
          <w:p w14:paraId="AC5B7A00">
            <w:pPr>
              <w:pStyle w:val="style4098"/>
              <w:jc w:val="center"/>
              <w:rPr/>
            </w:pPr>
            <w:r>
              <w:t>AI Agent代码执行</w:t>
            </w:r>
          </w:p>
        </w:tc>
        <w:tc>
          <w:tcPr>
            <w:tcW w:w="0" w:type="auto"/>
            <w:tcBorders/>
          </w:tcPr>
          <w:p w14:paraId="F0BBE31F">
            <w:pPr>
              <w:pStyle w:val="style4098"/>
              <w:jc w:val="center"/>
              <w:rPr/>
            </w:pPr>
            <w:r>
              <w:t>系统容器/完整VM</w:t>
            </w:r>
          </w:p>
        </w:tc>
      </w:tr>
      <w:tr w14:paraId="9E242CAE">
        <w:tblPrEx/>
        <w:trPr/>
        <w:tc>
          <w:tcPr>
            <w:tcW w:w="0" w:type="auto"/>
            <w:tcBorders/>
          </w:tcPr>
          <w:p w14:paraId="826F5597">
            <w:pPr>
              <w:pStyle w:val="style4098"/>
              <w:jc w:val="left"/>
              <w:rPr/>
            </w:pPr>
            <w:r>
              <w:t>Pod Overhead</w:t>
            </w:r>
          </w:p>
        </w:tc>
        <w:tc>
          <w:tcPr>
            <w:tcW w:w="0" w:type="auto"/>
            <w:tcBorders/>
          </w:tcPr>
          <w:p w14:paraId="C662BB16">
            <w:pPr>
              <w:pStyle w:val="style4098"/>
              <w:jc w:val="center"/>
              <w:rPr/>
            </w:pPr>
            <w:r>
              <w:t>无</w:t>
            </w:r>
          </w:p>
        </w:tc>
        <w:tc>
          <w:tcPr>
            <w:tcW w:w="0" w:type="auto"/>
            <w:tcBorders/>
          </w:tcPr>
          <w:p w14:paraId="CC56FB92">
            <w:pPr>
              <w:pStyle w:val="style4098"/>
              <w:jc w:val="center"/>
              <w:rPr/>
            </w:pPr>
            <w:r>
              <w:t>memory:256 Mi,cpu:200 m</w:t>
            </w:r>
          </w:p>
        </w:tc>
        <w:tc>
          <w:tcPr>
            <w:tcW w:w="0" w:type="auto"/>
            <w:tcBorders/>
          </w:tcPr>
          <w:p w14:paraId="E039959C">
            <w:pPr>
              <w:pStyle w:val="style4098"/>
              <w:jc w:val="center"/>
              <w:rPr/>
            </w:pPr>
            <w:r>
              <w:t>memory:128 Mi,cpu:100 m</w:t>
            </w:r>
          </w:p>
        </w:tc>
        <w:tc>
          <w:tcPr>
            <w:tcW w:w="0" w:type="auto"/>
            <w:tcBorders/>
          </w:tcPr>
          <w:p w14:paraId="49CC72E0">
            <w:pPr>
              <w:pStyle w:val="style4098"/>
              <w:jc w:val="center"/>
              <w:rPr/>
            </w:pPr>
            <w:r>
              <w:t>memory:512 Mi,cpu:500 m</w:t>
            </w:r>
          </w:p>
        </w:tc>
      </w:tr>
      <w:tr w14:paraId="2077F747">
        <w:tblPrEx/>
        <w:trPr/>
        <w:tc>
          <w:tcPr>
            <w:tcW w:w="0" w:type="auto"/>
            <w:tcBorders/>
          </w:tcPr>
          <w:p w14:paraId="0976F9BD">
            <w:pPr>
              <w:pStyle w:val="style4098"/>
              <w:jc w:val="left"/>
              <w:rPr/>
            </w:pPr>
            <w:r>
              <w:t>nodeSelector</w:t>
            </w:r>
          </w:p>
        </w:tc>
        <w:tc>
          <w:tcPr>
            <w:tcW w:w="0" w:type="auto"/>
            <w:tcBorders/>
          </w:tcPr>
          <w:p w14:paraId="19F3C902">
            <w:pPr>
              <w:pStyle w:val="style4098"/>
              <w:jc w:val="center"/>
              <w:rPr/>
            </w:pPr>
            <w:r>
              <w:t>无</w:t>
            </w:r>
          </w:p>
        </w:tc>
        <w:tc>
          <w:tcPr>
            <w:tcW w:w="0" w:type="auto"/>
            <w:tcBorders/>
          </w:tcPr>
          <w:p w14:paraId="F96ED39A">
            <w:pPr>
              <w:pStyle w:val="style4098"/>
              <w:jc w:val="center"/>
              <w:rPr/>
            </w:pPr>
            <w:r>
              <w:t>runtime.kata:true</w:t>
            </w:r>
          </w:p>
        </w:tc>
        <w:tc>
          <w:tcPr>
            <w:tcW w:w="0" w:type="auto"/>
            <w:tcBorders/>
          </w:tcPr>
          <w:p w14:paraId="6DC2ADC7">
            <w:pPr>
              <w:pStyle w:val="style4098"/>
              <w:jc w:val="center"/>
              <w:rPr/>
            </w:pPr>
            <w:r>
              <w:t>runtime.cube:true</w:t>
            </w:r>
          </w:p>
        </w:tc>
        <w:tc>
          <w:tcPr>
            <w:tcW w:w="0" w:type="auto"/>
            <w:tcBorders/>
          </w:tcPr>
          <w:p w14:paraId="2A384135">
            <w:pPr>
              <w:pStyle w:val="style4098"/>
              <w:jc w:val="center"/>
              <w:rPr/>
            </w:pPr>
            <w:r>
              <w:t>runtime.incus:true</w:t>
            </w:r>
          </w:p>
        </w:tc>
      </w:tr>
    </w:tbl>
    <w:p w14:paraId="C6E74AA0">
      <w:pPr>
        <w:pStyle w:val="style66"/>
        <w:rPr/>
      </w:pPr>
      <w:r>
        <w:t>调度链路为三阶段模型：节点CRI配置定义handler名称→RuntimeClass对象绑定handler与调度策略→Pod通过runtimeClassName引用目标RuntimeClass</w:t>
      </w:r>
      <w:r>
        <w:t xml:space="preserve"> </w:t>
      </w:r>
      <w:r>
        <w:rPr/>
        <w:fldChar w:fldCharType="begin"/>
      </w:r>
      <w:r>
        <w:instrText>NOTEREF _Ref_Footnote_7 \h \f</w:instrText>
      </w:r>
      <w:r>
        <w:rPr/>
        <w:fldChar w:fldCharType="separate"/>
      </w:r>
      <w:r>
        <w:rPr>
          <w:vertAlign w:val="superscript"/>
        </w:rPr>
        <w:t>7</w:t>
      </w:r>
      <w:r>
        <w:rPr/>
        <w:fldChar w:fldCharType="end"/>
      </w:r>
      <w:r>
        <w:t>。调度器首先根据nodeSelector筛选具备运行时能力的节点，将Pod Overhead叠加到容器资源请求中进行容量校验，Score阶段优先选择已预置运行时镜像的节点降低启动延迟。混合负载场景可通过taints分离VM与容器节点，或使用自定义调度插件实现NUMA拓扑感知和GPU直通设备可用性检查</w:t>
      </w:r>
      <w:r>
        <w:t xml:space="preserve"> </w:t>
      </w:r>
      <w:r>
        <w:rPr/>
        <w:fldChar w:fldCharType="begin"/>
      </w:r>
      <w:r>
        <w:instrText>NOTEREF _Ref_Footnote_16 \h \f</w:instrText>
      </w:r>
      <w:r>
        <w:rPr/>
        <w:fldChar w:fldCharType="separate"/>
      </w:r>
      <w:r>
        <w:rPr>
          <w:vertAlign w:val="superscript"/>
        </w:rPr>
        <w:t>16</w:t>
      </w:r>
      <w:r>
        <w:rPr/>
        <w:fldChar w:fldCharType="end"/>
      </w:r>
      <w:r>
        <w:t xml:space="preserve"> </w:t>
      </w:r>
      <w:r>
        <w:rPr/>
        <w:fldChar w:fldCharType="begin"/>
      </w:r>
      <w:r>
        <w:instrText>NOTEREF _Ref_Footnote_25 \h \f</w:instrText>
      </w:r>
      <w:r>
        <w:rPr/>
        <w:fldChar w:fldCharType="separate"/>
      </w:r>
      <w:r>
        <w:rPr>
          <w:vertAlign w:val="superscript"/>
        </w:rPr>
        <w:t>25</w:t>
      </w:r>
      <w:r>
        <w:rPr/>
        <w:fldChar w:fldCharType="end"/>
      </w:r>
      <w:r>
        <w:t>。</w:t>
      </w:r>
    </w:p>
    <w:bookmarkStart w:id="117" w:name="集群管理架构"/>
    <w:bookmarkEnd w:id="116"/>
    <w:bookmarkEnd w:id="113"/>
    <w:p w14:paraId="8F688453">
      <w:pPr>
        <w:pStyle w:val="style4103"/>
        <w:rPr/>
      </w:pPr>
      <w:r>
        <w:t>7.2 集群管理架构</w:t>
      </w:r>
    </w:p>
    <w:bookmarkStart w:id="118" w:name="控制平面设计"/>
    <w:p w14:paraId="FDFCB4B6">
      <w:pPr>
        <w:pStyle w:val="style4104"/>
        <w:rPr/>
      </w:pPr>
      <w:r>
        <w:t>7.2.1 控制平面设计</w:t>
      </w:r>
    </w:p>
    <w:p w14:paraId="7BED0850">
      <w:pPr>
        <w:pStyle w:val="style4097"/>
        <w:rPr/>
      </w:pPr>
      <w:r>
        <w:t>Kubernetes控制平面由三个核心有状态组件构成。API Server作为统一入口，所有状态变更通过其读写集群数据库</w:t>
      </w:r>
      <w:r>
        <w:t xml:space="preserve"> </w:t>
      </w:r>
      <w:r>
        <w:rPr>
          <w:vertAlign w:val="superscript"/>
        </w:rPr>
        <w:footnoteReference w:id="187"/>
      </w:r>
      <w:r>
        <w:t>；Scheduler采用可插拔Scheduling Framework（自v1.19起稳定）负责Pod调度</w:t>
      </w:r>
      <w:r>
        <w:t xml:space="preserve"> </w:t>
      </w:r>
      <w:r>
        <w:rPr>
          <w:vertAlign w:val="superscript"/>
        </w:rPr>
        <w:footnoteReference w:id="188"/>
      </w:r>
      <w:r>
        <w:t>；Controller Manager通过多个控制器循环协调实际与期望状态。API Server高可用通过HAProxy+Keepalived实现虚拟IP（Virtual IP, VIP）故障转移</w:t>
      </w:r>
      <w:r>
        <w:t xml:space="preserve"> </w:t>
      </w:r>
      <w:r>
        <w:rPr>
          <w:vertAlign w:val="superscript"/>
        </w:rPr>
        <w:footnoteReference w:id="189"/>
      </w:r>
      <w:r>
        <w:t xml:space="preserve"> </w:t>
      </w:r>
      <w:r>
        <w:rPr>
          <w:vertAlign w:val="superscript"/>
        </w:rPr>
        <w:footnoteReference w:id="190"/>
      </w:r>
      <w:r>
        <w:t>；Controller Manager和Scheduler通过Lease API实现Leader Election，故障切换通常在秒级完成</w:t>
      </w:r>
      <w:r>
        <w:t xml:space="preserve"> </w:t>
      </w:r>
      <w:r>
        <w:rPr/>
        <w:fldChar w:fldCharType="begin"/>
      </w:r>
      <w:r>
        <w:instrText>NOTEREF _Ref_Footnote_189 \h \f</w:instrText>
      </w:r>
      <w:r>
        <w:rPr/>
        <w:fldChar w:fldCharType="separate"/>
      </w:r>
      <w:r>
        <w:rPr>
          <w:vertAlign w:val="superscript"/>
        </w:rPr>
        <w:t>189</w:t>
      </w:r>
      <w:r>
        <w:rPr/>
        <w:fldChar w:fldCharType="end"/>
      </w:r>
      <w:r>
        <w:t>。</w:t>
      </w:r>
    </w:p>
    <w:p w14:paraId="9A1F9EB9">
      <w:pPr>
        <w:pStyle w:val="style66"/>
        <w:rPr/>
      </w:pPr>
      <w:r>
        <w:t>集群数据库使用Raft共识算法：单Leader处理写入，过半数节点确认后提交</w:t>
      </w:r>
      <w:r>
        <w:t xml:space="preserve"> </w:t>
      </w:r>
      <w:r>
        <w:rPr/>
        <w:fldChar w:fldCharType="begin"/>
      </w:r>
      <w:r>
        <w:instrText>NOTEREF _Ref_Footnote_18 \h \f</w:instrText>
      </w:r>
      <w:r>
        <w:rPr/>
        <w:fldChar w:fldCharType="separate"/>
      </w:r>
      <w:r>
        <w:rPr>
          <w:vertAlign w:val="superscript"/>
        </w:rPr>
        <w:t>18</w:t>
      </w:r>
      <w:r>
        <w:rPr/>
        <w:fldChar w:fldCharType="end"/>
      </w:r>
      <w:r>
        <w:t xml:space="preserve"> </w:t>
      </w:r>
      <w:r>
        <w:rPr>
          <w:vertAlign w:val="superscript"/>
        </w:rPr>
        <w:footnoteReference w:id="191"/>
      </w:r>
      <w:r>
        <w:t>。健康集群应在10毫秒内处理请求，延迟超100 ms时出现级联故障</w:t>
      </w:r>
      <w:r>
        <w:t xml:space="preserve"> </w:t>
      </w:r>
      <w:r>
        <w:rPr/>
        <w:fldChar w:fldCharType="begin"/>
      </w:r>
      <w:r>
        <w:instrText>NOTEREF _Ref_Footnote_187 \h \f</w:instrText>
      </w:r>
      <w:r>
        <w:rPr/>
        <w:fldChar w:fldCharType="separate"/>
      </w:r>
      <w:r>
        <w:rPr>
          <w:vertAlign w:val="superscript"/>
        </w:rPr>
        <w:t>187</w:t>
      </w:r>
      <w:r>
        <w:rPr/>
        <w:fldChar w:fldCharType="end"/>
      </w:r>
      <w:r>
        <w:t>。硬件推荐：小型（&lt;100节点）4核/16 GB/NVMe；中型（100-500节点）8核/32 GB/专用NVMe；大型（500+节点）16核/64 GB。节点应至少有4倍于数据库大小的RAM</w:t>
      </w:r>
      <w:r>
        <w:t xml:space="preserve"> </w:t>
      </w:r>
      <w:r>
        <w:rPr/>
        <w:fldChar w:fldCharType="begin"/>
      </w:r>
      <w:r>
        <w:instrText>NOTEREF _Ref_Footnote_187 \h \f</w:instrText>
      </w:r>
      <w:r>
        <w:rPr/>
        <w:fldChar w:fldCharType="separate"/>
      </w:r>
      <w:r>
        <w:rPr>
          <w:vertAlign w:val="superscript"/>
        </w:rPr>
        <w:t>187</w:t>
      </w:r>
      <w:r>
        <w:rPr/>
        <w:fldChar w:fldCharType="end"/>
      </w:r>
      <w:r>
        <w:t>。</w:t>
      </w:r>
    </w:p>
    <w:bookmarkStart w:id="119" w:name="集群数据库分层策略"/>
    <w:bookmarkEnd w:id="118"/>
    <w:p w14:paraId="28CAB6E1">
      <w:pPr>
        <w:pStyle w:val="style4104"/>
        <w:rPr/>
      </w:pPr>
      <w:r>
        <w:t>7.2.2 集群数据库分层策略</w:t>
      </w:r>
    </w:p>
    <w:p w14:paraId="5250CF73">
      <w:pPr>
        <w:pStyle w:val="style4097"/>
        <w:rPr/>
      </w:pPr>
      <w:r>
        <w:t>etcd（适用50-5{,}000节点）、Cowsql（3-50节点）和Corosync+pmxcfs（2-50+节点）之间存在明显”规模断层”，无单一方案覆盖全范围</w:t>
      </w:r>
      <w:r>
        <w:t xml:space="preserve"> </w:t>
      </w:r>
      <w:r>
        <w:rPr/>
        <w:fldChar w:fldCharType="begin"/>
      </w:r>
      <w:r>
        <w:instrText>NOTEREF _Ref_Footnote_18 \h \f</w:instrText>
      </w:r>
      <w:r>
        <w:rPr/>
        <w:fldChar w:fldCharType="separate"/>
      </w:r>
      <w:r>
        <w:rPr>
          <w:vertAlign w:val="superscript"/>
        </w:rPr>
        <w:t>18</w:t>
      </w:r>
      <w:r>
        <w:rPr/>
        <w:fldChar w:fldCharType="end"/>
      </w:r>
      <w:r>
        <w:t xml:space="preserve"> </w:t>
      </w:r>
      <w:r>
        <w:rPr/>
        <w:fldChar w:fldCharType="begin"/>
      </w:r>
      <w:r>
        <w:instrText>NOTEREF _Ref_Footnote_17 \h \f</w:instrText>
      </w:r>
      <w:r>
        <w:rPr/>
        <w:fldChar w:fldCharType="separate"/>
      </w:r>
      <w:r>
        <w:rPr>
          <w:vertAlign w:val="superscript"/>
        </w:rPr>
        <w:t>17</w:t>
      </w:r>
      <w:r>
        <w:rPr/>
        <w:fldChar w:fldCharType="end"/>
      </w:r>
      <w:r>
        <w:t xml:space="preserve"> </w:t>
      </w:r>
      <w:r>
        <w:rPr>
          <w:vertAlign w:val="superscript"/>
        </w:rPr>
        <w:footnoteReference w:id="192"/>
      </w:r>
      <w:r>
        <w:t>。这一约束要求平台根据部署规模选择后端，该选择深刻影响API设计、状态管理和运维复杂度。表7-2展示分层决策矩阵。</w:t>
      </w:r>
    </w:p>
    <w:p w14:paraId="8CC3AD17">
      <w:pPr>
        <w:pStyle w:val="style66"/>
        <w:rPr/>
      </w:pPr>
      <w:r>
        <w:rPr>
          <w:b/>
          <w:bCs/>
        </w:rPr>
        <w:t>表7-2 集群数据库分层策略决策矩阵</w:t>
      </w:r>
    </w:p>
    <w:tbl>
      <w:tblPr>
        <w:tblStyle w:val="style4111"/>
        <w:tblW w:w="5000" w:type="pct"/>
        <w:tblLook w:val="0020" w:firstRow="1" w:lastRow="0" w:firstColumn="0" w:lastColumn="0" w:noHBand="0" w:noVBand="0"/>
      </w:tblPr>
      <w:tblGrid>
        <w:gridCol w:w="2010"/>
        <w:gridCol w:w="2637"/>
        <w:gridCol w:w="3271"/>
      </w:tblGrid>
      <w:tr w14:paraId="E9050D09">
        <w:trPr>
          <w:tblHeader/>
        </w:trPr>
        <w:tc>
          <w:tcPr>
            <w:tcW w:w="0" w:type="auto"/>
            <w:tcBorders/>
          </w:tcPr>
          <w:p w14:paraId="079B1FD6">
            <w:pPr>
              <w:pStyle w:val="style4098"/>
              <w:jc w:val="left"/>
              <w:rPr/>
            </w:pPr>
            <w:r>
              <w:t>策略维度</w:t>
            </w:r>
          </w:p>
        </w:tc>
        <w:tc>
          <w:tcPr>
            <w:tcW w:w="0" w:type="auto"/>
            <w:tcBorders/>
          </w:tcPr>
          <w:p w14:paraId="9604A85A">
            <w:pPr>
              <w:pStyle w:val="style4098"/>
              <w:jc w:val="center"/>
              <w:rPr/>
            </w:pPr>
            <w:r>
              <w:t>&lt;50节点方案（Cowsql为主）</w:t>
            </w:r>
          </w:p>
        </w:tc>
        <w:tc>
          <w:tcPr>
            <w:tcW w:w="0" w:type="auto"/>
            <w:tcBorders/>
          </w:tcPr>
          <w:p w14:paraId="C8F5CC56">
            <w:pPr>
              <w:pStyle w:val="style4098"/>
              <w:jc w:val="center"/>
              <w:rPr/>
            </w:pPr>
            <w:r>
              <w:t>&gt;50节点方案（etcd+Cowsql分层）</w:t>
            </w:r>
          </w:p>
        </w:tc>
      </w:tr>
      <w:tr w14:paraId="7E6C4914">
        <w:tblPrEx/>
        <w:trPr/>
        <w:tc>
          <w:tcPr>
            <w:tcW w:w="0" w:type="auto"/>
            <w:tcBorders/>
          </w:tcPr>
          <w:p w14:paraId="8073A908">
            <w:pPr>
              <w:pStyle w:val="style4098"/>
              <w:jc w:val="left"/>
              <w:rPr/>
            </w:pPr>
            <w:r>
              <w:t>K8s控制平面数据库</w:t>
            </w:r>
          </w:p>
        </w:tc>
        <w:tc>
          <w:tcPr>
            <w:tcW w:w="0" w:type="auto"/>
            <w:tcBorders/>
          </w:tcPr>
          <w:p w14:paraId="12F9625F">
            <w:pPr>
              <w:pStyle w:val="style4098"/>
              <w:jc w:val="center"/>
              <w:rPr/>
            </w:pPr>
            <w:r>
              <w:t>Cowsql（简化运维）</w:t>
            </w:r>
          </w:p>
        </w:tc>
        <w:tc>
          <w:tcPr>
            <w:tcW w:w="0" w:type="auto"/>
            <w:tcBorders/>
          </w:tcPr>
          <w:p w14:paraId="6B91EEA5">
            <w:pPr>
              <w:pStyle w:val="style4098"/>
              <w:jc w:val="center"/>
              <w:rPr/>
            </w:pPr>
            <w:r>
              <w:t>etcd 3/5节点集群（Raft强一致）</w:t>
            </w:r>
          </w:p>
        </w:tc>
      </w:tr>
      <w:tr w14:paraId="D9051D87">
        <w:tblPrEx/>
        <w:trPr/>
        <w:tc>
          <w:tcPr>
            <w:tcW w:w="0" w:type="auto"/>
            <w:tcBorders/>
          </w:tcPr>
          <w:p w14:paraId="FC10C188">
            <w:pPr>
              <w:pStyle w:val="style4098"/>
              <w:jc w:val="left"/>
              <w:rPr/>
            </w:pPr>
            <w:r>
              <w:t>Incus集群数据库</w:t>
            </w:r>
          </w:p>
        </w:tc>
        <w:tc>
          <w:tcPr>
            <w:tcW w:w="0" w:type="auto"/>
            <w:tcBorders/>
          </w:tcPr>
          <w:p w14:paraId="65B01C3D">
            <w:pPr>
              <w:pStyle w:val="style4098"/>
              <w:jc w:val="center"/>
              <w:rPr/>
            </w:pPr>
            <w:r>
              <w:t>同Cowsql集群</w:t>
            </w:r>
          </w:p>
        </w:tc>
        <w:tc>
          <w:tcPr>
            <w:tcW w:w="0" w:type="auto"/>
            <w:tcBorders/>
          </w:tcPr>
          <w:p w14:paraId="7C01593E">
            <w:pPr>
              <w:pStyle w:val="style4098"/>
              <w:jc w:val="center"/>
              <w:rPr/>
            </w:pPr>
            <w:r>
              <w:t>独立Cowsql集群</w:t>
            </w:r>
          </w:p>
        </w:tc>
      </w:tr>
      <w:tr w14:paraId="E701816B">
        <w:tblPrEx/>
        <w:trPr/>
        <w:tc>
          <w:tcPr>
            <w:tcW w:w="0" w:type="auto"/>
            <w:tcBorders/>
          </w:tcPr>
          <w:p w14:paraId="3FE6D6F5">
            <w:pPr>
              <w:pStyle w:val="style4098"/>
              <w:jc w:val="left"/>
              <w:rPr/>
            </w:pPr>
            <w:r>
              <w:t>状态同步</w:t>
            </w:r>
          </w:p>
        </w:tc>
        <w:tc>
          <w:tcPr>
            <w:tcW w:w="0" w:type="auto"/>
            <w:tcBorders/>
          </w:tcPr>
          <w:p w14:paraId="A92386CC">
            <w:pPr>
              <w:pStyle w:val="style4098"/>
              <w:jc w:val="center"/>
              <w:rPr/>
            </w:pPr>
            <w:r>
              <w:t>单层强一致</w:t>
            </w:r>
          </w:p>
        </w:tc>
        <w:tc>
          <w:tcPr>
            <w:tcW w:w="0" w:type="auto"/>
            <w:tcBorders/>
          </w:tcPr>
          <w:p w14:paraId="93A761EE">
            <w:pPr>
              <w:pStyle w:val="style4098"/>
              <w:jc w:val="center"/>
              <w:rPr/>
            </w:pPr>
            <w:r>
              <w:t>etcd↔Cowsql最终一致性同步</w:t>
            </w:r>
          </w:p>
        </w:tc>
      </w:tr>
      <w:tr w14:paraId="57C1CD68">
        <w:tblPrEx/>
        <w:trPr/>
        <w:tc>
          <w:tcPr>
            <w:tcW w:w="0" w:type="auto"/>
            <w:tcBorders/>
          </w:tcPr>
          <w:p w14:paraId="D8AEA50A">
            <w:pPr>
              <w:pStyle w:val="style4098"/>
              <w:jc w:val="left"/>
              <w:rPr/>
            </w:pPr>
            <w:r>
              <w:t>仲裁要求</w:t>
            </w:r>
          </w:p>
        </w:tc>
        <w:tc>
          <w:tcPr>
            <w:tcW w:w="0" w:type="auto"/>
            <w:tcBorders/>
          </w:tcPr>
          <w:p w14:paraId="0BEA785C">
            <w:pPr>
              <w:pStyle w:val="style4098"/>
              <w:jc w:val="center"/>
              <w:rPr/>
            </w:pPr>
            <w:r>
              <w:t>≥3投票成员维持仲裁</w:t>
            </w:r>
          </w:p>
        </w:tc>
        <w:tc>
          <w:tcPr>
            <w:tcW w:w="0" w:type="auto"/>
            <w:tcBorders/>
          </w:tcPr>
          <w:p w14:paraId="6F3096E4">
            <w:pPr>
              <w:pStyle w:val="style4098"/>
              <w:jc w:val="center"/>
              <w:rPr/>
            </w:pPr>
            <w:r>
              <w:t>各集群独立&gt;50%</w:t>
            </w:r>
          </w:p>
        </w:tc>
      </w:tr>
      <w:tr w14:paraId="9D1F1927">
        <w:tblPrEx/>
        <w:trPr/>
        <w:tc>
          <w:tcPr>
            <w:tcW w:w="0" w:type="auto"/>
            <w:tcBorders/>
          </w:tcPr>
          <w:p w14:paraId="AC176C1B">
            <w:pPr>
              <w:pStyle w:val="style4098"/>
              <w:jc w:val="left"/>
              <w:rPr/>
            </w:pPr>
            <w:r>
              <w:t>运维复杂度</w:t>
            </w:r>
          </w:p>
        </w:tc>
        <w:tc>
          <w:tcPr>
            <w:tcW w:w="0" w:type="auto"/>
            <w:tcBorders/>
          </w:tcPr>
          <w:p w14:paraId="589C572D">
            <w:pPr>
              <w:pStyle w:val="style4098"/>
              <w:jc w:val="center"/>
              <w:rPr/>
            </w:pPr>
            <w:r>
              <w:t>低（自动内置）</w:t>
            </w:r>
          </w:p>
        </w:tc>
        <w:tc>
          <w:tcPr>
            <w:tcW w:w="0" w:type="auto"/>
            <w:tcBorders/>
          </w:tcPr>
          <w:p w14:paraId="6294877F">
            <w:pPr>
              <w:pStyle w:val="style4098"/>
              <w:jc w:val="center"/>
              <w:rPr/>
            </w:pPr>
            <w:r>
              <w:t>高（需专业etcd运维团队）</w:t>
            </w:r>
          </w:p>
        </w:tc>
      </w:tr>
      <w:tr w14:paraId="FBB8B8DB">
        <w:tblPrEx/>
        <w:trPr/>
        <w:tc>
          <w:tcPr>
            <w:tcW w:w="0" w:type="auto"/>
            <w:tcBorders/>
          </w:tcPr>
          <w:p w14:paraId="324CEB0F">
            <w:pPr>
              <w:pStyle w:val="style4098"/>
              <w:jc w:val="left"/>
              <w:rPr/>
            </w:pPr>
            <w:r>
              <w:t>适用场景</w:t>
            </w:r>
          </w:p>
        </w:tc>
        <w:tc>
          <w:tcPr>
            <w:tcW w:w="0" w:type="auto"/>
            <w:tcBorders/>
          </w:tcPr>
          <w:p w14:paraId="1AAC942E">
            <w:pPr>
              <w:pStyle w:val="style4098"/>
              <w:jc w:val="center"/>
              <w:rPr/>
            </w:pPr>
            <w:r>
              <w:t>边缘集群、开发测试、SMB</w:t>
            </w:r>
          </w:p>
        </w:tc>
        <w:tc>
          <w:tcPr>
            <w:tcW w:w="0" w:type="auto"/>
            <w:tcBorders/>
          </w:tcPr>
          <w:p w14:paraId="A0E280D7">
            <w:pPr>
              <w:pStyle w:val="style4098"/>
              <w:jc w:val="center"/>
              <w:rPr/>
            </w:pPr>
            <w:r>
              <w:t>大规模生产、多可用区部署</w:t>
            </w:r>
          </w:p>
        </w:tc>
      </w:tr>
      <w:tr w14:paraId="443C2FD5">
        <w:tblPrEx/>
        <w:trPr/>
        <w:tc>
          <w:tcPr>
            <w:tcW w:w="0" w:type="auto"/>
            <w:tcBorders/>
          </w:tcPr>
          <w:p w14:paraId="32ACB09B">
            <w:pPr>
              <w:pStyle w:val="style4098"/>
              <w:jc w:val="left"/>
              <w:rPr/>
            </w:pPr>
            <w:r>
              <w:t>RTO/RPO目标</w:t>
            </w:r>
          </w:p>
        </w:tc>
        <w:tc>
          <w:tcPr>
            <w:tcW w:w="0" w:type="auto"/>
            <w:tcBorders/>
          </w:tcPr>
          <w:p w14:paraId="BECD6520">
            <w:pPr>
              <w:pStyle w:val="style4098"/>
              <w:jc w:val="center"/>
              <w:rPr/>
            </w:pPr>
            <w:r>
              <w:t>&lt;15分钟/&lt;1小时</w:t>
            </w:r>
          </w:p>
        </w:tc>
        <w:tc>
          <w:tcPr>
            <w:tcW w:w="0" w:type="auto"/>
            <w:tcBorders/>
          </w:tcPr>
          <w:p w14:paraId="40DE02F5">
            <w:pPr>
              <w:pStyle w:val="style4098"/>
              <w:jc w:val="center"/>
              <w:rPr/>
            </w:pPr>
            <w:r>
              <w:t>&lt;10分钟/&lt;30分钟</w:t>
            </w:r>
          </w:p>
        </w:tc>
      </w:tr>
    </w:tbl>
    <w:p w14:paraId="5DC1AF64">
      <w:pPr>
        <w:pStyle w:val="style66"/>
        <w:rPr/>
      </w:pPr>
      <w:r>
        <w:t>小规模部署采用Cowsql（分布式SQLite）作为统一数据库，基于Raft实现数据复制，单Leader处理写入、Follower应用复制日志，暴露SQLite-like API</w:t>
      </w:r>
      <w:r>
        <w:t xml:space="preserve"> </w:t>
      </w:r>
      <w:r>
        <w:rPr>
          <w:vertAlign w:val="superscript"/>
        </w:rPr>
        <w:footnoteReference w:id="193"/>
      </w:r>
      <w:r>
        <w:t xml:space="preserve"> </w:t>
      </w:r>
      <w:r>
        <w:rPr>
          <w:vertAlign w:val="superscript"/>
        </w:rPr>
        <w:footnoteReference w:id="194"/>
      </w:r>
      <w:r>
        <w:t>。其优势在于运维复杂度低——数据库自动内置于Incus守护进程，无需独立部署etcd，3节点即可维持仲裁</w:t>
      </w:r>
      <w:r>
        <w:t xml:space="preserve"> </w:t>
      </w:r>
      <w:r>
        <w:rPr/>
        <w:fldChar w:fldCharType="begin"/>
      </w:r>
      <w:r>
        <w:instrText>NOTEREF _Ref_Footnote_17 \h \f</w:instrText>
      </w:r>
      <w:r>
        <w:rPr/>
        <w:fldChar w:fldCharType="separate"/>
      </w:r>
      <w:r>
        <w:rPr>
          <w:vertAlign w:val="superscript"/>
        </w:rPr>
        <w:t>17</w:t>
      </w:r>
      <w:r>
        <w:rPr/>
        <w:fldChar w:fldCharType="end"/>
      </w:r>
      <w:r>
        <w:t xml:space="preserve"> </w:t>
      </w:r>
      <w:r>
        <w:rPr/>
        <w:fldChar w:fldCharType="begin"/>
      </w:r>
      <w:r>
        <w:instrText>NOTEREF _Ref_Footnote_103 \h \f</w:instrText>
      </w:r>
      <w:r>
        <w:rPr/>
        <w:fldChar w:fldCharType="separate"/>
      </w:r>
      <w:r>
        <w:rPr>
          <w:vertAlign w:val="superscript"/>
        </w:rPr>
        <w:t>103</w:t>
      </w:r>
      <w:r>
        <w:rPr/>
        <w:fldChar w:fldCharType="end"/>
      </w:r>
      <w:r>
        <w:t>。大规模部署采用etcd管理K8s状态、独立Cowsql管理Incus状态的分层方案——etcd经数千节点规模验证，Cowsql设计上限约50节点</w:t>
      </w:r>
      <w:r>
        <w:t xml:space="preserve"> </w:t>
      </w:r>
      <w:r>
        <w:rPr/>
        <w:fldChar w:fldCharType="begin"/>
      </w:r>
      <w:r>
        <w:instrText>NOTEREF _Ref_Footnote_18 \h \f</w:instrText>
      </w:r>
      <w:r>
        <w:rPr/>
        <w:fldChar w:fldCharType="separate"/>
      </w:r>
      <w:r>
        <w:rPr>
          <w:vertAlign w:val="superscript"/>
        </w:rPr>
        <w:t>18</w:t>
      </w:r>
      <w:r>
        <w:rPr/>
        <w:fldChar w:fldCharType="end"/>
      </w:r>
      <w:r>
        <w:t xml:space="preserve"> </w:t>
      </w:r>
      <w:r>
        <w:rPr/>
        <w:fldChar w:fldCharType="begin"/>
      </w:r>
      <w:r>
        <w:instrText>NOTEREF _Ref_Footnote_193 \h \f</w:instrText>
      </w:r>
      <w:r>
        <w:rPr/>
        <w:fldChar w:fldCharType="separate"/>
      </w:r>
      <w:r>
        <w:rPr>
          <w:vertAlign w:val="superscript"/>
        </w:rPr>
        <w:t>193</w:t>
      </w:r>
      <w:r>
        <w:rPr/>
        <w:fldChar w:fldCharType="end"/>
      </w:r>
      <w:r>
        <w:t>。两层通过API网关实现最终一致性同步，K8s侧状态变更通过自定义控制器同步到Incus侧。</w:t>
      </w:r>
    </w:p>
    <w:bookmarkStart w:id="120" w:name="节点管理"/>
    <w:bookmarkEnd w:id="119"/>
    <w:p w14:paraId="FE8D7831">
      <w:pPr>
        <w:pStyle w:val="style4104"/>
        <w:rPr/>
      </w:pPr>
      <w:r>
        <w:t>7.2.3 节点管理</w:t>
      </w:r>
    </w:p>
    <w:p w14:paraId="C7F2969D">
      <w:pPr>
        <w:pStyle w:val="style4097"/>
        <w:rPr/>
      </w:pPr>
      <w:r>
        <w:t>节点通过kubelet自动向API Server注册。Node Controller管理节点生命周期中的CIDR分配、云提供商节点列表同步与健康监控</w:t>
      </w:r>
      <w:r>
        <w:t xml:space="preserve"> </w:t>
      </w:r>
      <w:r>
        <w:rPr>
          <w:vertAlign w:val="superscript"/>
        </w:rPr>
        <w:footnoteReference w:id="195"/>
      </w:r>
      <w:r>
        <w:t>。心跳检测采用双层机制：kubelet定期向API Server发送心跳，Node Controller每5秒检查节点状态；大规模集群启用SWIM（Scalable Weakly-consistent Infection-style Process Group Membership Protocol）协议优化检测效率——SWIM的故障检测期望时间与消息负载和集群规模无关，沉默离开节点被快速报告</w:t>
      </w:r>
      <w:r>
        <w:t xml:space="preserve"> </w:t>
      </w:r>
      <w:r>
        <w:rPr/>
        <w:fldChar w:fldCharType="begin"/>
      </w:r>
      <w:r>
        <w:instrText>NOTEREF _Ref_Footnote_34 \h \f</w:instrText>
      </w:r>
      <w:r>
        <w:rPr/>
        <w:fldChar w:fldCharType="separate"/>
      </w:r>
      <w:r>
        <w:rPr>
          <w:vertAlign w:val="superscript"/>
        </w:rPr>
        <w:t>34</w:t>
      </w:r>
      <w:r>
        <w:rPr/>
        <w:fldChar w:fldCharType="end"/>
      </w:r>
      <w:r>
        <w:t>。</w:t>
      </w:r>
    </w:p>
    <w:p w14:paraId="E7ADB062">
      <w:pPr>
        <w:pStyle w:val="style66"/>
        <w:rPr/>
      </w:pPr>
      <w:r>
        <w:t>节点不可达时的处理流程：Node Controller将Ready条件设为Unknown；持续不可达5分钟后触发API-initiated eviction，Pod被标记为删除并在健康节点重建；默认驱逐速率限制为每10秒最多1个节点上的Pod</w:t>
      </w:r>
      <w:r>
        <w:t xml:space="preserve"> </w:t>
      </w:r>
      <w:r>
        <w:rPr/>
        <w:fldChar w:fldCharType="begin"/>
      </w:r>
      <w:r>
        <w:instrText>NOTEREF _Ref_Footnote_195 \h \f</w:instrText>
      </w:r>
      <w:r>
        <w:rPr/>
        <w:fldChar w:fldCharType="separate"/>
      </w:r>
      <w:r>
        <w:rPr>
          <w:vertAlign w:val="superscript"/>
        </w:rPr>
        <w:t>195</w:t>
      </w:r>
      <w:r>
        <w:rPr/>
        <w:fldChar w:fldCharType="end"/>
      </w:r>
      <w:r>
        <w:t>。可用区故障时若不健康比例超55%，小集群（≤50节点）停止驱逐，大集群降至0.01速率——防止可用区与控制平面网络分区导致不必要驱逐</w:t>
      </w:r>
      <w:r>
        <w:t xml:space="preserve"> </w:t>
      </w:r>
      <w:r>
        <w:rPr/>
        <w:fldChar w:fldCharType="begin"/>
      </w:r>
      <w:r>
        <w:instrText>NOTEREF _Ref_Footnote_195 \h \f</w:instrText>
      </w:r>
      <w:r>
        <w:rPr/>
        <w:fldChar w:fldCharType="separate"/>
      </w:r>
      <w:r>
        <w:rPr>
          <w:vertAlign w:val="superscript"/>
        </w:rPr>
        <w:t>195</w:t>
      </w:r>
      <w:r>
        <w:rPr/>
        <w:fldChar w:fldCharType="end"/>
      </w:r>
      <w:r>
        <w:t>。kubelet在资源达硬阈值时主动驱逐Pod保护节点稳定性，默认包括可用内存&lt;100 MiB、节点文件系统&lt;10%、镜像文件系统&lt;15%</w:t>
      </w:r>
      <w:r>
        <w:t xml:space="preserve"> </w:t>
      </w:r>
      <w:r>
        <w:rPr>
          <w:vertAlign w:val="superscript"/>
        </w:rPr>
        <w:footnoteReference w:id="196"/>
      </w:r>
      <w:r>
        <w:t>。</w:t>
      </w:r>
    </w:p>
    <w:bookmarkStart w:id="121" w:name="高可用设计"/>
    <w:bookmarkEnd w:id="120"/>
    <w:bookmarkEnd w:id="117"/>
    <w:p w14:paraId="AA7B9754">
      <w:pPr>
        <w:pStyle w:val="style4103"/>
        <w:rPr/>
      </w:pPr>
      <w:r>
        <w:t>7.3 高可用设计</w:t>
      </w:r>
    </w:p>
    <w:bookmarkStart w:id="122" w:name="vm-高可用"/>
    <w:p w14:paraId="63A884D1">
      <w:pPr>
        <w:pStyle w:val="style4104"/>
        <w:rPr/>
      </w:pPr>
      <w:r>
        <w:t>7.3.1 VM 高可用</w:t>
      </w:r>
    </w:p>
    <w:p w14:paraId="2DCCBAF2">
      <w:pPr>
        <w:pStyle w:val="style4097"/>
        <w:rPr/>
      </w:pPr>
      <w:r>
        <w:t>VM高可用基于KVM + Pacemaker + Corosync经典架构，依赖三个前置条件：共享存储（iSCSI/NFS/Ceph RBD）确保所有节点可访问VM磁盘；Corosync提供集群通信层，负责成员管理、消息传递和仲裁判定；Pacemaker编排故障转移逻辑</w:t>
      </w:r>
      <w:r>
        <w:t xml:space="preserve"> </w:t>
      </w:r>
      <w:r>
        <w:rPr>
          <w:vertAlign w:val="superscript"/>
        </w:rPr>
        <w:footnoteReference w:id="197"/>
      </w:r>
      <w:r>
        <w:t xml:space="preserve"> </w:t>
      </w:r>
      <w:r>
        <w:rPr>
          <w:vertAlign w:val="superscript"/>
        </w:rPr>
        <w:footnoteReference w:id="198"/>
      </w:r>
      <w:r>
        <w:t>。故障转移流程为：Watchdog持续检测VM健康→Corosync心跳超时确认成员离线→Pacemaker触发决策→STONITH隔离故障节点→健康节点从共享存储重启VM→更新集群状态恢复服务。</w:t>
      </w:r>
    </w:p>
    <w:p w14:paraId="240950C8">
      <w:pPr>
        <w:pStyle w:val="style66"/>
        <w:rPr/>
      </w:pPr>
      <w:r>
        <w:t>该方案关键限制是对共享存储的强依赖——本地磁盘VM无法实现自动故障转移，仅依赖Kubernetes级Pod重新调度。KubeVirt VM存在额外约束：调度器不做自动负载均衡（非DRS）；迁移后Pod IP变化导致网络身份改变；节点故障不自动触发VM重启（需配合Pod驱逐）</w:t>
      </w:r>
      <w:r>
        <w:rPr/>
        <w:fldChar w:fldCharType="begin"/>
      </w:r>
      <w:r>
        <w:instrText>NOTEREF _Ref_Footnote_181 \h \f</w:instrText>
      </w:r>
      <w:r>
        <w:rPr/>
        <w:fldChar w:fldCharType="separate"/>
      </w:r>
      <w:r>
        <w:rPr>
          <w:vertAlign w:val="superscript"/>
        </w:rPr>
        <w:t>181</w:t>
      </w:r>
      <w:r>
        <w:rPr/>
        <w:fldChar w:fldCharType="end"/>
      </w:r>
      <w:r>
        <w:t>。因此VM高可用需结合两层机制：Pod驱逐触发VM在其他节点重建，Pacemaker确保重建后快速恢复。</w:t>
      </w:r>
    </w:p>
    <w:bookmarkStart w:id="123" w:name="容器高可用"/>
    <w:bookmarkEnd w:id="122"/>
    <w:p w14:paraId="5990DB24">
      <w:pPr>
        <w:pStyle w:val="style4104"/>
        <w:rPr/>
      </w:pPr>
      <w:r>
        <w:t>7.3.2 容器高可用</w:t>
      </w:r>
    </w:p>
    <w:p w14:paraId="355C5266">
      <w:pPr>
        <w:pStyle w:val="style4097"/>
        <w:rPr/>
      </w:pPr>
      <w:r>
        <w:t>Kubernetes四级自修复机制自上而下形成防御纵深，响应时间呈数量级递增</w:t>
      </w:r>
      <w:r>
        <w:t xml:space="preserve"> </w:t>
      </w:r>
      <w:r>
        <w:rPr>
          <w:vertAlign w:val="superscript"/>
        </w:rPr>
        <w:footnoteReference w:id="199"/>
      </w:r>
      <w:r>
        <w:t>。第一级容器重启（秒级）：kubelet检测失败容器根据restartPolicy重启，Always策略容器持续尝试恢复。第二级副本替换（十秒级）：Deployment/StatefulSet的ReplicaSet控制器监视状态，Pod失败时创建替换维持期望副本。第三级存储恢复（分钟级）：节点故障触发Pod重新调度，PersistentVolume控制器管理卷的分离与重新附加，有状态工作负载数据得以持久。第四级负载均衡移除（秒级）：EndpointSlice控制器从Service端点列表剔除失败Pod，kube-proxy同步信息确保流量只路由到健康端点</w:t>
      </w:r>
      <w:r>
        <w:t xml:space="preserve"> </w:t>
      </w:r>
      <w:r>
        <w:rPr/>
        <w:fldChar w:fldCharType="begin"/>
      </w:r>
      <w:r>
        <w:instrText>NOTEREF _Ref_Footnote_199 \h \f</w:instrText>
      </w:r>
      <w:r>
        <w:rPr/>
        <w:fldChar w:fldCharType="separate"/>
      </w:r>
      <w:r>
        <w:rPr>
          <w:vertAlign w:val="superscript"/>
        </w:rPr>
        <w:t>199</w:t>
      </w:r>
      <w:r>
        <w:rPr/>
        <w:fldChar w:fldCharType="end"/>
      </w:r>
      <w:r>
        <w:t>。四级机制确保即使底层基础设施故障，上层服务仍维持可用性。</w:t>
      </w:r>
    </w:p>
    <w:bookmarkStart w:id="124" w:name="脑裂防护"/>
    <w:bookmarkEnd w:id="123"/>
    <w:p w14:paraId="F86A0028">
      <w:pPr>
        <w:pStyle w:val="style4104"/>
        <w:rPr/>
      </w:pPr>
      <w:r>
        <w:t>7.3.3 脑裂防护</w:t>
      </w:r>
    </w:p>
    <w:p w14:paraId="446AACC2">
      <w:pPr>
        <w:pStyle w:val="style4097"/>
        <w:rPr/>
      </w:pPr>
      <w:r>
        <w:t>脑裂（Split-Brain）发生在网络分区导致多节点同时自认为Leader时，引发冲突写入和数据损坏</w:t>
      </w:r>
      <w:r>
        <w:t xml:space="preserve"> </w:t>
      </w:r>
      <w:r>
        <w:rPr>
          <w:vertAlign w:val="superscript"/>
        </w:rPr>
        <w:footnoteReference w:id="200"/>
      </w:r>
      <w:r>
        <w:t>。四层防护互补协作。第一层Raft仲裁（&gt;N/2）：3节点需2票、5节点需3票，分区时最多一个分区维持仲裁</w:t>
      </w:r>
      <w:r>
        <w:t xml:space="preserve"> </w:t>
      </w:r>
      <w:r>
        <w:rPr/>
        <w:fldChar w:fldCharType="begin"/>
      </w:r>
      <w:r>
        <w:instrText>NOTEREF _Ref_Footnote_18 \h \f</w:instrText>
      </w:r>
      <w:r>
        <w:rPr/>
        <w:fldChar w:fldCharType="separate"/>
      </w:r>
      <w:r>
        <w:rPr>
          <w:vertAlign w:val="superscript"/>
        </w:rPr>
        <w:t>18</w:t>
      </w:r>
      <w:r>
        <w:rPr/>
        <w:fldChar w:fldCharType="end"/>
      </w:r>
      <w:r>
        <w:t xml:space="preserve"> </w:t>
      </w:r>
      <w:r>
        <w:rPr/>
        <w:fldChar w:fldCharType="begin"/>
      </w:r>
      <w:r>
        <w:instrText>NOTEREF _Ref_Footnote_191 \h \f</w:instrText>
      </w:r>
      <w:r>
        <w:rPr/>
        <w:fldChar w:fldCharType="separate"/>
      </w:r>
      <w:r>
        <w:rPr>
          <w:vertAlign w:val="superscript"/>
        </w:rPr>
        <w:t>191</w:t>
      </w:r>
      <w:r>
        <w:rPr/>
        <w:fldChar w:fldCharType="end"/>
      </w:r>
      <w:r>
        <w:t>。第二层Fencing Token：每次选举产生递增term，存储层拒绝低term写入</w:t>
      </w:r>
      <w:r>
        <w:t xml:space="preserve"> </w:t>
      </w:r>
      <w:r>
        <w:rPr/>
        <w:fldChar w:fldCharType="begin"/>
      </w:r>
      <w:r>
        <w:instrText>NOTEREF _Ref_Footnote_200 \h \f</w:instrText>
      </w:r>
      <w:r>
        <w:rPr/>
        <w:fldChar w:fldCharType="separate"/>
      </w:r>
      <w:r>
        <w:rPr>
          <w:vertAlign w:val="superscript"/>
        </w:rPr>
        <w:t>200</w:t>
      </w:r>
      <w:r>
        <w:rPr/>
        <w:fldChar w:fldCharType="end"/>
      </w:r>
      <w:r>
        <w:t>。第三层STONITH：通过IPMI或hypervisor API强制关闭疑似故障节点，Pacemaker生产集群要求必须配置，代理包括fence_ipmilan、fence_xvm、fence_sbd</w:t>
      </w:r>
      <w:r>
        <w:t xml:space="preserve"> </w:t>
      </w:r>
      <w:r>
        <w:rPr>
          <w:vertAlign w:val="superscript"/>
        </w:rPr>
        <w:footnoteReference w:id="201"/>
      </w:r>
      <w:r>
        <w:t xml:space="preserve"> </w:t>
      </w:r>
      <w:r>
        <w:rPr>
          <w:vertAlign w:val="superscript"/>
        </w:rPr>
        <w:footnoteReference w:id="202"/>
      </w:r>
      <w:r>
        <w:t>。第四层租约机制：Leader持有时间限制租约须持续续租，到期前停止操作，防止GC暂停导致脑裂</w:t>
      </w:r>
      <w:r>
        <w:t xml:space="preserve"> </w:t>
      </w:r>
      <w:r>
        <w:rPr/>
        <w:fldChar w:fldCharType="begin"/>
      </w:r>
      <w:r>
        <w:instrText>NOTEREF _Ref_Footnote_200 \h \f</w:instrText>
      </w:r>
      <w:r>
        <w:rPr/>
        <w:fldChar w:fldCharType="separate"/>
      </w:r>
      <w:r>
        <w:rPr>
          <w:vertAlign w:val="superscript"/>
        </w:rPr>
        <w:t>200</w:t>
      </w:r>
      <w:r>
        <w:rPr/>
        <w:fldChar w:fldCharType="end"/>
      </w:r>
      <w:r>
        <w:t>。</w:t>
      </w:r>
    </w:p>
    <w:p w14:paraId="BC93DBA8">
      <w:pPr>
        <w:pStyle w:val="style66"/>
        <w:rPr/>
      </w:pPr>
      <w:r>
        <w:t>四层关系：仲裁防多Leader选举，Token防废黜Leader写入，STONITH物理确保离线，租约覆盖Raft无法处理的GC暂停等场景</w:t>
      </w:r>
      <w:r>
        <w:t xml:space="preserve"> </w:t>
      </w:r>
      <w:r>
        <w:rPr/>
        <w:fldChar w:fldCharType="begin"/>
      </w:r>
      <w:r>
        <w:instrText>NOTEREF _Ref_Footnote_200 \h \f</w:instrText>
      </w:r>
      <w:r>
        <w:rPr/>
        <w:fldChar w:fldCharType="separate"/>
      </w:r>
      <w:r>
        <w:rPr>
          <w:vertAlign w:val="superscript"/>
        </w:rPr>
        <w:t>200</w:t>
      </w:r>
      <w:r>
        <w:rPr/>
        <w:fldChar w:fldCharType="end"/>
      </w:r>
      <w:r>
        <w:t>。</w:t>
      </w:r>
    </w:p>
    <w:bookmarkStart w:id="125" w:name="资源调度策略"/>
    <w:bookmarkEnd w:id="124"/>
    <w:bookmarkEnd w:id="121"/>
    <w:p w14:paraId="18C32595">
      <w:pPr>
        <w:pStyle w:val="style4103"/>
        <w:rPr/>
      </w:pPr>
      <w:r>
        <w:t>7.4 资源调度策略</w:t>
      </w:r>
    </w:p>
    <w:bookmarkStart w:id="126" w:name="混合负载调度"/>
    <w:p w14:paraId="949DA481">
      <w:pPr>
        <w:pStyle w:val="style4104"/>
        <w:rPr/>
      </w:pPr>
      <w:r>
        <w:t>7.4.1 混合负载调度</w:t>
      </w:r>
    </w:p>
    <w:p w14:paraId="90D667ED">
      <w:pPr>
        <w:pStyle w:val="style4097"/>
        <w:rPr/>
      </w:pPr>
      <w:r>
        <w:t>容器与VM混合负载通过Kubernetes Scheduling Framework调度，该框架定义QueueSort、PreFilter、Filter、PostFilter、PreScore、Score、Reserve、Permit、Bind等扩展点，允许注入自定义逻辑</w:t>
      </w:r>
      <w:r>
        <w:t xml:space="preserve"> </w:t>
      </w:r>
      <w:r>
        <w:rPr/>
        <w:fldChar w:fldCharType="begin"/>
      </w:r>
      <w:r>
        <w:instrText>NOTEREF _Ref_Footnote_188 \h \f</w:instrText>
      </w:r>
      <w:r>
        <w:rPr/>
        <w:fldChar w:fldCharType="separate"/>
      </w:r>
      <w:r>
        <w:rPr>
          <w:vertAlign w:val="superscript"/>
        </w:rPr>
        <w:t>188</w:t>
      </w:r>
      <w:r>
        <w:rPr/>
        <w:fldChar w:fldCharType="end"/>
      </w:r>
      <w:r>
        <w:t xml:space="preserve"> </w:t>
      </w:r>
      <w:r>
        <w:rPr/>
        <w:fldChar w:fldCharType="begin"/>
      </w:r>
      <w:r>
        <w:instrText>NOTEREF _Ref_Footnote_16 \h \f</w:instrText>
      </w:r>
      <w:r>
        <w:rPr/>
        <w:fldChar w:fldCharType="separate"/>
      </w:r>
      <w:r>
        <w:rPr>
          <w:vertAlign w:val="superscript"/>
        </w:rPr>
        <w:t>16</w:t>
      </w:r>
      <w:r>
        <w:rPr/>
        <w:fldChar w:fldCharType="end"/>
      </w:r>
      <w:r>
        <w:t>。VM感知调度插件在各扩展点注入特定逻辑：PreFilter验证VM资源请求合法性；Filter检查节点虚拟化支持（KVM嵌套虚拟化）、GPU/直通设备可用性；Score阶段通过VMHostUtilization插件（权重3）优化VM密度，NUMATopologyAlignment插件（权重5）确保vCPU与内存分配在同一NUMA节点</w:t>
      </w:r>
      <w:r>
        <w:t xml:space="preserve"> </w:t>
      </w:r>
      <w:r>
        <w:rPr/>
        <w:fldChar w:fldCharType="begin"/>
      </w:r>
      <w:r>
        <w:instrText>NOTEREF _Ref_Footnote_25 \h \f</w:instrText>
      </w:r>
      <w:r>
        <w:rPr/>
        <w:fldChar w:fldCharType="separate"/>
      </w:r>
      <w:r>
        <w:rPr>
          <w:vertAlign w:val="superscript"/>
        </w:rPr>
        <w:t>25</w:t>
      </w:r>
      <w:r>
        <w:rPr/>
        <w:fldChar w:fldCharType="end"/>
      </w:r>
      <w:r>
        <w:t>。</w:t>
      </w:r>
    </w:p>
    <w:p w14:paraId="061F66B4">
      <w:pPr>
        <w:pStyle w:val="style66"/>
        <w:rPr/>
      </w:pPr>
      <w:r>
        <w:t>NUMA感知对VM尤为关键——OpenStack Nova成熟支持CPU pinning和内存本地性，Kubernetes默认支持有限</w:t>
      </w:r>
      <w:r>
        <w:t xml:space="preserve"> </w:t>
      </w:r>
      <w:r>
        <w:rPr/>
        <w:fldChar w:fldCharType="begin"/>
      </w:r>
      <w:r>
        <w:instrText>NOTEREF _Ref_Footnote_120 \h \f</w:instrText>
      </w:r>
      <w:r>
        <w:rPr/>
        <w:fldChar w:fldCharType="separate"/>
      </w:r>
      <w:r>
        <w:rPr>
          <w:vertAlign w:val="superscript"/>
        </w:rPr>
        <w:t>120</w:t>
      </w:r>
      <w:r>
        <w:rPr/>
        <w:fldChar w:fldCharType="end"/>
      </w:r>
      <w:r>
        <w:t xml:space="preserve"> </w:t>
      </w:r>
      <w:r>
        <w:rPr/>
        <w:fldChar w:fldCharType="begin"/>
      </w:r>
      <w:r>
        <w:instrText>NOTEREF _Ref_Footnote_112 \h \f</w:instrText>
      </w:r>
      <w:r>
        <w:rPr/>
        <w:fldChar w:fldCharType="separate"/>
      </w:r>
      <w:r>
        <w:rPr>
          <w:vertAlign w:val="superscript"/>
        </w:rPr>
        <w:t>112</w:t>
      </w:r>
      <w:r>
        <w:rPr/>
        <w:fldChar w:fldCharType="end"/>
      </w:r>
      <w:r>
        <w:t>。自定义插件通过Device Plugin读取节点NUMA拓扑，在Score阶段为对齐节点赋更高分数。多Profile调度器支持为不同负载定义独立策略，如gpu-aware-scheduler启用GPUAware Filter/Score插件，latency-optimized-scheduler优先选择已预置镜像的低负载节点，通过</w:t>
      </w:r>
      <w:r>
        <w:rPr>
          <w:rStyle w:val="style4120"/>
        </w:rPr>
        <w:t>spec.schedulerName</w:t>
      </w:r>
      <w:r>
        <w:t>指定实现同一集群内多策略共存</w:t>
      </w:r>
      <w:r>
        <w:t xml:space="preserve"> </w:t>
      </w:r>
      <w:r>
        <w:rPr/>
        <w:fldChar w:fldCharType="begin"/>
      </w:r>
      <w:r>
        <w:instrText>NOTEREF _Ref_Footnote_16 \h \f</w:instrText>
      </w:r>
      <w:r>
        <w:rPr/>
        <w:fldChar w:fldCharType="separate"/>
      </w:r>
      <w:r>
        <w:rPr>
          <w:vertAlign w:val="superscript"/>
        </w:rPr>
        <w:t>16</w:t>
      </w:r>
      <w:r>
        <w:rPr/>
        <w:fldChar w:fldCharType="end"/>
      </w:r>
      <w:r>
        <w:t>。</w:t>
      </w:r>
    </w:p>
    <w:bookmarkStart w:id="127" w:name="弹性伸缩"/>
    <w:bookmarkEnd w:id="126"/>
    <w:p w14:paraId="53890728">
      <w:pPr>
        <w:pStyle w:val="style4104"/>
        <w:rPr/>
      </w:pPr>
      <w:r>
        <w:t>7.4.2 弹性伸缩</w:t>
      </w:r>
    </w:p>
    <w:p w14:paraId="73AE3310">
      <w:pPr>
        <w:pStyle w:val="style4097"/>
        <w:rPr/>
      </w:pPr>
      <w:r>
        <w:t>平台实现HPA+VPA+Cluster Autoscaler全栈弹性。HPA控制循环约每15秒运行一次</w:t>
      </w:r>
      <w:r>
        <w:t xml:space="preserve"> </w:t>
      </w:r>
      <w:r>
        <w:rPr>
          <w:vertAlign w:val="superscript"/>
        </w:rPr>
        <w:footnoteReference w:id="203"/>
      </w:r>
      <w:r>
        <w:t>，通过Metrics Server或Prometheus收集指标，计算所需副本数。HPA支持behavior控制——缩容配置5分钟稳定窗口防震荡，扩容0秒窗口快速响应突发</w:t>
      </w:r>
      <w:r>
        <w:t xml:space="preserve"> </w:t>
      </w:r>
      <w:r>
        <w:rPr/>
        <w:fldChar w:fldCharType="begin"/>
      </w:r>
      <w:r>
        <w:instrText>NOTEREF _Ref_Footnote_1 \h \f</w:instrText>
      </w:r>
      <w:r>
        <w:rPr/>
        <w:fldChar w:fldCharType="separate"/>
      </w:r>
      <w:r>
        <w:rPr>
          <w:vertAlign w:val="superscript"/>
        </w:rPr>
        <w:t>1</w:t>
      </w:r>
      <w:r>
        <w:rPr/>
        <w:fldChar w:fldCharType="end"/>
      </w:r>
      <w:r>
        <w:t>，但基于利用率的扩缩容滞后于负载变化</w:t>
      </w:r>
      <w:r>
        <w:t xml:space="preserve"> </w:t>
      </w:r>
      <w:r>
        <w:rPr>
          <w:vertAlign w:val="superscript"/>
        </w:rPr>
        <w:footnoteReference w:id="204"/>
      </w:r>
      <w:r>
        <w:t>。</w:t>
      </w:r>
    </w:p>
    <w:p w14:paraId="EFD7D2BC">
      <w:pPr>
        <w:pStyle w:val="style66"/>
        <w:rPr/>
      </w:pPr>
      <w:r>
        <w:t>VPA自动调整容器CPU和内存请求，适用于无法水平扩展的有状态应用，应用新配置需重启Pod</w:t>
      </w:r>
      <w:r>
        <w:t xml:space="preserve"> </w:t>
      </w:r>
      <w:r>
        <w:rPr/>
        <w:fldChar w:fldCharType="begin"/>
      </w:r>
      <w:r>
        <w:instrText>NOTEREF _Ref_Footnote_197 \h \f</w:instrText>
      </w:r>
      <w:r>
        <w:rPr/>
        <w:fldChar w:fldCharType="separate"/>
      </w:r>
      <w:r>
        <w:rPr>
          <w:vertAlign w:val="superscript"/>
        </w:rPr>
        <w:t>197</w:t>
      </w:r>
      <w:r>
        <w:rPr/>
        <w:fldChar w:fldCharType="end"/>
      </w:r>
      <w:r>
        <w:t>。VPA与HPA通常不兼容，工作负载创建时需选择弹性模式。Cluster Autoscaler在节点级实现弹性：不可调度Pod触发加节点，低利用率触发减节点</w:t>
      </w:r>
      <w:r>
        <w:t xml:space="preserve"> </w:t>
      </w:r>
      <w:r>
        <w:rPr>
          <w:vertAlign w:val="superscript"/>
        </w:rPr>
        <w:footnoteReference w:id="205"/>
      </w:r>
      <w:r>
        <w:t>。HPA与Cluster Autoscaler协同形成全栈链路，总响应约1-3分钟。</w:t>
      </w:r>
    </w:p>
    <w:bookmarkStart w:id="128" w:name="资源配额与限制"/>
    <w:bookmarkEnd w:id="127"/>
    <w:p w14:paraId="EB94D55A">
      <w:pPr>
        <w:pStyle w:val="style4104"/>
        <w:rPr/>
      </w:pPr>
      <w:r>
        <w:t>7.4.3 资源配额与限制</w:t>
      </w:r>
    </w:p>
    <w:p w14:paraId="A301F5F4">
      <w:pPr>
        <w:pStyle w:val="style4097"/>
        <w:rPr/>
      </w:pPr>
      <w:r>
        <w:t>多租户资源管控通过四层机制实现，管理粒度逐级递减。第一层Pod Overhead：RuntimeClass的overhead字段声明运行时额外开销（Kata guest kernel内存、qemu进程CPU），自动计入调度决策和节点容量计算，防止因核算不足导致超售</w:t>
      </w:r>
      <w:r>
        <w:t xml:space="preserve"> </w:t>
      </w:r>
      <w:r>
        <w:rPr/>
        <w:fldChar w:fldCharType="begin"/>
      </w:r>
      <w:r>
        <w:instrText>NOTEREF _Ref_Footnote_98 \h \f</w:instrText>
      </w:r>
      <w:r>
        <w:rPr/>
        <w:fldChar w:fldCharType="separate"/>
      </w:r>
      <w:r>
        <w:rPr>
          <w:vertAlign w:val="superscript"/>
        </w:rPr>
        <w:t>98</w:t>
      </w:r>
      <w:r>
        <w:rPr/>
        <w:fldChar w:fldCharType="end"/>
      </w:r>
      <w:r>
        <w:t>。KubeVirt每VM额外开销&gt;110 MB（libvirtd+launcher），Virtink基于Cloud Hypervisor可降至~30 MB</w:t>
      </w:r>
      <w:r>
        <w:t xml:space="preserve"> </w:t>
      </w:r>
      <w:r>
        <w:rPr/>
        <w:fldChar w:fldCharType="begin"/>
      </w:r>
      <w:r>
        <w:instrText>NOTEREF _Ref_Footnote_54 \h \f</w:instrText>
      </w:r>
      <w:r>
        <w:rPr/>
        <w:fldChar w:fldCharType="separate"/>
      </w:r>
      <w:r>
        <w:rPr>
          <w:vertAlign w:val="superscript"/>
        </w:rPr>
        <w:t>54</w:t>
      </w:r>
      <w:r>
        <w:rPr/>
        <w:fldChar w:fldCharType="end"/>
      </w:r>
      <w:r>
        <w:t xml:space="preserve"> </w:t>
      </w:r>
      <w:r>
        <w:rPr/>
        <w:fldChar w:fldCharType="begin"/>
      </w:r>
      <w:r>
        <w:instrText>NOTEREF _Ref_Footnote_4 \h \f</w:instrText>
      </w:r>
      <w:r>
        <w:rPr/>
        <w:fldChar w:fldCharType="separate"/>
      </w:r>
      <w:r>
        <w:rPr>
          <w:vertAlign w:val="superscript"/>
        </w:rPr>
        <w:t>4</w:t>
      </w:r>
      <w:r>
        <w:rPr/>
        <w:fldChar w:fldCharType="end"/>
      </w:r>
      <w:r>
        <w:t>。第二层ResourceQuota：Namespace级限制资源总消耗（CPU/内存/存储上限）和对象计数（Pod/Service数量）</w:t>
      </w:r>
      <w:r>
        <w:rPr>
          <w:vertAlign w:val="superscript"/>
        </w:rPr>
        <w:footnoteReference w:id="206"/>
      </w:r>
      <w:r>
        <w:t>。第三层LimitRange：Namespace内对单个Pod设置资源默认值与上下限。第四层Incus Project配额：对incus运行时管理的系统容器和VM实现独立配额，包括实例数量、CPU/内存总量、磁盘空间和网络带宽限制</w:t>
      </w:r>
      <w:r>
        <w:t xml:space="preserve"> </w:t>
      </w:r>
      <w:r>
        <w:rPr/>
        <w:fldChar w:fldCharType="begin"/>
      </w:r>
      <w:r>
        <w:instrText>NOTEREF _Ref_Footnote_102 \h \f</w:instrText>
      </w:r>
      <w:r>
        <w:rPr/>
        <w:fldChar w:fldCharType="separate"/>
      </w:r>
      <w:r>
        <w:rPr>
          <w:vertAlign w:val="superscript"/>
        </w:rPr>
        <w:t>102</w:t>
      </w:r>
      <w:r>
        <w:rPr/>
        <w:fldChar w:fldCharType="end"/>
      </w:r>
      <w:r>
        <w:t>。四层叠加确保多租户环境下的资源公平分配与集群整体稳定性</w:t>
      </w:r>
      <w:r>
        <w:t xml:space="preserve"> </w:t>
      </w:r>
      <w:r>
        <w:rPr/>
        <w:fldChar w:fldCharType="begin"/>
      </w:r>
      <w:r>
        <w:instrText>NOTEREF _Ref_Footnote_206 \h \f</w:instrText>
      </w:r>
      <w:r>
        <w:rPr/>
        <w:fldChar w:fldCharType="separate"/>
      </w:r>
      <w:r>
        <w:rPr>
          <w:vertAlign w:val="superscript"/>
        </w:rPr>
        <w:t>206</w:t>
      </w:r>
      <w:r>
        <w:rPr/>
        <w:fldChar w:fldCharType="end"/>
      </w:r>
      <w:r>
        <w:t xml:space="preserve"> </w:t>
      </w:r>
      <w:r>
        <w:rPr>
          <w:vertAlign w:val="superscript"/>
        </w:rPr>
        <w:footnoteReference w:id="207"/>
      </w:r>
      <w:r>
        <w:t>。</w:t>
      </w:r>
    </w:p>
    <w:p w14:paraId="53A4F7C0">
      <w:pPr>
        <w:pStyle w:val="style0"/>
        <w:rPr/>
      </w:pPr>
      <w:r>
        <w:rPr/>
        <w:pict>
          <v:rect id="1043" stroked="t" style="margin-left:0.0pt;margin-top:0.0pt;width:0.0pt;height:1.5pt;mso-wrap-distance-left:0.0pt;mso-wrap-distance-right:0.0pt;visibility:visible;" o:hr="t" o:hralign="center" o:hrstd="t">
            <v:fill/>
          </v:rect>
        </w:pict>
      </w:r>
    </w:p>
    <w:bookmarkStart w:id="129" w:name="api-与生态系统"/>
    <w:bookmarkEnd w:id="128"/>
    <w:bookmarkEnd w:id="125"/>
    <w:bookmarkEnd w:id="112"/>
    <w:p w14:paraId="6A8934F8">
      <w:pPr>
        <w:pStyle w:val="style4102"/>
        <w:rPr/>
      </w:pPr>
      <w:r>
        <w:t>8. API 与生态系统</w:t>
      </w:r>
    </w:p>
    <w:p w14:paraId="D2F6B3B8">
      <w:pPr>
        <w:pStyle w:val="style4097"/>
        <w:rPr/>
      </w:pPr>
      <w:r>
        <w:t>API 架构与生态系统兼容性决定了 CubeSandbox 平台能否融入现有的云原生技术栈，并为用户提供可扩展、可自动化的基础设施管理能力。一个面向混合容器运行时平台的 API 设计必须在多协议性能、接口标准化和工具链覆盖之间取得平衡。本章从 API 架构设计、OCI（Open Container Initiative，开放容器倡议）兼容性以及生态系统集成三个维度，提出可落地的技术方案。</w:t>
      </w:r>
    </w:p>
    <w:bookmarkStart w:id="130" w:name="api-架构设计"/>
    <w:p w14:paraId="7DDA71DE">
      <w:pPr>
        <w:pStyle w:val="style4103"/>
        <w:rPr/>
      </w:pPr>
      <w:r>
        <w:t>8.1 API 架构设计</w:t>
      </w:r>
    </w:p>
    <w:bookmarkStart w:id="131" w:name="混合-api-架构rest-grpc-websocket-的三协议策略"/>
    <w:p w14:paraId="A1D645BE">
      <w:pPr>
        <w:pStyle w:val="style4104"/>
        <w:rPr/>
      </w:pPr>
      <w:r>
        <w:t>8.1.1 混合 API 架构：REST + gRPC + WebSocket 的三协议策略</w:t>
      </w:r>
    </w:p>
    <w:p w14:paraId="C54E8573">
      <w:pPr>
        <w:pStyle w:val="style4097"/>
        <w:rPr/>
      </w:pPr>
      <w:r>
        <w:t>单一协议难以同时满足外部开发者友好性、内部服务通信效率和实时事件推送三类需求。研究表明，采用 REST（Representational State Transfer，表述性状态传递）面向外部客户端、gRPC 面向内部服务间通信、WebSocket 面向实时事件流的三协议混合架构，是当前容器管理平台的主流实践</w:t>
      </w:r>
      <w:r>
        <w:t xml:space="preserve"> </w:t>
      </w:r>
      <w:r>
        <w:rPr>
          <w:vertAlign w:val="superscript"/>
        </w:rPr>
        <w:footnoteReference w:id="208"/>
      </w:r>
      <w:r>
        <w:t>。</w:t>
      </w:r>
    </w:p>
    <w:p w14:paraId="1F423AF6">
      <w:pPr>
        <w:pStyle w:val="style4118"/>
        <w:rPr/>
      </w:pPr>
      <w:r>
        <w:rPr/>
        <w:drawing>
          <wp:inline distL="0" distT="0" distB="0" distR="0">
            <wp:extent cx="5334000" cy="2966936"/>
            <wp:effectExtent l="0" t="0" r="0" b="0"/>
            <wp:docPr id="1044" name="Picture" descr="gRPC vs REST 性能对比"/>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12" cstate="print"/>
                    <a:srcRect l="0" t="0" r="0" b="0"/>
                    <a:stretch/>
                  </pic:blipFill>
                  <pic:spPr>
                    <a:xfrm rot="0">
                      <a:off x="0" y="0"/>
                      <a:ext cx="5334000" cy="2966936"/>
                    </a:xfrm>
                    <a:prstGeom prst="rect"/>
                    <a:ln>
                      <a:noFill/>
                    </a:ln>
                  </pic:spPr>
                </pic:pic>
              </a:graphicData>
            </a:graphic>
          </wp:inline>
        </w:drawing>
      </w:r>
    </w:p>
    <w:p w14:paraId="75E600DE">
      <w:pPr>
        <w:pStyle w:val="style4116"/>
        <w:rPr/>
      </w:pPr>
      <w:r>
        <w:t>gRPC vs REST 性能对比</w:t>
      </w:r>
    </w:p>
    <w:p w14:paraId="B23EA840">
      <w:pPr>
        <w:pStyle w:val="style66"/>
        <w:rPr/>
      </w:pPr>
      <w:r>
        <w:rPr>
          <w:b/>
          <w:bCs/>
        </w:rPr>
        <w:t>图 8-1</w:t>
      </w:r>
      <w:r>
        <w:t xml:space="preserve"> </w:t>
      </w:r>
      <w:r>
        <w:t>gRPC 与 REST 跨关键指标的性能对比（数值为 gRPC 相对于 REST 基线的百分比，越低表示 gRPC 性能越优）</w:t>
      </w:r>
    </w:p>
    <w:p w14:paraId="1074739E">
      <w:pPr>
        <w:pStyle w:val="style66"/>
        <w:rPr/>
      </w:pPr>
      <w:r>
        <w:rPr>
          <w:b/>
          <w:bCs/>
        </w:rPr>
        <w:t>表 8-1</w:t>
      </w:r>
      <w:r>
        <w:t xml:space="preserve"> </w:t>
      </w:r>
      <w:r>
        <w:t>三协议特性对比与适用场景</w:t>
      </w:r>
    </w:p>
    <w:tbl>
      <w:tblPr>
        <w:tblStyle w:val="style4111"/>
        <w:tblW w:w="5000" w:type="pct"/>
        <w:tblLook w:val="0020" w:firstRow="1" w:lastRow="0" w:firstColumn="0" w:lastColumn="0" w:noHBand="0" w:noVBand="0"/>
      </w:tblPr>
      <w:tblGrid>
        <w:gridCol w:w="1076"/>
        <w:gridCol w:w="2432"/>
        <w:gridCol w:w="2341"/>
        <w:gridCol w:w="2069"/>
      </w:tblGrid>
      <w:tr w14:paraId="A5621093">
        <w:trPr>
          <w:tblHeader/>
        </w:trPr>
        <w:tc>
          <w:tcPr>
            <w:tcW w:w="0" w:type="auto"/>
            <w:tcBorders/>
          </w:tcPr>
          <w:p w14:paraId="CDBA83E4">
            <w:pPr>
              <w:pStyle w:val="style4098"/>
              <w:jc w:val="left"/>
              <w:rPr/>
            </w:pPr>
            <w:r>
              <w:t>维度</w:t>
            </w:r>
          </w:p>
        </w:tc>
        <w:tc>
          <w:tcPr>
            <w:tcW w:w="0" w:type="auto"/>
            <w:tcBorders/>
          </w:tcPr>
          <w:p w14:paraId="44C27165">
            <w:pPr>
              <w:pStyle w:val="style4098"/>
              <w:jc w:val="left"/>
              <w:rPr/>
            </w:pPr>
            <w:r>
              <w:t>REST (HTTP/1.1)</w:t>
            </w:r>
          </w:p>
        </w:tc>
        <w:tc>
          <w:tcPr>
            <w:tcW w:w="0" w:type="auto"/>
            <w:tcBorders/>
          </w:tcPr>
          <w:p w14:paraId="9E860D66">
            <w:pPr>
              <w:pStyle w:val="style4098"/>
              <w:jc w:val="left"/>
              <w:rPr/>
            </w:pPr>
            <w:r>
              <w:t>gRPC (HTTP/2)</w:t>
            </w:r>
          </w:p>
        </w:tc>
        <w:tc>
          <w:tcPr>
            <w:tcW w:w="0" w:type="auto"/>
            <w:tcBorders/>
          </w:tcPr>
          <w:p w14:paraId="7C6CAB1C">
            <w:pPr>
              <w:pStyle w:val="style4098"/>
              <w:jc w:val="left"/>
              <w:rPr/>
            </w:pPr>
            <w:r>
              <w:t>WebSocket</w:t>
            </w:r>
          </w:p>
        </w:tc>
      </w:tr>
      <w:tr w14:paraId="3BD583DE">
        <w:tblPrEx/>
        <w:trPr/>
        <w:tc>
          <w:tcPr>
            <w:tcW w:w="0" w:type="auto"/>
            <w:tcBorders/>
          </w:tcPr>
          <w:p w14:paraId="47D19EE9">
            <w:pPr>
              <w:pStyle w:val="style4098"/>
              <w:jc w:val="left"/>
              <w:rPr/>
            </w:pPr>
            <w:r>
              <w:t>传输协议</w:t>
            </w:r>
          </w:p>
        </w:tc>
        <w:tc>
          <w:tcPr>
            <w:tcW w:w="0" w:type="auto"/>
            <w:tcBorders/>
          </w:tcPr>
          <w:p w14:paraId="DDFE5E8E">
            <w:pPr>
              <w:pStyle w:val="style4098"/>
              <w:jc w:val="left"/>
              <w:rPr/>
            </w:pPr>
            <w:r>
              <w:t>HTTP/1.1</w:t>
            </w:r>
          </w:p>
        </w:tc>
        <w:tc>
          <w:tcPr>
            <w:tcW w:w="0" w:type="auto"/>
            <w:tcBorders/>
          </w:tcPr>
          <w:p w14:paraId="7B2C4DA6">
            <w:pPr>
              <w:pStyle w:val="style4098"/>
              <w:jc w:val="left"/>
              <w:rPr/>
            </w:pPr>
            <w:r>
              <w:t>HTTP/2</w:t>
            </w:r>
          </w:p>
        </w:tc>
        <w:tc>
          <w:tcPr>
            <w:tcW w:w="0" w:type="auto"/>
            <w:tcBorders/>
          </w:tcPr>
          <w:p w14:paraId="D96EF201">
            <w:pPr>
              <w:pStyle w:val="style4098"/>
              <w:jc w:val="left"/>
              <w:rPr/>
            </w:pPr>
            <w:r>
              <w:t>TCP（全双工）</w:t>
            </w:r>
          </w:p>
        </w:tc>
      </w:tr>
      <w:tr w14:paraId="447E0363">
        <w:tblPrEx/>
        <w:trPr/>
        <w:tc>
          <w:tcPr>
            <w:tcW w:w="0" w:type="auto"/>
            <w:tcBorders/>
          </w:tcPr>
          <w:p w14:paraId="6D6CC0F5">
            <w:pPr>
              <w:pStyle w:val="style4098"/>
              <w:jc w:val="left"/>
              <w:rPr/>
            </w:pPr>
            <w:r>
              <w:t>数据格式</w:t>
            </w:r>
          </w:p>
        </w:tc>
        <w:tc>
          <w:tcPr>
            <w:tcW w:w="0" w:type="auto"/>
            <w:tcBorders/>
          </w:tcPr>
          <w:p w14:paraId="5D803EC5">
            <w:pPr>
              <w:pStyle w:val="style4098"/>
              <w:jc w:val="left"/>
              <w:rPr/>
            </w:pPr>
            <w:r>
              <w:t>JSON/XML</w:t>
            </w:r>
          </w:p>
        </w:tc>
        <w:tc>
          <w:tcPr>
            <w:tcW w:w="0" w:type="auto"/>
            <w:tcBorders/>
          </w:tcPr>
          <w:p w14:paraId="F6AA1386">
            <w:pPr>
              <w:pStyle w:val="style4098"/>
              <w:jc w:val="left"/>
              <w:rPr/>
            </w:pPr>
            <w:r>
              <w:t>Protocol Buffers（二进制）</w:t>
            </w:r>
          </w:p>
        </w:tc>
        <w:tc>
          <w:tcPr>
            <w:tcW w:w="0" w:type="auto"/>
            <w:tcBorders/>
          </w:tcPr>
          <w:p w14:paraId="82FCC46C">
            <w:pPr>
              <w:pStyle w:val="style4098"/>
              <w:jc w:val="left"/>
              <w:rPr/>
            </w:pPr>
            <w:r>
              <w:t>帧（JSON/二进制）</w:t>
            </w:r>
          </w:p>
        </w:tc>
      </w:tr>
      <w:tr w14:paraId="92A7385B">
        <w:tblPrEx/>
        <w:trPr/>
        <w:tc>
          <w:tcPr>
            <w:tcW w:w="0" w:type="auto"/>
            <w:tcBorders/>
          </w:tcPr>
          <w:p w14:paraId="C1390377">
            <w:pPr>
              <w:pStyle w:val="style4098"/>
              <w:jc w:val="left"/>
              <w:rPr/>
            </w:pPr>
            <w:r>
              <w:t>流式通信</w:t>
            </w:r>
          </w:p>
        </w:tc>
        <w:tc>
          <w:tcPr>
            <w:tcW w:w="0" w:type="auto"/>
            <w:tcBorders/>
          </w:tcPr>
          <w:p w14:paraId="3C4C6409">
            <w:pPr>
              <w:pStyle w:val="style4098"/>
              <w:jc w:val="left"/>
              <w:rPr/>
            </w:pPr>
            <w:r>
              <w:t>单向请求/响应，需轮询</w:t>
            </w:r>
          </w:p>
        </w:tc>
        <w:tc>
          <w:tcPr>
            <w:tcW w:w="0" w:type="auto"/>
            <w:tcBorders/>
          </w:tcPr>
          <w:p w14:paraId="2BA1DCF8">
            <w:pPr>
              <w:pStyle w:val="style4098"/>
              <w:jc w:val="left"/>
              <w:rPr/>
            </w:pPr>
            <w:r>
              <w:t>原生客户端/服务端/双向流</w:t>
            </w:r>
          </w:p>
        </w:tc>
        <w:tc>
          <w:tcPr>
            <w:tcW w:w="0" w:type="auto"/>
            <w:tcBorders/>
          </w:tcPr>
          <w:p w14:paraId="A27DE36C">
            <w:pPr>
              <w:pStyle w:val="style4098"/>
              <w:jc w:val="left"/>
              <w:rPr/>
            </w:pPr>
            <w:r>
              <w:t>全双工持续连接</w:t>
            </w:r>
          </w:p>
        </w:tc>
      </w:tr>
      <w:tr w14:paraId="EF8B305E">
        <w:tblPrEx/>
        <w:trPr/>
        <w:tc>
          <w:tcPr>
            <w:tcW w:w="0" w:type="auto"/>
            <w:tcBorders/>
          </w:tcPr>
          <w:p w14:paraId="E64AF997">
            <w:pPr>
              <w:pStyle w:val="style4098"/>
              <w:jc w:val="left"/>
              <w:rPr/>
            </w:pPr>
            <w:r>
              <w:t>小负载延迟</w:t>
            </w:r>
          </w:p>
        </w:tc>
        <w:tc>
          <w:tcPr>
            <w:tcW w:w="0" w:type="auto"/>
            <w:tcBorders/>
          </w:tcPr>
          <w:p w14:paraId="1218CE07">
            <w:pPr>
              <w:pStyle w:val="style4098"/>
              <w:jc w:val="left"/>
              <w:rPr/>
            </w:pPr>
            <w:r>
              <w:t>基线（100%）</w:t>
            </w:r>
          </w:p>
        </w:tc>
        <w:tc>
          <w:tcPr>
            <w:tcW w:w="0" w:type="auto"/>
            <w:tcBorders/>
          </w:tcPr>
          <w:p w14:paraId="C0372061">
            <w:pPr>
              <w:pStyle w:val="style4098"/>
              <w:jc w:val="left"/>
              <w:rPr/>
            </w:pPr>
            <w:r>
              <w:t>比 REST 快 77%</w:t>
            </w:r>
            <w:r>
              <w:t xml:space="preserve"> </w:t>
            </w:r>
            <w:r>
              <w:rPr/>
              <w:fldChar w:fldCharType="begin"/>
            </w:r>
            <w:r>
              <w:instrText>NOTEREF _Ref_Footnote_29 \h \f</w:instrText>
            </w:r>
            <w:r>
              <w:rPr/>
              <w:fldChar w:fldCharType="separate"/>
            </w:r>
            <w:r>
              <w:rPr>
                <w:vertAlign w:val="superscript"/>
              </w:rPr>
              <w:t>29</w:t>
            </w:r>
            <w:r>
              <w:rPr/>
              <w:fldChar w:fldCharType="end"/>
            </w:r>
          </w:p>
        </w:tc>
        <w:tc>
          <w:tcPr>
            <w:tcW w:w="0" w:type="auto"/>
            <w:tcBorders/>
          </w:tcPr>
          <w:p w14:paraId="ECF4A7F6">
            <w:pPr>
              <w:pStyle w:val="style4098"/>
              <w:jc w:val="left"/>
              <w:rPr/>
            </w:pPr>
            <w:r>
              <w:t>N/A（持续连接）</w:t>
            </w:r>
          </w:p>
        </w:tc>
      </w:tr>
      <w:tr w14:paraId="F3A01183">
        <w:tblPrEx/>
        <w:trPr/>
        <w:tc>
          <w:tcPr>
            <w:tcW w:w="0" w:type="auto"/>
            <w:tcBorders/>
          </w:tcPr>
          <w:p w14:paraId="430ADA86">
            <w:pPr>
              <w:pStyle w:val="style4098"/>
              <w:jc w:val="left"/>
              <w:rPr/>
            </w:pPr>
            <w:r>
              <w:t>大负载延迟</w:t>
            </w:r>
          </w:p>
        </w:tc>
        <w:tc>
          <w:tcPr>
            <w:tcW w:w="0" w:type="auto"/>
            <w:tcBorders/>
          </w:tcPr>
          <w:p w14:paraId="15879763">
            <w:pPr>
              <w:pStyle w:val="style4098"/>
              <w:jc w:val="left"/>
              <w:rPr/>
            </w:pPr>
            <w:r>
              <w:t>基线（100%）</w:t>
            </w:r>
          </w:p>
        </w:tc>
        <w:tc>
          <w:tcPr>
            <w:tcW w:w="0" w:type="auto"/>
            <w:tcBorders/>
          </w:tcPr>
          <w:p w14:paraId="9BBB90D6">
            <w:pPr>
              <w:pStyle w:val="style4098"/>
              <w:jc w:val="left"/>
              <w:rPr/>
            </w:pPr>
            <w:r>
              <w:t>比 REST 快 85%</w:t>
            </w:r>
            <w:r>
              <w:t xml:space="preserve"> </w:t>
            </w:r>
            <w:r>
              <w:rPr>
                <w:vertAlign w:val="superscript"/>
              </w:rPr>
              <w:footnoteReference w:id="209"/>
            </w:r>
          </w:p>
        </w:tc>
        <w:tc>
          <w:tcPr>
            <w:tcW w:w="0" w:type="auto"/>
            <w:tcBorders/>
          </w:tcPr>
          <w:p w14:paraId="058B62F7">
            <w:pPr>
              <w:pStyle w:val="style4098"/>
              <w:jc w:val="left"/>
              <w:rPr/>
            </w:pPr>
            <w:r>
              <w:t>N/A</w:t>
            </w:r>
          </w:p>
        </w:tc>
      </w:tr>
      <w:tr w14:paraId="DB770D1A">
        <w:tblPrEx/>
        <w:trPr/>
        <w:tc>
          <w:tcPr>
            <w:tcW w:w="0" w:type="auto"/>
            <w:tcBorders/>
          </w:tcPr>
          <w:p w14:paraId="D63A1682">
            <w:pPr>
              <w:pStyle w:val="style4098"/>
              <w:jc w:val="left"/>
              <w:rPr/>
            </w:pPr>
            <w:r>
              <w:t>CPU 使用</w:t>
            </w:r>
          </w:p>
        </w:tc>
        <w:tc>
          <w:tcPr>
            <w:tcW w:w="0" w:type="auto"/>
            <w:tcBorders/>
          </w:tcPr>
          <w:p w14:paraId="34FFFC4A">
            <w:pPr>
              <w:pStyle w:val="style4098"/>
              <w:jc w:val="left"/>
              <w:rPr/>
            </w:pPr>
            <w:r>
              <w:t>基线（100%）</w:t>
            </w:r>
          </w:p>
        </w:tc>
        <w:tc>
          <w:tcPr>
            <w:tcW w:w="0" w:type="auto"/>
            <w:tcBorders/>
          </w:tcPr>
          <w:p w14:paraId="70E3FE46">
            <w:pPr>
              <w:pStyle w:val="style4098"/>
              <w:jc w:val="left"/>
              <w:rPr/>
            </w:pPr>
            <w:r>
              <w:t>减少 26–32%</w:t>
            </w:r>
            <w:r>
              <w:t xml:space="preserve"> </w:t>
            </w:r>
            <w:r>
              <w:rPr>
                <w:vertAlign w:val="superscript"/>
              </w:rPr>
              <w:footnoteReference w:id="210"/>
            </w:r>
          </w:p>
        </w:tc>
        <w:tc>
          <w:tcPr>
            <w:tcW w:w="0" w:type="auto"/>
            <w:tcBorders/>
          </w:tcPr>
          <w:p w14:paraId="6AAC49FD">
            <w:pPr>
              <w:pStyle w:val="style4098"/>
              <w:jc w:val="left"/>
              <w:rPr/>
            </w:pPr>
            <w:r>
              <w:t>低（长连接开销）</w:t>
            </w:r>
          </w:p>
        </w:tc>
      </w:tr>
      <w:tr w14:paraId="9B9EB9BF">
        <w:tblPrEx/>
        <w:trPr/>
        <w:tc>
          <w:tcPr>
            <w:tcW w:w="0" w:type="auto"/>
            <w:tcBorders/>
          </w:tcPr>
          <w:p w14:paraId="6C73C124">
            <w:pPr>
              <w:pStyle w:val="style4098"/>
              <w:jc w:val="left"/>
              <w:rPr/>
            </w:pPr>
            <w:r>
              <w:t>浏览器支持</w:t>
            </w:r>
          </w:p>
        </w:tc>
        <w:tc>
          <w:tcPr>
            <w:tcW w:w="0" w:type="auto"/>
            <w:tcBorders/>
          </w:tcPr>
          <w:p w14:paraId="CC7B7943">
            <w:pPr>
              <w:pStyle w:val="style4098"/>
              <w:jc w:val="left"/>
              <w:rPr/>
            </w:pPr>
            <w:r>
              <w:t>普遍支持</w:t>
            </w:r>
          </w:p>
        </w:tc>
        <w:tc>
          <w:tcPr>
            <w:tcW w:w="0" w:type="auto"/>
            <w:tcBorders/>
          </w:tcPr>
          <w:p w14:paraId="49150E1A">
            <w:pPr>
              <w:pStyle w:val="style4098"/>
              <w:jc w:val="left"/>
              <w:rPr/>
            </w:pPr>
            <w:r>
              <w:t>需 gRPC-Web 代理</w:t>
            </w:r>
          </w:p>
        </w:tc>
        <w:tc>
          <w:tcPr>
            <w:tcW w:w="0" w:type="auto"/>
            <w:tcBorders/>
          </w:tcPr>
          <w:p w14:paraId="2AF913D1">
            <w:pPr>
              <w:pStyle w:val="style4098"/>
              <w:jc w:val="left"/>
              <w:rPr/>
            </w:pPr>
            <w:r>
              <w:t>普遍支持</w:t>
            </w:r>
          </w:p>
        </w:tc>
      </w:tr>
      <w:tr w14:paraId="811250DB">
        <w:tblPrEx/>
        <w:trPr/>
        <w:tc>
          <w:tcPr>
            <w:tcW w:w="0" w:type="auto"/>
            <w:tcBorders/>
          </w:tcPr>
          <w:p w14:paraId="E60D3A64">
            <w:pPr>
              <w:pStyle w:val="style4098"/>
              <w:jc w:val="left"/>
              <w:rPr/>
            </w:pPr>
            <w:r>
              <w:t>调试工具</w:t>
            </w:r>
          </w:p>
        </w:tc>
        <w:tc>
          <w:tcPr>
            <w:tcW w:w="0" w:type="auto"/>
            <w:tcBorders/>
          </w:tcPr>
          <w:p w14:paraId="588434A1">
            <w:pPr>
              <w:pStyle w:val="style4098"/>
              <w:jc w:val="left"/>
              <w:rPr/>
            </w:pPr>
            <w:r>
              <w:t>成熟（Postman、OpenAPI）</w:t>
            </w:r>
          </w:p>
        </w:tc>
        <w:tc>
          <w:tcPr>
            <w:tcW w:w="0" w:type="auto"/>
            <w:tcBorders/>
          </w:tcPr>
          <w:p w14:paraId="608BAD7B">
            <w:pPr>
              <w:pStyle w:val="style4098"/>
              <w:jc w:val="left"/>
              <w:rPr/>
            </w:pPr>
            <w:r>
              <w:t>grpcurl、BloomRPC</w:t>
            </w:r>
          </w:p>
        </w:tc>
        <w:tc>
          <w:tcPr>
            <w:tcW w:w="0" w:type="auto"/>
            <w:tcBorders/>
          </w:tcPr>
          <w:p w14:paraId="FA2183A1">
            <w:pPr>
              <w:pStyle w:val="style4098"/>
              <w:jc w:val="left"/>
              <w:rPr/>
            </w:pPr>
            <w:r>
              <w:t>浏览器 DevTools</w:t>
            </w:r>
          </w:p>
        </w:tc>
      </w:tr>
      <w:tr w14:paraId="73B2C82D">
        <w:tblPrEx/>
        <w:trPr/>
        <w:tc>
          <w:tcPr>
            <w:tcW w:w="0" w:type="auto"/>
            <w:tcBorders/>
          </w:tcPr>
          <w:p w14:paraId="620B5DC2">
            <w:pPr>
              <w:pStyle w:val="style4098"/>
              <w:jc w:val="left"/>
              <w:rPr/>
            </w:pPr>
            <w:r>
              <w:t>适用场景</w:t>
            </w:r>
          </w:p>
        </w:tc>
        <w:tc>
          <w:tcPr>
            <w:tcW w:w="0" w:type="auto"/>
            <w:tcBorders/>
          </w:tcPr>
          <w:p w14:paraId="A4A44770">
            <w:pPr>
              <w:pStyle w:val="style4098"/>
              <w:jc w:val="left"/>
              <w:rPr/>
            </w:pPr>
            <w:r>
              <w:t>外部 API、第三方集成</w:t>
            </w:r>
          </w:p>
        </w:tc>
        <w:tc>
          <w:tcPr>
            <w:tcW w:w="0" w:type="auto"/>
            <w:tcBorders/>
          </w:tcPr>
          <w:p w14:paraId="F80C5CA5">
            <w:pPr>
              <w:pStyle w:val="style4098"/>
              <w:jc w:val="left"/>
              <w:rPr/>
            </w:pPr>
            <w:r>
              <w:t>内部服务间通信（CRI/CNI）</w:t>
            </w:r>
          </w:p>
        </w:tc>
        <w:tc>
          <w:tcPr>
            <w:tcW w:w="0" w:type="auto"/>
            <w:tcBorders/>
          </w:tcPr>
          <w:p w14:paraId="593ADCEA">
            <w:pPr>
              <w:pStyle w:val="style4098"/>
              <w:jc w:val="left"/>
              <w:rPr/>
            </w:pPr>
            <w:r>
              <w:t>实时事件流、日志推送</w:t>
            </w:r>
          </w:p>
        </w:tc>
      </w:tr>
    </w:tbl>
    <w:p w14:paraId="FCD2AAAC">
      <w:pPr>
        <w:pStyle w:val="style66"/>
        <w:rPr/>
      </w:pPr>
      <w:r>
        <w:t>三种协议的分工逻辑清晰：REST API 负责暴露平台管理能力（实例生命周期、存储、网络），供外部开发者和 CI/CD 流水线调用；gRPC 负责 Kubelet 与容器运行时之间的 CRI（Container Runtime Interface，容器运行时接口）通信以及 CSI（Container Storage Interface，容器存储接口）等内部接口，利用 Protocol Buffers 的二进制序列化优势降低 34% 的数据传输量</w:t>
      </w:r>
      <w:r>
        <w:t xml:space="preserve"> </w:t>
      </w:r>
      <w:r>
        <w:rPr/>
        <w:fldChar w:fldCharType="begin"/>
      </w:r>
      <w:r>
        <w:instrText>NOTEREF _Ref_Footnote_29 \h \f</w:instrText>
      </w:r>
      <w:r>
        <w:rPr/>
        <w:fldChar w:fldCharType="separate"/>
      </w:r>
      <w:r>
        <w:rPr>
          <w:vertAlign w:val="superscript"/>
        </w:rPr>
        <w:t>29</w:t>
      </w:r>
      <w:r>
        <w:rPr/>
        <w:fldChar w:fldCharType="end"/>
      </w:r>
      <w:r>
        <w:t>；WebSocket 则承载实例状态变更、容器日志流和集群事件推送，参考 Incus 基于 WebSocket 的事件流设计</w:t>
      </w:r>
      <w:r>
        <w:t xml:space="preserve"> </w:t>
      </w:r>
      <w:r>
        <w:rPr>
          <w:vertAlign w:val="superscript"/>
        </w:rPr>
        <w:footnoteReference w:id="211"/>
      </w:r>
      <w:r>
        <w:t>，事件格式采用 JSON 结构，包含类型、时间戳和元数据上下文。</w:t>
      </w:r>
    </w:p>
    <w:bookmarkStart w:id="132" w:name="api-版本控制url-path-版本控制与向后兼容性"/>
    <w:bookmarkEnd w:id="131"/>
    <w:p w14:paraId="9105807D">
      <w:pPr>
        <w:pStyle w:val="style4104"/>
        <w:rPr/>
      </w:pPr>
      <w:r>
        <w:t>8.1.2 API 版本控制：URL Path 版本控制与向后兼容性</w:t>
      </w:r>
    </w:p>
    <w:p w14:paraId="A27A7EA4">
      <w:pPr>
        <w:pStyle w:val="style4097"/>
        <w:rPr/>
      </w:pPr>
      <w:r>
        <w:t>API 版本控制策略直接影响平台长期演进能力。业界存在三种主要方案：URL Path 版本控制（</w:t>
      </w:r>
      <w:r>
        <w:rPr>
          <w:rStyle w:val="style4120"/>
        </w:rPr>
        <w:t>/api/v1/instances</w:t>
      </w:r>
      <w:r>
        <w:t>）、Header 版本控制（</w:t>
      </w:r>
      <w:r>
        <w:rPr>
          <w:rStyle w:val="style4120"/>
        </w:rPr>
        <w:t>Accept: application/vnd.cubesandbox.v2+json</w:t>
      </w:r>
      <w:r>
        <w:t>）和查询参数版本控制（</w:t>
      </w:r>
      <w:r>
        <w:rPr>
          <w:rStyle w:val="style4120"/>
        </w:rPr>
        <w:t>?version=2</w:t>
      </w:r>
      <w:r>
        <w:t>）。研究表明，URL Path 版本控制是面向公众的容器平台 API 的推荐默认策略</w:t>
      </w:r>
      <w:r>
        <w:t xml:space="preserve"> </w:t>
      </w:r>
      <w:r>
        <w:rPr/>
        <w:fldChar w:fldCharType="begin"/>
      </w:r>
      <w:r>
        <w:instrText>NOTEREF _Ref_Footnote_34 \h \f</w:instrText>
      </w:r>
      <w:r>
        <w:rPr/>
        <w:fldChar w:fldCharType="separate"/>
      </w:r>
      <w:r>
        <w:rPr>
          <w:vertAlign w:val="superscript"/>
        </w:rPr>
        <w:t>34</w:t>
      </w:r>
      <w:r>
        <w:rPr/>
        <w:fldChar w:fldCharType="end"/>
      </w:r>
      <w:r>
        <w:t xml:space="preserve"> </w:t>
      </w:r>
      <w:r>
        <w:rPr/>
        <w:fldChar w:fldCharType="begin"/>
      </w:r>
      <w:r>
        <w:instrText>NOTEREF _Ref_Footnote_18 \h \f</w:instrText>
      </w:r>
      <w:r>
        <w:rPr/>
        <w:fldChar w:fldCharType="separate"/>
      </w:r>
      <w:r>
        <w:rPr>
          <w:vertAlign w:val="superscript"/>
        </w:rPr>
        <w:t>18</w:t>
      </w:r>
      <w:r>
        <w:rPr/>
        <w:fldChar w:fldCharType="end"/>
      </w:r>
      <w:r>
        <w:t>，其优势在于 CDN 缓存友好、路由规则简单、日志中版本信息明确。Stripe、GitHub 和 Twilio 均采用此方案。</w:t>
      </w:r>
    </w:p>
    <w:p w14:paraId="3C563F18">
      <w:pPr>
        <w:pStyle w:val="style66"/>
        <w:rPr/>
      </w:pPr>
      <w:r>
        <w:t>向后兼容性（Backward Compatibility）的维护需要区分破坏性变更与非破坏性变更。非破坏性变更——包括向响应体添加新的可选字段、新增端点或可选查询参数——无需版本号递增</w:t>
      </w:r>
      <w:r>
        <w:t xml:space="preserve"> </w:t>
      </w:r>
      <w:r>
        <w:rPr/>
        <w:fldChar w:fldCharType="begin"/>
      </w:r>
      <w:r>
        <w:instrText>NOTEREF _Ref_Footnote_204 \h \f</w:instrText>
      </w:r>
      <w:r>
        <w:rPr/>
        <w:fldChar w:fldCharType="separate"/>
      </w:r>
      <w:r>
        <w:rPr>
          <w:vertAlign w:val="superscript"/>
        </w:rPr>
        <w:t>204</w:t>
      </w:r>
      <w:r>
        <w:rPr/>
        <w:fldChar w:fldCharType="end"/>
      </w:r>
      <w:r>
        <w:t>。破坏性变更——包括删除字段、修改数据类型、删除端点、将可选字段变为必填——则需要发布新版本。弃用流程应遵循五步法：在响应中添加</w:t>
      </w:r>
      <w:r>
        <w:t xml:space="preserve"> </w:t>
      </w:r>
      <w:r>
        <w:rPr>
          <w:rStyle w:val="style4120"/>
        </w:rPr>
        <w:t>Sunset</w:t>
      </w:r>
      <w:r>
        <w:t xml:space="preserve"> </w:t>
      </w:r>
      <w:r>
        <w:t>和</w:t>
      </w:r>
      <w:r>
        <w:t xml:space="preserve"> </w:t>
      </w:r>
      <w:r>
        <w:rPr>
          <w:rStyle w:val="style4120"/>
        </w:rPr>
        <w:t>Deprecation</w:t>
      </w:r>
      <w:r>
        <w:t xml:space="preserve"> </w:t>
      </w:r>
      <w:r>
        <w:t>头、提供迁移指南与代码示例、监控各版本使用量、保持弃用版本至少 6–12 个月、关闭后返回</w:t>
      </w:r>
      <w:r>
        <w:t xml:space="preserve"> </w:t>
      </w:r>
      <w:r>
        <w:rPr>
          <w:rStyle w:val="style4120"/>
        </w:rPr>
        <w:t>410 Gone</w:t>
      </w:r>
      <w:r>
        <w:t xml:space="preserve"> </w:t>
      </w:r>
      <w:r>
        <w:t>响应</w:t>
      </w:r>
      <w:r>
        <w:t xml:space="preserve"> </w:t>
      </w:r>
      <w:r>
        <w:rPr/>
        <w:fldChar w:fldCharType="begin"/>
      </w:r>
      <w:r>
        <w:instrText>NOTEREF _Ref_Footnote_204 \h \f</w:instrText>
      </w:r>
      <w:r>
        <w:rPr/>
        <w:fldChar w:fldCharType="separate"/>
      </w:r>
      <w:r>
        <w:rPr>
          <w:vertAlign w:val="superscript"/>
        </w:rPr>
        <w:t>204</w:t>
      </w:r>
      <w:r>
        <w:rPr/>
        <w:fldChar w:fldCharType="end"/>
      </w:r>
      <w:r>
        <w:t>。</w:t>
      </w:r>
    </w:p>
    <w:bookmarkStart w:id="133" w:name="认证授权设计多层安全模型"/>
    <w:bookmarkEnd w:id="132"/>
    <w:p w14:paraId="D1CAA1F4">
      <w:pPr>
        <w:pStyle w:val="style4104"/>
        <w:rPr/>
      </w:pPr>
      <w:r>
        <w:t>8.1.3 认证授权设计：多层安全模型</w:t>
      </w:r>
    </w:p>
    <w:p w14:paraId="B8BFC103">
      <w:pPr>
        <w:pStyle w:val="style4097"/>
        <w:rPr/>
      </w:pPr>
      <w:r>
        <w:t>CubeSandbox 平台的认证授权体系需要同时服务外部 API 调用者、内部服务组件和本地管理员三类主体。建议采用三层安全模型：</w:t>
      </w:r>
    </w:p>
    <w:p w14:paraId="7432B40F">
      <w:pPr>
        <w:pStyle w:val="style66"/>
        <w:rPr/>
      </w:pPr>
      <w:r>
        <w:rPr>
          <w:b/>
          <w:bCs/>
        </w:rPr>
        <w:t>外部 API 访问——OAuth 2.0 / OIDC（OpenID Connect）</w:t>
      </w:r>
      <w:r>
        <w:t>：OAuth 2.0 提供授权框架，OIDC 在其之上添加身份层，提供标准化的 ID Token（JWT 格式）和 UserInfo 端点，支持 PKCE（Proof Key for Code Exchange）增强单页应用安全性</w:t>
      </w:r>
      <w:r>
        <w:t xml:space="preserve"> </w:t>
      </w:r>
      <w:r>
        <w:rPr>
          <w:vertAlign w:val="superscript"/>
        </w:rPr>
        <w:footnoteReference w:id="212"/>
      </w:r>
      <w:r>
        <w:t>。该方案适合多租户场景，可与企业身份提供商（IdP）集成。</w:t>
      </w:r>
    </w:p>
    <w:p w14:paraId="3098F0F5">
      <w:pPr>
        <w:pStyle w:val="style66"/>
        <w:rPr/>
      </w:pPr>
      <w:r>
        <w:rPr>
          <w:b/>
          <w:bCs/>
        </w:rPr>
        <w:t>内部服务通信——双向 TLS（mTLS，mutual TLS）</w:t>
      </w:r>
      <w:r>
        <w:t>：参考 Incus 的认证设计</w:t>
      </w:r>
      <w:r>
        <w:t xml:space="preserve"> </w:t>
      </w:r>
      <w:r>
        <w:rPr>
          <w:vertAlign w:val="superscript"/>
        </w:rPr>
        <w:footnoteReference w:id="213"/>
      </w:r>
      <w:r>
        <w:t xml:space="preserve"> </w:t>
      </w:r>
      <w:r>
        <w:rPr>
          <w:vertAlign w:val="superscript"/>
        </w:rPr>
        <w:footnoteReference w:id="214"/>
      </w:r>
      <w:r>
        <w:t>，内部组件之间通过 TLS 客户端证书实现双向认证。Incus 的 Rust 客户端示例显示，客户端证书通过</w:t>
      </w:r>
      <w:r>
        <w:t xml:space="preserve"> </w:t>
      </w:r>
      <w:r>
        <w:rPr>
          <w:rStyle w:val="style4120"/>
        </w:rPr>
        <w:t>reqwest::ClientBuilder::identity()</w:t>
      </w:r>
      <w:r>
        <w:t xml:space="preserve"> </w:t>
      </w:r>
      <w:r>
        <w:t>传递，服务器证书通过</w:t>
      </w:r>
      <w:r>
        <w:t xml:space="preserve"> </w:t>
      </w:r>
      <w:r>
        <w:rPr>
          <w:rStyle w:val="style4120"/>
        </w:rPr>
        <w:t>add_root_certificate()</w:t>
      </w:r>
      <w:r>
        <w:t xml:space="preserve"> </w:t>
      </w:r>
      <w:r>
        <w:t>信任。CLI 和本地访问则通过 Unix Socket 加文件权限实现。</w:t>
      </w:r>
    </w:p>
    <w:p w14:paraId="C4061BAF">
      <w:pPr>
        <w:pStyle w:val="style66"/>
        <w:rPr/>
      </w:pPr>
      <w:r>
        <w:rPr>
          <w:b/>
          <w:bCs/>
        </w:rPr>
        <w:t>授权层——RBAC（Role-Based Access Control，基于角色的访问控制）</w:t>
      </w:r>
      <w:r>
        <w:t>：RBAC 将权限集合定义为角色，再将角色绑定到用户或组。Kubernetes RBAC 已成为事实标准，其动作类型包括 get、list、create、update、delete、watch</w:t>
      </w:r>
      <w:r>
        <w:t xml:space="preserve"> </w:t>
      </w:r>
      <w:r>
        <w:rPr>
          <w:vertAlign w:val="superscript"/>
        </w:rPr>
        <w:footnoteReference w:id="215"/>
      </w:r>
      <w:r>
        <w:t xml:space="preserve"> </w:t>
      </w:r>
      <w:r>
        <w:rPr>
          <w:vertAlign w:val="superscript"/>
        </w:rPr>
        <w:footnoteReference w:id="216"/>
      </w:r>
      <w:r>
        <w:t>。CubeSandbox 的 RBAC 模型建议参考 K8s 设计，定义</w:t>
      </w:r>
      <w:r>
        <w:t xml:space="preserve"> </w:t>
      </w:r>
      <w:r>
        <w:rPr>
          <w:rStyle w:val="style4120"/>
        </w:rPr>
        <w:t>Role</w:t>
      </w:r>
      <w:r>
        <w:t xml:space="preserve"> </w:t>
      </w:r>
      <w:r>
        <w:t>和</w:t>
      </w:r>
      <w:r>
        <w:t xml:space="preserve"> </w:t>
      </w:r>
      <w:r>
        <w:rPr>
          <w:rStyle w:val="style4120"/>
        </w:rPr>
        <w:t>ClusterRole</w:t>
      </w:r>
      <w:r>
        <w:t xml:space="preserve"> </w:t>
      </w:r>
      <w:r>
        <w:t>资源类型，通过</w:t>
      </w:r>
      <w:r>
        <w:t xml:space="preserve"> </w:t>
      </w:r>
      <w:r>
        <w:rPr>
          <w:rStyle w:val="style4120"/>
        </w:rPr>
        <w:t>RoleBinding</w:t>
      </w:r>
      <w:r>
        <w:t xml:space="preserve"> </w:t>
      </w:r>
      <w:r>
        <w:t>将权限主体与角色关联。</w:t>
      </w:r>
    </w:p>
    <w:p w14:paraId="88F167C2">
      <w:pPr>
        <w:pStyle w:val="style66"/>
        <w:rPr/>
      </w:pPr>
      <w:r>
        <w:t>此外，所有新 API 必须设置基线速率限制（Rate Limiting），采用令牌桶算法允许突发流量，使用</w:t>
      </w:r>
      <w:r>
        <w:t xml:space="preserve"> </w:t>
      </w:r>
      <w:r>
        <w:rPr>
          <w:rStyle w:val="style4120"/>
        </w:rPr>
        <w:t>429 Too Many Requests</w:t>
      </w:r>
      <w:r>
        <w:t xml:space="preserve"> </w:t>
      </w:r>
      <w:r>
        <w:t>响应码，并在配额使用率达到 80% 时触发告警</w:t>
      </w:r>
      <w:r>
        <w:t xml:space="preserve"> </w:t>
      </w:r>
      <w:r>
        <w:rPr>
          <w:vertAlign w:val="superscript"/>
        </w:rPr>
        <w:footnoteReference w:id="217"/>
      </w:r>
      <w:r>
        <w:t>。</w:t>
      </w:r>
    </w:p>
    <w:bookmarkStart w:id="134" w:name="oci-兼容性"/>
    <w:bookmarkEnd w:id="133"/>
    <w:bookmarkEnd w:id="130"/>
    <w:p w14:paraId="F54EF3CA">
      <w:pPr>
        <w:pStyle w:val="style4103"/>
        <w:rPr/>
      </w:pPr>
      <w:r>
        <w:t>8.2 OCI 兼容性</w:t>
      </w:r>
    </w:p>
    <w:bookmarkStart w:id="135" w:name="oci-运行时规范兼容"/>
    <w:p w14:paraId="118D400B">
      <w:pPr>
        <w:pStyle w:val="style4104"/>
        <w:rPr/>
      </w:pPr>
      <w:r>
        <w:t>8.2.1 OCI 运行时规范兼容</w:t>
      </w:r>
    </w:p>
    <w:p w14:paraId="A7D0264A">
      <w:pPr>
        <w:pStyle w:val="style4097"/>
        <w:rPr/>
      </w:pPr>
      <w:r>
        <w:t>OCI 是 Linux Foundation（Linux 基金会）托管的开放治理结构，定义了容器格式和运行时的开放行业标准，包含三个核心规范</w:t>
      </w:r>
      <w:r>
        <w:t xml:space="preserve"> </w:t>
      </w:r>
      <w:r>
        <w:rPr>
          <w:vertAlign w:val="superscript"/>
        </w:rPr>
        <w:footnoteReference w:id="218"/>
      </w:r>
      <w:r>
        <w:t xml:space="preserve"> </w:t>
      </w:r>
      <w:r>
        <w:rPr>
          <w:vertAlign w:val="superscript"/>
        </w:rPr>
        <w:footnoteReference w:id="219"/>
      </w:r>
      <w:r>
        <w:t>：</w:t>
      </w:r>
    </w:p>
    <w:p w14:paraId="5690685B">
      <w:pPr>
        <w:pStyle w:val="style66"/>
        <w:rPr/>
      </w:pPr>
      <w:r>
        <w:rPr>
          <w:b/>
          <w:bCs/>
        </w:rPr>
        <w:t>Runtime Specification（runtime-spec）</w:t>
      </w:r>
      <w:r>
        <w:t xml:space="preserve"> </w:t>
      </w:r>
      <w:r>
        <w:rPr>
          <w:vertAlign w:val="superscript"/>
        </w:rPr>
        <w:footnoteReference w:id="220"/>
      </w:r>
      <w:r>
        <w:t>：描述如何运行解压到磁盘的”文件系统包”，定义容器生命周期（创建、启动、停止、删除）。参考实现为 runc（由 Docker 捐赠），其他实现包括 crun、youki、Kata Containers 和 gVisor（runsc）。</w:t>
      </w:r>
    </w:p>
    <w:p w14:paraId="871F05A7">
      <w:pPr>
        <w:pStyle w:val="style66"/>
        <w:rPr/>
      </w:pPr>
      <w:r>
        <w:rPr>
          <w:b/>
          <w:bCs/>
        </w:rPr>
        <w:t>Image Specification（image-spec）</w:t>
      </w:r>
      <w:r>
        <w:t xml:space="preserve"> </w:t>
      </w:r>
      <w:r>
        <w:rPr>
          <w:vertAlign w:val="superscript"/>
        </w:rPr>
        <w:footnoteReference w:id="221"/>
      </w:r>
      <w:r>
        <w:t>：基于 Docker V2 Image Specification，描述 OCI 容器镜像的结构，支持镜像层、配置和清单。该规范已被扩展用于分发 Helm Charts、SBOM（Software Bill of Materials，软件物料清单）、数字签名和来源数据。</w:t>
      </w:r>
    </w:p>
    <w:p w14:paraId="5333D915">
      <w:pPr>
        <w:pStyle w:val="style66"/>
        <w:rPr/>
      </w:pPr>
      <w:r>
        <w:rPr>
          <w:b/>
          <w:bCs/>
        </w:rPr>
        <w:t>Distribution Specification（distribution-spec）</w:t>
      </w:r>
      <w:r>
        <w:t xml:space="preserve"> </w:t>
      </w:r>
      <w:r>
        <w:rPr/>
        <w:fldChar w:fldCharType="begin"/>
      </w:r>
      <w:r>
        <w:instrText>NOTEREF _Ref_Footnote_220 \h \f</w:instrText>
      </w:r>
      <w:r>
        <w:rPr/>
        <w:fldChar w:fldCharType="separate"/>
      </w:r>
      <w:r>
        <w:rPr>
          <w:vertAlign w:val="superscript"/>
        </w:rPr>
        <w:t>220</w:t>
      </w:r>
      <w:r>
        <w:rPr/>
        <w:fldChar w:fldCharType="end"/>
      </w:r>
      <w:r>
        <w:t>：定义分发 OCI 镜像的 API 协议，基于 Docker Registry HTTP API V2。主要实现包括 CNCF Harbor、Amazon ECR、Azure ACR、GCP Artifact Registry、Docker Hub 和 GitHub Packages。</w:t>
      </w:r>
    </w:p>
    <w:p w14:paraId="C2739AB8">
      <w:pPr>
        <w:pStyle w:val="style66"/>
        <w:rPr/>
      </w:pPr>
      <w:r>
        <w:t>对于 CubeSandbox 平台，建议完整实现 OCI runtime-spec，确保与所有 OCI 兼容运行时的无缝集成；通过 CRI-O 或 containerd 支持在同一集群中灵活切换不同 OCI 运行时</w:t>
      </w:r>
      <w:r>
        <w:t xml:space="preserve"> </w:t>
      </w:r>
      <w:r>
        <w:rPr>
          <w:vertAlign w:val="superscript"/>
        </w:rPr>
        <w:footnoteReference w:id="222"/>
      </w:r>
      <w:r>
        <w:t>；利用 Kata Containers 提供 VM 级别隔离；完全支持 OCI image-spec 确保镜像生态兼容。</w:t>
      </w:r>
    </w:p>
    <w:bookmarkStart w:id="136" w:name="cricnicsi-全接口兼容"/>
    <w:bookmarkEnd w:id="135"/>
    <w:p w14:paraId="28BD4904">
      <w:pPr>
        <w:pStyle w:val="style4104"/>
        <w:rPr/>
      </w:pPr>
      <w:r>
        <w:t>8.2.2 CRI/CNI/CSI 全接口兼容</w:t>
      </w:r>
    </w:p>
    <w:p w14:paraId="0DDA103A">
      <w:pPr>
        <w:pStyle w:val="style4097"/>
        <w:rPr/>
      </w:pPr>
      <w:r>
        <w:rPr>
          <w:b/>
          <w:bCs/>
        </w:rPr>
        <w:t>CRI</w:t>
      </w:r>
      <w:r>
        <w:t xml:space="preserve"> </w:t>
      </w:r>
      <w:r>
        <w:t>是 Kubernetes 定义的主 gRPC 协议，用于 Kubelet 与容器运行时之间的通信</w:t>
      </w:r>
      <w:r>
        <w:t xml:space="preserve"> </w:t>
      </w:r>
      <w:r>
        <w:rPr>
          <w:vertAlign w:val="superscript"/>
        </w:rPr>
        <w:footnoteReference w:id="223"/>
      </w:r>
      <w:r>
        <w:t xml:space="preserve"> </w:t>
      </w:r>
      <w:r>
        <w:rPr>
          <w:vertAlign w:val="superscript"/>
        </w:rPr>
        <w:footnoteReference w:id="224"/>
      </w:r>
      <w:r>
        <w:t>。CRI 将镜像管理和容器管理分离到不同服务：</w:t>
      </w:r>
      <w:r>
        <w:rPr>
          <w:rStyle w:val="style4120"/>
        </w:rPr>
        <w:t>RuntimeService</w:t>
      </w:r>
      <w:r>
        <w:t xml:space="preserve"> </w:t>
      </w:r>
      <w:r>
        <w:t>负责 Pod 和容器的生命周期管理（RunPodSandbox、CreateContainer、StartContainer 等），</w:t>
      </w:r>
      <w:r>
        <w:rPr>
          <w:rStyle w:val="style4120"/>
        </w:rPr>
        <w:t>ImageService</w:t>
      </w:r>
      <w:r>
        <w:t xml:space="preserve"> </w:t>
      </w:r>
      <w:r>
        <w:t>负责镜像管理（PullImage、ListImages 等）。CRI 兼容的运行时包括 containerd（内置 CRI 插件，最广泛采用）、CRI-O（Red Hat 主导，专注 Kubernetes）和通过 cri-dockerd 适配的 Docker Engine</w:t>
      </w:r>
      <w:r>
        <w:t xml:space="preserve"> </w:t>
      </w:r>
      <w:r>
        <w:rPr>
          <w:vertAlign w:val="superscript"/>
        </w:rPr>
        <w:footnoteReference w:id="225"/>
      </w:r>
      <w:r>
        <w:t xml:space="preserve"> </w:t>
      </w:r>
      <w:r>
        <w:rPr>
          <w:vertAlign w:val="superscript"/>
        </w:rPr>
        <w:footnoteReference w:id="226"/>
      </w:r>
      <w:r>
        <w:t>。</w:t>
      </w:r>
    </w:p>
    <w:p w14:paraId="45880E90">
      <w:pPr>
        <w:pStyle w:val="style66"/>
        <w:rPr/>
      </w:pPr>
      <w:r>
        <w:rPr>
          <w:b/>
          <w:bCs/>
        </w:rPr>
        <w:t>CNI（Container Network Interface，容器网络接口）</w:t>
      </w:r>
      <w:r>
        <w:t xml:space="preserve"> </w:t>
      </w:r>
      <w:r>
        <w:t>定义容器网络插件的标准接口</w:t>
      </w:r>
      <w:r>
        <w:t xml:space="preserve"> </w:t>
      </w:r>
      <w:r>
        <w:rPr>
          <w:vertAlign w:val="superscript"/>
        </w:rPr>
        <w:footnoteReference w:id="227"/>
      </w:r>
      <w:r>
        <w:t xml:space="preserve"> </w:t>
      </w:r>
      <w:r>
        <w:rPr>
          <w:vertAlign w:val="superscript"/>
        </w:rPr>
        <w:footnoteReference w:id="228"/>
      </w:r>
      <w:r>
        <w:t>。容器创建时调用 CNI 插件配置网络（</w:t>
      </w:r>
      <w:r>
        <w:rPr>
          <w:rStyle w:val="style4120"/>
        </w:rPr>
        <w:t>ADD</w:t>
      </w:r>
      <w:r>
        <w:t xml:space="preserve"> </w:t>
      </w:r>
      <w:r>
        <w:t>操作），删除时释放资源（</w:t>
      </w:r>
      <w:r>
        <w:rPr>
          <w:rStyle w:val="style4120"/>
        </w:rPr>
        <w:t>DEL</w:t>
      </w:r>
      <w:r>
        <w:t xml:space="preserve"> </w:t>
      </w:r>
      <w:r>
        <w:t>操作）。核心插件类型包括 bridge、vlan、ipvlan、macvlan 和 host-device，IPAM（IP Address Management）插件包括 host-local、dhcp 和 static。</w:t>
      </w:r>
    </w:p>
    <w:p w14:paraId="39E66A28">
      <w:pPr>
        <w:pStyle w:val="style66"/>
        <w:rPr/>
      </w:pPr>
      <w:r>
        <w:rPr>
          <w:b/>
          <w:bCs/>
        </w:rPr>
        <w:t>CSI</w:t>
      </w:r>
      <w:r>
        <w:t xml:space="preserve"> </w:t>
      </w:r>
      <w:r>
        <w:t>是容器编排系统与存储供应商之间的标准化接口，基于 gRPC 和 protobuf</w:t>
      </w:r>
      <w:r>
        <w:t xml:space="preserve"> </w:t>
      </w:r>
      <w:r>
        <w:rPr/>
        <w:fldChar w:fldCharType="begin"/>
      </w:r>
      <w:r>
        <w:instrText>NOTEREF _Ref_Footnote_144 \h \f</w:instrText>
      </w:r>
      <w:r>
        <w:rPr/>
        <w:fldChar w:fldCharType="separate"/>
      </w:r>
      <w:r>
        <w:rPr>
          <w:vertAlign w:val="superscript"/>
        </w:rPr>
        <w:t>144</w:t>
      </w:r>
      <w:r>
        <w:rPr/>
        <w:fldChar w:fldCharType="end"/>
      </w:r>
      <w:r>
        <w:t xml:space="preserve"> </w:t>
      </w:r>
      <w:r>
        <w:rPr>
          <w:vertAlign w:val="superscript"/>
        </w:rPr>
        <w:footnoteReference w:id="229"/>
      </w:r>
      <w:r>
        <w:t>。架构分为</w:t>
      </w:r>
      <w:r>
        <w:t xml:space="preserve"> </w:t>
      </w:r>
      <w:r>
        <w:rPr>
          <w:rStyle w:val="style4120"/>
        </w:rPr>
        <w:t>Controller Plugin</w:t>
      </w:r>
      <w:r>
        <w:t>（管理卷生命周期：创建、删除、附加、快照、克隆）和</w:t>
      </w:r>
      <w:r>
        <w:t xml:space="preserve"> </w:t>
      </w:r>
      <w:r>
        <w:rPr>
          <w:rStyle w:val="style4120"/>
        </w:rPr>
        <w:t>Node Plugin</w:t>
      </w:r>
      <w:r>
        <w:t>（处理挂载和卸载操作），配合外部 provisioner、attacher 和 snapshotter 辅助组件</w:t>
      </w:r>
      <w:r>
        <w:t xml:space="preserve"> </w:t>
      </w:r>
      <w:r>
        <w:rPr>
          <w:vertAlign w:val="superscript"/>
        </w:rPr>
        <w:footnoteReference w:id="230"/>
      </w:r>
      <w:r>
        <w:t>。</w:t>
      </w:r>
    </w:p>
    <w:p w14:paraId="301C524C">
      <w:pPr>
        <w:pStyle w:val="style66"/>
        <w:rPr/>
      </w:pPr>
      <w:r>
        <w:t>三层抽象模型构成了完整的集成链</w:t>
      </w:r>
      <w:r>
        <w:t xml:space="preserve"> </w:t>
      </w:r>
      <w:r>
        <w:rPr>
          <w:vertAlign w:val="superscript"/>
        </w:rPr>
        <w:footnoteReference w:id="231"/>
      </w:r>
      <w:r>
        <w:t xml:space="preserve"> </w:t>
      </w:r>
      <w:r>
        <w:rPr>
          <w:vertAlign w:val="superscript"/>
        </w:rPr>
        <w:footnoteReference w:id="232"/>
      </w:r>
      <w:r>
        <w:t>：</w:t>
      </w:r>
    </w:p>
    <w:p w14:paraId="29A4ED84">
      <w:pPr>
        <w:pStyle w:val="style66"/>
        <w:rPr/>
      </w:pPr>
      <m:oMathPara>
        <m:oMathParaPr>
          <m:jc m:val="center"/>
        </m:oMathParaPr>
        <m:oMath>
          <m:r>
            <m:rPr>
              <m:sty m:val="p"/>
              <m:nor m:val="on"/>
            </m:rPr>
            <w:rPr/>
            <m:t>编排层 API (Kubernetes)</m:t>
          </m:r>
          <m:r>
            <m:rPr>
              <m:sty m:val="p"/>
            </m:rPr>
            <w:rPr/>
            <m:t>→</m:t>
          </m:r>
          <m:r>
            <m:rPr>
              <m:sty m:val="p"/>
              <m:nor m:val="on"/>
            </m:rPr>
            <w:rPr/>
            <m:t>容器 API (CRI Runtime)</m:t>
          </m:r>
          <m:r>
            <m:rPr>
              <m:sty m:val="p"/>
            </m:rPr>
            <w:rPr/>
            <m:t>→</m:t>
          </m:r>
          <m:r>
            <m:rPr>
              <m:sty m:val="p"/>
              <m:nor m:val="on"/>
            </m:rPr>
            <w:rPr/>
            <m:t>内核 API (OCI Runtime)</m:t>
          </m:r>
        </m:oMath>
      </m:oMathPara>
    </w:p>
    <w:p w14:paraId="A0432578">
      <w:pPr>
        <w:pStyle w:val="style4097"/>
        <w:rPr/>
      </w:pPr>
      <w:r>
        <w:t>CubeSandbox 应实现 CRI gRPC 服务端作为 Kubelet 对接的标准接口，支持 CNI 插件生态（兼容 Flannel、Calico、Cilium 等主流网络插件），实现 CSI 接口支持外部存储系统接入，并通过 RuntimeClass 支持 runc 和 Kata Containers 并存</w:t>
      </w:r>
      <w:r>
        <w:t xml:space="preserve"> </w:t>
      </w:r>
      <w:r>
        <w:rPr/>
        <w:fldChar w:fldCharType="begin"/>
      </w:r>
      <w:r>
        <w:instrText>NOTEREF _Ref_Footnote_222 \h \f</w:instrText>
      </w:r>
      <w:r>
        <w:rPr/>
        <w:fldChar w:fldCharType="separate"/>
      </w:r>
      <w:r>
        <w:rPr>
          <w:vertAlign w:val="superscript"/>
        </w:rPr>
        <w:t>222</w:t>
      </w:r>
      <w:r>
        <w:rPr/>
        <w:fldChar w:fldCharType="end"/>
      </w:r>
      <w:r>
        <w:t>。</w:t>
      </w:r>
    </w:p>
    <w:bookmarkStart w:id="137" w:name="e2b-sdk-兼容层"/>
    <w:bookmarkEnd w:id="136"/>
    <w:p w14:paraId="5093262F">
      <w:pPr>
        <w:pStyle w:val="style4104"/>
        <w:rPr/>
      </w:pPr>
      <w:r>
        <w:t>8.2.3 E2B SDK 兼容层</w:t>
      </w:r>
    </w:p>
    <w:p w14:paraId="A70C7822">
      <w:pPr>
        <w:pStyle w:val="style4097"/>
        <w:rPr/>
      </w:pPr>
      <w:r>
        <w:t>E2B 是为 AI 应用设计的开源安全云运行时，基于 Firecracker microVM 技术</w:t>
      </w:r>
      <w:r>
        <w:t xml:space="preserve"> </w:t>
      </w:r>
      <w:r>
        <w:rPr>
          <w:vertAlign w:val="superscript"/>
        </w:rPr>
        <w:footnoteReference w:id="233"/>
      </w:r>
      <w:r>
        <w:t xml:space="preserve"> </w:t>
      </w:r>
      <w:r>
        <w:rPr>
          <w:vertAlign w:val="superscript"/>
        </w:rPr>
        <w:footnoteReference w:id="234"/>
      </w:r>
      <w:r>
        <w:t>。其核心组件包括 Sandbox（隔离的 Firecracker microVM）、Template（定义沙箱启动环境，基于 Docker 镜像转换）、envd（每个 microVM 内的环境守护进程）和 API Gateway（REST API 管理沙箱生命周期）。E2B SDK 提供 Python（</w:t>
      </w:r>
      <w:r>
        <w:rPr>
          <w:rStyle w:val="style4120"/>
        </w:rPr>
        <w:t>e2b</w:t>
      </w:r>
      <w:r>
        <w:t>）和 TypeScript（</w:t>
      </w:r>
      <w:r>
        <w:rPr>
          <w:rStyle w:val="style4120"/>
        </w:rPr>
        <w:t>@e2b/code-interpreter</w:t>
      </w:r>
      <w:r>
        <w:t>）两种客户端，每个 Sandbox 暴露 files、commands、process 和 code 四个子模块</w:t>
      </w:r>
      <w:r>
        <w:t xml:space="preserve"> </w:t>
      </w:r>
      <w:r>
        <w:rPr/>
        <w:fldChar w:fldCharType="begin"/>
      </w:r>
      <w:r>
        <w:instrText>NOTEREF _Ref_Footnote_101 \h \f</w:instrText>
      </w:r>
      <w:r>
        <w:rPr/>
        <w:fldChar w:fldCharType="separate"/>
      </w:r>
      <w:r>
        <w:rPr>
          <w:vertAlign w:val="superscript"/>
        </w:rPr>
        <w:t>101</w:t>
      </w:r>
      <w:r>
        <w:rPr/>
        <w:fldChar w:fldCharType="end"/>
      </w:r>
      <w:r>
        <w:t>。</w:t>
      </w:r>
    </w:p>
    <w:p w14:paraId="7FD2EACA">
      <w:pPr>
        <w:pStyle w:val="style66"/>
        <w:rPr/>
      </w:pPr>
      <w:r>
        <w:t>E2B 的核心 API 端点采用</w:t>
      </w:r>
      <w:r>
        <w:t xml:space="preserve"> </w:t>
      </w:r>
      <w:r>
        <w:rPr>
          <w:rStyle w:val="style4120"/>
        </w:rPr>
        <w:t>/e2b/v1/</w:t>
      </w:r>
      <w:r>
        <w:t xml:space="preserve"> </w:t>
      </w:r>
      <w:r>
        <w:t>前缀</w:t>
      </w:r>
      <w:r>
        <w:t xml:space="preserve"> </w:t>
      </w:r>
      <w:r>
        <w:rPr>
          <w:vertAlign w:val="superscript"/>
        </w:rPr>
        <w:footnoteReference w:id="235"/>
      </w:r>
      <w:r>
        <w:t>，包括沙箱创建、信息获取、列表查询、删除和连接操作。CubeSandbox 实现 E2B 兼容层需要：实现 E2B REST API + gRPC/Connect-RPC 协议、提供兼容的 SDK 接口、支持 Template 格式（Docker 镜像到 microVM 快照的转换）、实现沙箱生命周期管理（创建、暂停、恢复、销毁），并提供等效于 Firecracker microVM 或 Kata Containers 的 VM 级隔离。</w:t>
      </w:r>
    </w:p>
    <w:p w14:paraId="8FB39DE5">
      <w:pPr>
        <w:pStyle w:val="style66"/>
        <w:rPr/>
      </w:pPr>
      <w:r>
        <w:t>兼容层架构设计为：E2B SDK Client → E2B API Gateway → CubeSandbox E2B Adapter → Incus API / Kata Containers Runtime / CubeSandbox 资源调度器。这一设计使得现有基于 E2B SDK 的 AI Agent 应用可以无缝迁移到 CubeSandbox 平台。</w:t>
      </w:r>
    </w:p>
    <w:bookmarkStart w:id="138" w:name="生态系统集成"/>
    <w:bookmarkEnd w:id="137"/>
    <w:bookmarkEnd w:id="134"/>
    <w:p w14:paraId="9692B615">
      <w:pPr>
        <w:pStyle w:val="style4103"/>
        <w:rPr/>
      </w:pPr>
      <w:r>
        <w:t>8.3 生态系统集成</w:t>
      </w:r>
    </w:p>
    <w:bookmarkStart w:id="139" w:name="iac-工具链"/>
    <w:p w14:paraId="775C98C8">
      <w:pPr>
        <w:pStyle w:val="style4104"/>
        <w:rPr/>
      </w:pPr>
      <w:r>
        <w:t>8.3.1 IaC 工具链</w:t>
      </w:r>
    </w:p>
    <w:p w14:paraId="80FC4BC9">
      <w:pPr>
        <w:pStyle w:val="style4097"/>
        <w:rPr/>
      </w:pPr>
      <w:r>
        <w:t>基础设施即代码（Infrastructure as Code，IaC）是自动化管理云资源的核心实践。CubeSandbox 应提供三类 IaC 集成：</w:t>
      </w:r>
    </w:p>
    <w:p w14:paraId="B39C2E30">
      <w:pPr>
        <w:pStyle w:val="style66"/>
        <w:rPr/>
      </w:pPr>
      <w:r>
        <w:rPr>
          <w:b/>
          <w:bCs/>
        </w:rPr>
        <w:t>Terraform Provider</w:t>
      </w:r>
      <w:r>
        <w:t>：参考 Incus 的官方 Provider（</w:t>
      </w:r>
      <w:r>
        <w:rPr>
          <w:rStyle w:val="style4120"/>
        </w:rPr>
        <w:t>lxc/incus</w:t>
      </w:r>
      <w:r>
        <w:t>）</w:t>
      </w:r>
      <w:r>
        <w:rPr>
          <w:vertAlign w:val="superscript"/>
        </w:rPr>
        <w:footnoteReference w:id="236"/>
      </w:r>
      <w:r>
        <w:t xml:space="preserve"> </w:t>
      </w:r>
      <w:r>
        <w:rPr>
          <w:vertAlign w:val="superscript"/>
        </w:rPr>
        <w:footnoteReference w:id="237"/>
      </w:r>
      <w:r>
        <w:t>，CubeSandbox 应开发</w:t>
      </w:r>
      <w:r>
        <w:t xml:space="preserve"> </w:t>
      </w:r>
      <w:r>
        <w:rPr>
          <w:rStyle w:val="style4120"/>
        </w:rPr>
        <w:t>terraform-provider-cubesandbox</w:t>
      </w:r>
      <w:r>
        <w:t>，支持</w:t>
      </w:r>
      <w:r>
        <w:t xml:space="preserve"> </w:t>
      </w:r>
      <w:r>
        <w:rPr>
          <w:rStyle w:val="style4120"/>
        </w:rPr>
        <w:t>cubesandbox_instance</w:t>
      </w:r>
      <w:r>
        <w:t>（容器/VM 实例）、</w:t>
      </w:r>
      <w:r>
        <w:rPr>
          <w:rStyle w:val="style4120"/>
        </w:rPr>
        <w:t>cubesandbox_network</w:t>
      </w:r>
      <w:r>
        <w:t>（网络配置）、</w:t>
      </w:r>
      <w:r>
        <w:rPr>
          <w:rStyle w:val="style4120"/>
        </w:rPr>
        <w:t>cubesandbox_storage_pool</w:t>
      </w:r>
      <w:r>
        <w:t>（存储池）、</w:t>
      </w:r>
      <w:r>
        <w:rPr>
          <w:rStyle w:val="style4120"/>
        </w:rPr>
        <w:t>cubesandbox_profile</w:t>
      </w:r>
      <w:r>
        <w:t>（配置文件）和</w:t>
      </w:r>
      <w:r>
        <w:t xml:space="preserve"> </w:t>
      </w:r>
      <w:r>
        <w:rPr>
          <w:rStyle w:val="style4120"/>
        </w:rPr>
        <w:t>cubesandbox_project</w:t>
      </w:r>
      <w:r>
        <w:t>（项目管理）等资源类型。该 Provider 基于 Incus Go SDK 开发，预计开发周期 1–2 个月。</w:t>
      </w:r>
    </w:p>
    <w:p w14:paraId="5D253F8C">
      <w:pPr>
        <w:pStyle w:val="style66"/>
        <w:rPr/>
      </w:pPr>
      <w:r>
        <w:rPr>
          <w:b/>
          <w:bCs/>
        </w:rPr>
        <w:t>Ansible 模块</w:t>
      </w:r>
      <w:r>
        <w:t>：Incus 已通过</w:t>
      </w:r>
      <w:r>
        <w:t xml:space="preserve"> </w:t>
      </w:r>
      <w:r>
        <w:rPr>
          <w:rStyle w:val="style4120"/>
        </w:rPr>
        <w:t>community.general.incus</w:t>
      </w:r>
      <w:r>
        <w:t xml:space="preserve"> </w:t>
      </w:r>
      <w:r>
        <w:t>连接插件（Ansible 8.2.0+）获得支持</w:t>
      </w:r>
      <w:r>
        <w:t xml:space="preserve"> </w:t>
      </w:r>
      <w:r>
        <w:rPr>
          <w:vertAlign w:val="superscript"/>
        </w:rPr>
        <w:footnoteReference w:id="238"/>
      </w:r>
      <w:r>
        <w:t xml:space="preserve"> </w:t>
      </w:r>
      <w:r>
        <w:rPr>
          <w:vertAlign w:val="superscript"/>
        </w:rPr>
        <w:footnoteReference w:id="239"/>
      </w:r>
      <w:r>
        <w:t>，并存在</w:t>
      </w:r>
      <w:r>
        <w:t xml:space="preserve"> </w:t>
      </w:r>
      <w:r>
        <w:rPr>
          <w:rStyle w:val="style4120"/>
        </w:rPr>
        <w:t>kmpm.incus</w:t>
      </w:r>
      <w:r>
        <w:t xml:space="preserve"> </w:t>
      </w:r>
      <w:r>
        <w:t>集合提供完整模块</w:t>
      </w:r>
      <w:r>
        <w:t xml:space="preserve"> </w:t>
      </w:r>
      <w:r>
        <w:rPr>
          <w:vertAlign w:val="superscript"/>
        </w:rPr>
        <w:footnoteReference w:id="240"/>
      </w:r>
      <w:r>
        <w:t>。CubeSandbox 可复用 LXC/Ansible 生态，提供</w:t>
      </w:r>
      <w:r>
        <w:t xml:space="preserve"> </w:t>
      </w:r>
      <w:r>
        <w:rPr>
          <w:rStyle w:val="style4120"/>
        </w:rPr>
        <w:t>cubesandbox.incus</w:t>
      </w:r>
      <w:r>
        <w:t xml:space="preserve"> </w:t>
      </w:r>
      <w:r>
        <w:t>模块集合，覆盖实例创建、配置和生命周期管理。</w:t>
      </w:r>
      <w:r>
        <w:rPr>
          <w:rStyle w:val="style4120"/>
        </w:rPr>
        <w:t>community.general.lxd_container</w:t>
      </w:r>
      <w:r>
        <w:t xml:space="preserve"> </w:t>
      </w:r>
      <w:r>
        <w:t>模块因 API 路径兼容也可直接用于 Incus</w:t>
      </w:r>
      <w:r>
        <w:t xml:space="preserve"> </w:t>
      </w:r>
      <w:r>
        <w:rPr>
          <w:vertAlign w:val="superscript"/>
        </w:rPr>
        <w:footnoteReference w:id="241"/>
      </w:r>
      <w:r>
        <w:t>。</w:t>
      </w:r>
    </w:p>
    <w:p w14:paraId="F22B5F0D">
      <w:pPr>
        <w:pStyle w:val="style66"/>
        <w:rPr/>
      </w:pPr>
      <w:r>
        <w:rPr>
          <w:b/>
          <w:bCs/>
        </w:rPr>
        <w:t>Pulumi Provider</w:t>
      </w:r>
      <w:r>
        <w:t>：Pulumi 允许使用 TypeScript、Python、Go 和 C# 等通用编程语言定义基础设施</w:t>
      </w:r>
      <w:r>
        <w:t xml:space="preserve"> </w:t>
      </w:r>
      <w:r>
        <w:rPr>
          <w:vertAlign w:val="superscript"/>
        </w:rPr>
        <w:footnoteReference w:id="242"/>
      </w:r>
      <w:r>
        <w:t xml:space="preserve"> </w:t>
      </w:r>
      <w:r>
        <w:rPr>
          <w:vertAlign w:val="superscript"/>
        </w:rPr>
        <w:footnoteReference w:id="243"/>
      </w:r>
      <w:r>
        <w:t>。参考</w:t>
      </w:r>
      <w:r>
        <w:t xml:space="preserve"> </w:t>
      </w:r>
      <w:r>
        <w:rPr>
          <w:rStyle w:val="style4120"/>
        </w:rPr>
        <w:t>pulumi-lagoon-provider</w:t>
      </w:r>
      <w:r>
        <w:t xml:space="preserve"> </w:t>
      </w:r>
      <w:r>
        <w:t>的实现模式</w:t>
      </w:r>
      <w:r>
        <w:t xml:space="preserve"> </w:t>
      </w:r>
      <w:r>
        <w:rPr/>
        <w:fldChar w:fldCharType="begin"/>
      </w:r>
      <w:r>
        <w:instrText>NOTEREF _Ref_Footnote_242 \h \f</w:instrText>
      </w:r>
      <w:r>
        <w:rPr/>
        <w:fldChar w:fldCharType="separate"/>
      </w:r>
      <w:r>
        <w:rPr>
          <w:vertAlign w:val="superscript"/>
        </w:rPr>
        <w:t>242</w:t>
      </w:r>
      <w:r>
        <w:rPr/>
        <w:fldChar w:fldCharType="end"/>
      </w:r>
      <w:r>
        <w:t>和 Pulumi Docker Provider v4（构建镜像速度提升高达 50 倍、支持 BuildKit 跨平台构建）</w:t>
      </w:r>
      <w:r>
        <w:rPr>
          <w:vertAlign w:val="superscript"/>
        </w:rPr>
        <w:footnoteReference w:id="244"/>
      </w:r>
      <w:r>
        <w:t>，CubeSandbox 应开发动态 Provider，支持运行时生成资源模式并与多云提供商协同工作。</w:t>
      </w:r>
    </w:p>
    <w:bookmarkStart w:id="140" w:name="可观测性栈"/>
    <w:bookmarkEnd w:id="139"/>
    <w:p w14:paraId="0363940B">
      <w:pPr>
        <w:pStyle w:val="style4104"/>
        <w:rPr/>
      </w:pPr>
      <w:r>
        <w:t>8.3.2 可观测性栈</w:t>
      </w:r>
    </w:p>
    <w:p w14:paraId="60685A99">
      <w:pPr>
        <w:pStyle w:val="style4097"/>
        <w:rPr/>
      </w:pPr>
      <w:r>
        <w:t>云原生可观测性的三大支柱——指标（Metrics）、日志（Logs）和链路追踪（Traces）——需要统一的采集和分析平台。CubeSandbox 的可观测性栈建议采用业界成熟组合：</w:t>
      </w:r>
    </w:p>
    <w:p w14:paraId="C6C20242">
      <w:pPr>
        <w:pStyle w:val="style66"/>
        <w:rPr/>
      </w:pPr>
      <w:r>
        <w:rPr>
          <w:b/>
          <w:bCs/>
        </w:rPr>
        <w:t>Prometheus + Grafana</w:t>
      </w:r>
      <w:r>
        <w:t>：Prometheus 负责从 CubeSandbox API、Incus Daemon 和 Kata Runtime 采集时序指标，包括实例 CPU/内存使用率、API 请求延迟（P50/P95/P99）、存储 I/O 吞吐量和网络包速率。Grafana 提供可视化仪表盘，参考 Incus 的监控指标设计</w:t>
      </w:r>
      <w:r>
        <w:t xml:space="preserve"> </w:t>
      </w:r>
      <w:r>
        <w:rPr/>
        <w:fldChar w:fldCharType="begin"/>
      </w:r>
      <w:r>
        <w:instrText>NOTEREF _Ref_Footnote_98 \h \f</w:instrText>
      </w:r>
      <w:r>
        <w:rPr/>
        <w:fldChar w:fldCharType="separate"/>
      </w:r>
      <w:r>
        <w:rPr>
          <w:vertAlign w:val="superscript"/>
        </w:rPr>
        <w:t>98</w:t>
      </w:r>
      <w:r>
        <w:rPr/>
        <w:fldChar w:fldCharType="end"/>
      </w:r>
      <w:r>
        <w:t>，覆盖集群资源利用率、实例分布和告警阈值。</w:t>
      </w:r>
    </w:p>
    <w:p w14:paraId="8DDF2FED">
      <w:pPr>
        <w:pStyle w:val="style66"/>
        <w:rPr/>
      </w:pPr>
      <w:r>
        <w:rPr>
          <w:b/>
          <w:bCs/>
        </w:rPr>
        <w:t>Loki</w:t>
      </w:r>
      <w:r>
        <w:t>：负责日志聚合与查询。CubeSandbox 各组件（CubeHypervisor、CubeShim、Incus Daemon）的日志通过 Promtail 采集到 Loki，支持按实例 ID、节点名称和时间范围进行日志检索。API 层可通过 WebSocket 将容器实时日志流推送给客户端。</w:t>
      </w:r>
    </w:p>
    <w:p w14:paraId="3B42F8C6">
      <w:pPr>
        <w:pStyle w:val="style66"/>
        <w:rPr/>
      </w:pPr>
      <w:r>
        <w:rPr>
          <w:b/>
          <w:bCs/>
        </w:rPr>
        <w:t>Jaeger</w:t>
      </w:r>
      <w:r>
        <w:t>：负责分布式链路追踪。跨组件请求（如 API Gateway → CubeSandbox Adapter → Incus API → LXC/QEMU）的调用链通过 Jaeger 采集，用于分析请求延迟瓶颈和依赖关系。特别地，CRI gRPC 调用链（Kubelet → CubeSandbox CRI Shim → OCI Runtime）的追踪数据对于排查 Pod 启动延迟问题至关重要。</w:t>
      </w:r>
    </w:p>
    <w:bookmarkStart w:id="141" w:name="多云与混合云"/>
    <w:bookmarkEnd w:id="140"/>
    <w:p w14:paraId="FF210E71">
      <w:pPr>
        <w:pStyle w:val="style4104"/>
        <w:rPr/>
      </w:pPr>
      <w:r>
        <w:t>8.3.3 多云与混合云</w:t>
      </w:r>
    </w:p>
    <w:p w14:paraId="968AD80F">
      <w:pPr>
        <w:pStyle w:val="style4097"/>
        <w:rPr/>
      </w:pPr>
      <w:r>
        <w:t>多云（Multi-Cloud）和混合云（Hybrid Cloud）架构要求 API 层提供跨云抽象能力。研究表明，治理感知的意图驱动架构可以有效管理多云环境中的 API 网关，实验结果显示策略漂移减少 42%，配置传播时间改善 31%</w:t>
      </w:r>
      <w:r>
        <w:t xml:space="preserve"> </w:t>
      </w:r>
      <w:r>
        <w:rPr>
          <w:vertAlign w:val="superscript"/>
        </w:rPr>
        <w:footnoteReference w:id="245"/>
      </w:r>
      <w:r>
        <w:t>。</w:t>
      </w:r>
    </w:p>
    <w:p w14:paraId="12242FD7">
      <w:pPr>
        <w:pStyle w:val="style66"/>
        <w:rPr/>
      </w:pPr>
      <w:r>
        <w:t>多云 API 抽象层的设计采用三层架构</w:t>
      </w:r>
      <w:r>
        <w:t xml:space="preserve"> </w:t>
      </w:r>
      <w:r>
        <w:rPr>
          <w:vertAlign w:val="superscript"/>
        </w:rPr>
        <w:footnoteReference w:id="246"/>
      </w:r>
      <w:r>
        <w:t>：控制平面（Control Plane）负责多云编排、策略引擎和监控遥测；抽象层（Abstraction Layer）提供统一的计算、网络和存储 API，屏蔽底层差异；数据平面（Data Plane）由 Incus、Kata、Hyper-V 和 QEMU 等运行时构成。</w:t>
      </w:r>
    </w:p>
    <w:p w14:paraId="7097DB37">
      <w:pPr>
        <w:pStyle w:val="style66"/>
        <w:rPr/>
      </w:pPr>
      <w:r>
        <w:t>API 网关层（如 Kong、Istio Ingress Gateway）负责路由跨云调用，服务网格处理服务发现、遥测和策略执行。事件驱动桥接（Kafka MirrorMaker、AWS EventBridge）保持跨云系统状态一致性</w:t>
      </w:r>
      <w:r>
        <w:t xml:space="preserve"> </w:t>
      </w:r>
      <w:r>
        <w:rPr>
          <w:vertAlign w:val="superscript"/>
        </w:rPr>
        <w:footnoteReference w:id="247"/>
      </w:r>
      <w:r>
        <w:t>。对于 CubeSandbox 平台，多云抽象层的具体实现需要统一 E2B Adapter（Sandbox 管理）、Incus Driver（容器/VM 管理）和 PVE Compatible API（虚拟化管理）三类驱动的接口语义，使上层编排器无需感知底层运行时的差异。</w:t>
      </w:r>
    </w:p>
    <w:p w14:paraId="C5BFE0F8">
      <w:pPr>
        <w:pStyle w:val="style66"/>
        <w:rPr/>
      </w:pPr>
      <w:r>
        <w:t>在 SDK 覆盖方面，建议提供四种官方 SDK：Python SDK（</w:t>
      </w:r>
      <w:r>
        <w:rPr>
          <w:rStyle w:val="style4120"/>
        </w:rPr>
        <w:t>cubesandbox-py</w:t>
      </w:r>
      <w:r>
        <w:t>，参考 Proxmoxer</w:t>
      </w:r>
      <w:r>
        <w:t xml:space="preserve"> </w:t>
      </w:r>
      <w:r>
        <w:rPr>
          <w:vertAlign w:val="superscript"/>
        </w:rPr>
        <w:footnoteReference w:id="248"/>
      </w:r>
      <w:r>
        <w:t>和 E2B SDK</w:t>
      </w:r>
      <w:r>
        <w:t xml:space="preserve"> </w:t>
      </w:r>
      <w:r>
        <w:rPr/>
        <w:fldChar w:fldCharType="begin"/>
      </w:r>
      <w:r>
        <w:instrText>NOTEREF _Ref_Footnote_233 \h \f</w:instrText>
      </w:r>
      <w:r>
        <w:rPr/>
        <w:fldChar w:fldCharType="separate"/>
      </w:r>
      <w:r>
        <w:rPr>
          <w:vertAlign w:val="superscript"/>
        </w:rPr>
        <w:t>233</w:t>
      </w:r>
      <w:r>
        <w:rPr/>
        <w:fldChar w:fldCharType="end"/>
      </w:r>
      <w:r>
        <w:t>）、TypeScript SDK（</w:t>
      </w:r>
      <w:r>
        <w:rPr>
          <w:rStyle w:val="style4120"/>
        </w:rPr>
        <w:t>@cubesandbox/sdk</w:t>
      </w:r>
      <w:r>
        <w:t>，参考 E2B JS SDK）、Go SDK（</w:t>
      </w:r>
      <w:r>
        <w:rPr>
          <w:rStyle w:val="style4120"/>
        </w:rPr>
        <w:t>cubesandbox-go</w:t>
      </w:r>
      <w:r>
        <w:t>，参考 Docker Go SDK</w:t>
      </w:r>
      <w:r>
        <w:t xml:space="preserve"> </w:t>
      </w:r>
      <w:r>
        <w:rPr/>
        <w:fldChar w:fldCharType="begin"/>
      </w:r>
      <w:r>
        <w:instrText>NOTEREF _Ref_Footnote_166 \h \f</w:instrText>
      </w:r>
      <w:r>
        <w:rPr/>
        <w:fldChar w:fldCharType="separate"/>
      </w:r>
      <w:r>
        <w:rPr>
          <w:vertAlign w:val="superscript"/>
        </w:rPr>
        <w:t>166</w:t>
      </w:r>
      <w:r>
        <w:rPr/>
        <w:fldChar w:fldCharType="end"/>
      </w:r>
      <w:r>
        <w:t>）和 Rust SDK（</w:t>
      </w:r>
      <w:r>
        <w:rPr>
          <w:rStyle w:val="style4120"/>
        </w:rPr>
        <w:t>cubesandbox-rs</w:t>
      </w:r>
      <w:r>
        <w:t>，参考 incus-client-rs</w:t>
      </w:r>
      <w:r>
        <w:t xml:space="preserve"> </w:t>
      </w:r>
      <w:r>
        <w:rPr/>
        <w:fldChar w:fldCharType="begin"/>
      </w:r>
      <w:r>
        <w:instrText>NOTEREF _Ref_Footnote_213 \h \f</w:instrText>
      </w:r>
      <w:r>
        <w:rPr/>
        <w:fldChar w:fldCharType="separate"/>
      </w:r>
      <w:r>
        <w:rPr>
          <w:vertAlign w:val="superscript"/>
        </w:rPr>
        <w:t>213</w:t>
      </w:r>
      <w:r>
        <w:rPr/>
        <w:fldChar w:fldCharType="end"/>
      </w:r>
      <w:r>
        <w:t>）。多语言 SDK 与 IaC Provider 共同构成完整的工具链生态，降低用户接入门槛并扩大平台的集成覆盖范围。</w:t>
      </w:r>
    </w:p>
    <w:p w14:paraId="FDA003EA">
      <w:pPr>
        <w:pStyle w:val="style0"/>
        <w:rPr/>
      </w:pPr>
      <w:r>
        <w:rPr/>
        <w:pict>
          <v:rect id="1045" stroked="t" style="margin-left:0.0pt;margin-top:0.0pt;width:0.0pt;height:1.5pt;mso-wrap-distance-left:0.0pt;mso-wrap-distance-right:0.0pt;visibility:visible;" o:hr="t" o:hralign="center" o:hrstd="t">
            <v:fill/>
          </v:rect>
        </w:pict>
      </w:r>
    </w:p>
    <w:bookmarkStart w:id="142" w:name="pve-功能对标与实施路线"/>
    <w:bookmarkEnd w:id="141"/>
    <w:bookmarkEnd w:id="138"/>
    <w:bookmarkEnd w:id="129"/>
    <w:p w14:paraId="47B1BA4D">
      <w:pPr>
        <w:pStyle w:val="style4102"/>
        <w:rPr/>
      </w:pPr>
      <w:r>
        <w:t>9. PVE 功能对标与实施路线</w:t>
      </w:r>
    </w:p>
    <w:p w14:paraId="F069776C">
      <w:pPr>
        <w:pStyle w:val="style4097"/>
        <w:rPr/>
      </w:pPr>
      <w:r>
        <w:t>前述八章分别从虚拟化层、运行时、网络、存储、安全、编排、API 七个维度完成了技术架构的详细设计。本章将这些设计成果与 Proxmox VE（PVE）8.x 进行系统性功能对标，量化差距并制定 12 个月分阶段实施路线图。对标分析基于 PVE 官方文档</w:t>
      </w:r>
      <w:r>
        <w:t xml:space="preserve"> </w:t>
      </w:r>
      <w:r>
        <w:rPr/>
        <w:fldChar w:fldCharType="begin"/>
      </w:r>
      <w:r>
        <w:instrText>NOTEREF _Ref_Footnote_1 \h \f</w:instrText>
      </w:r>
      <w:r>
        <w:rPr/>
        <w:fldChar w:fldCharType="separate"/>
      </w:r>
      <w:r>
        <w:rPr>
          <w:vertAlign w:val="superscript"/>
        </w:rPr>
        <w:t>1</w:t>
      </w:r>
      <w:r>
        <w:rPr/>
        <w:fldChar w:fldCharType="end"/>
      </w:r>
      <w:r>
        <w:t>、集群架构白皮书</w:t>
      </w:r>
      <w:r>
        <w:t xml:space="preserve"> </w:t>
      </w:r>
      <w:r>
        <w:rPr/>
        <w:fldChar w:fldCharType="begin"/>
      </w:r>
      <w:r>
        <w:instrText>NOTEREF _Ref_Footnote_29 \h \f</w:instrText>
      </w:r>
      <w:r>
        <w:rPr/>
        <w:fldChar w:fldCharType="separate"/>
      </w:r>
      <w:r>
        <w:rPr>
          <w:vertAlign w:val="superscript"/>
        </w:rPr>
        <w:t>29</w:t>
      </w:r>
      <w:r>
        <w:rPr/>
        <w:fldChar w:fldCharType="end"/>
      </w:r>
      <w:r>
        <w:t>及社区深度分析</w:t>
      </w:r>
      <w:r>
        <w:t xml:space="preserve"> </w:t>
      </w:r>
      <w:r>
        <w:rPr/>
        <w:fldChar w:fldCharType="begin"/>
      </w:r>
      <w:r>
        <w:instrText>NOTEREF _Ref_Footnote_30 \h \f</w:instrText>
      </w:r>
      <w:r>
        <w:rPr/>
        <w:fldChar w:fldCharType="separate"/>
      </w:r>
      <w:r>
        <w:rPr>
          <w:vertAlign w:val="superscript"/>
        </w:rPr>
        <w:t>30</w:t>
      </w:r>
      <w:r>
        <w:rPr/>
        <w:fldChar w:fldCharType="end"/>
      </w:r>
      <w:r>
        <w:t>，采用十维度功能矩阵进行逐项比较。</w:t>
      </w:r>
    </w:p>
    <w:bookmarkStart w:id="143" w:name="功能对标矩阵"/>
    <w:p w14:paraId="77D6C495">
      <w:pPr>
        <w:pStyle w:val="style4103"/>
        <w:rPr/>
      </w:pPr>
      <w:r>
        <w:t>9.1 功能对标矩阵</w:t>
      </w:r>
    </w:p>
    <w:bookmarkStart w:id="144" w:name="十维度功能对标"/>
    <w:p w14:paraId="57BE8A10">
      <w:pPr>
        <w:pStyle w:val="style4104"/>
        <w:rPr/>
      </w:pPr>
      <w:r>
        <w:t>9.1.1 十维度功能对标</w:t>
      </w:r>
    </w:p>
    <w:p w14:paraId="6529FD02">
      <w:pPr>
        <w:pStyle w:val="style4097"/>
        <w:rPr/>
      </w:pPr>
      <w:r>
        <w:t>PVE 作为开源虚拟化平台的成熟标杆，其功能体系涵盖 VM 管理、容器管理、存储管理、网络功能、Web UI、API 自动化、企业特性、备份恢复、HA 集群和监控告警十个维度</w:t>
      </w:r>
      <w:r>
        <w:t xml:space="preserve"> </w:t>
      </w:r>
      <w:r>
        <w:rPr/>
        <w:fldChar w:fldCharType="begin"/>
      </w:r>
      <w:r>
        <w:instrText>NOTEREF _Ref_Footnote_30 \h \f</w:instrText>
      </w:r>
      <w:r>
        <w:rPr/>
        <w:fldChar w:fldCharType="separate"/>
      </w:r>
      <w:r>
        <w:rPr>
          <w:vertAlign w:val="superscript"/>
        </w:rPr>
        <w:t>30</w:t>
      </w:r>
      <w:r>
        <w:rPr/>
        <w:fldChar w:fldCharType="end"/>
      </w:r>
      <w:r>
        <w:t xml:space="preserve"> </w:t>
      </w:r>
      <w:r>
        <w:rPr/>
        <w:fldChar w:fldCharType="begin"/>
      </w:r>
      <w:r>
        <w:instrText>NOTEREF _Ref_Footnote_1 \h \f</w:instrText>
      </w:r>
      <w:r>
        <w:rPr/>
        <w:fldChar w:fldCharType="separate"/>
      </w:r>
      <w:r>
        <w:rPr>
          <w:vertAlign w:val="superscript"/>
        </w:rPr>
        <w:t>1</w:t>
      </w:r>
      <w:r>
        <w:rPr/>
        <w:fldChar w:fldCharType="end"/>
      </w:r>
      <w:r>
        <w:t>。表 9-1 逐项比较 PVE 与本方案在这些维度上的能力状态，使用四级符号体系：</w:t>
      </w:r>
      <w:r>
        <w:t>“</w:t>
      </w:r>
      <w:r>
        <w:t>✅ 超越</w:t>
      </w:r>
      <w:r>
        <w:t>”</w:t>
      </w:r>
      <w:r>
        <w:t>表示本方案优于 PVE，</w:t>
      </w:r>
      <w:r>
        <w:t>“</w:t>
      </w:r>
      <w:r>
        <w:t>🟢 对等</w:t>
      </w:r>
      <w:r>
        <w:t>”</w:t>
      </w:r>
      <w:r>
        <w:t>表示能力相当，</w:t>
      </w:r>
      <w:r>
        <w:t>“</w:t>
      </w:r>
      <w:r>
        <w:t>🟡 差距</w:t>
      </w:r>
      <w:r>
        <w:t>”</w:t>
      </w:r>
      <w:r>
        <w:t>表示存在可量化的功能缺口，</w:t>
      </w:r>
      <w:r>
        <w:t>“</w:t>
      </w:r>
      <w:r>
        <w:t>🔴 缺失</w:t>
      </w:r>
      <w:r>
        <w:t>”</w:t>
      </w:r>
      <w:r>
        <w:t>表示需从零开发。</w:t>
      </w:r>
    </w:p>
    <w:p w14:paraId="06E7DDC3">
      <w:pPr>
        <w:pStyle w:val="style66"/>
        <w:rPr/>
      </w:pPr>
      <w:r>
        <w:rPr>
          <w:b/>
          <w:bCs/>
        </w:rPr>
        <w:t>表 9-1 PVE 十维度功能对标矩阵</w:t>
      </w:r>
    </w:p>
    <w:tbl>
      <w:tblPr>
        <w:tblStyle w:val="style4111"/>
        <w:tblW w:w="5000" w:type="pct"/>
        <w:tblLook w:val="0020" w:firstRow="1" w:lastRow="0" w:firstColumn="0" w:lastColumn="0" w:noHBand="0" w:noVBand="0"/>
      </w:tblPr>
      <w:tblGrid>
        <w:gridCol w:w="573"/>
        <w:gridCol w:w="1634"/>
        <w:gridCol w:w="2824"/>
        <w:gridCol w:w="1781"/>
        <w:gridCol w:w="424"/>
        <w:gridCol w:w="1284"/>
      </w:tblGrid>
      <w:tr w14:paraId="5D799AC5">
        <w:trPr>
          <w:tblHeader/>
        </w:trPr>
        <w:tc>
          <w:tcPr>
            <w:tcW w:w="0" w:type="auto"/>
            <w:tcBorders/>
          </w:tcPr>
          <w:p w14:paraId="C9B3EEF2">
            <w:pPr>
              <w:pStyle w:val="style4098"/>
              <w:jc w:val="left"/>
              <w:rPr/>
            </w:pPr>
            <w:r>
              <w:t>维度</w:t>
            </w:r>
          </w:p>
        </w:tc>
        <w:tc>
          <w:tcPr>
            <w:tcW w:w="0" w:type="auto"/>
            <w:tcBorders/>
          </w:tcPr>
          <w:p w14:paraId="C512071C">
            <w:pPr>
              <w:pStyle w:val="style4098"/>
              <w:jc w:val="left"/>
              <w:rPr/>
            </w:pPr>
            <w:r>
              <w:t>功能项</w:t>
            </w:r>
          </w:p>
        </w:tc>
        <w:tc>
          <w:tcPr>
            <w:tcW w:w="0" w:type="auto"/>
            <w:tcBorders/>
          </w:tcPr>
          <w:p w14:paraId="15A3802E">
            <w:pPr>
              <w:pStyle w:val="style4098"/>
              <w:jc w:val="left"/>
              <w:rPr/>
            </w:pPr>
            <w:r>
              <w:t>PVE 状态</w:t>
            </w:r>
          </w:p>
        </w:tc>
        <w:tc>
          <w:tcPr>
            <w:tcW w:w="0" w:type="auto"/>
            <w:tcBorders/>
          </w:tcPr>
          <w:p w14:paraId="8EA17D2A">
            <w:pPr>
              <w:pStyle w:val="style4098"/>
              <w:jc w:val="left"/>
              <w:rPr/>
            </w:pPr>
            <w:r>
              <w:t>本方案状态</w:t>
            </w:r>
          </w:p>
        </w:tc>
        <w:tc>
          <w:tcPr>
            <w:tcW w:w="0" w:type="auto"/>
            <w:tcBorders/>
          </w:tcPr>
          <w:p w14:paraId="DA3425AE">
            <w:pPr>
              <w:pStyle w:val="style4098"/>
              <w:jc w:val="center"/>
              <w:rPr/>
            </w:pPr>
            <w:r>
              <w:t>对标结论</w:t>
            </w:r>
          </w:p>
        </w:tc>
        <w:tc>
          <w:tcPr>
            <w:tcW w:w="0" w:type="auto"/>
            <w:tcBorders/>
          </w:tcPr>
          <w:p w14:paraId="47C4604B">
            <w:pPr>
              <w:pStyle w:val="style4098"/>
              <w:jc w:val="left"/>
              <w:rPr/>
            </w:pPr>
            <w:r>
              <w:t>关键差距</w:t>
            </w:r>
          </w:p>
        </w:tc>
      </w:tr>
      <w:tr w14:paraId="EF445FA1">
        <w:tblPrEx/>
        <w:trPr/>
        <w:tc>
          <w:tcPr>
            <w:tcW w:w="0" w:type="auto"/>
            <w:tcBorders/>
          </w:tcPr>
          <w:p w14:paraId="19742A2F">
            <w:pPr>
              <w:pStyle w:val="style4098"/>
              <w:jc w:val="left"/>
              <w:rPr/>
            </w:pPr>
            <w:r>
              <w:rPr>
                <w:b/>
                <w:bCs/>
              </w:rPr>
              <w:t>VM 管理</w:t>
            </w:r>
          </w:p>
        </w:tc>
        <w:tc>
          <w:tcPr>
            <w:tcW w:w="0" w:type="auto"/>
            <w:tcBorders/>
          </w:tcPr>
          <w:p w14:paraId="245FC2AF">
            <w:pPr>
              <w:pStyle w:val="style4098"/>
              <w:jc w:val="left"/>
              <w:rPr/>
            </w:pPr>
            <w:r>
              <w:t>生命周期 (qm)</w:t>
            </w:r>
          </w:p>
        </w:tc>
        <w:tc>
          <w:tcPr>
            <w:tcW w:w="0" w:type="auto"/>
            <w:tcBorders/>
          </w:tcPr>
          <w:p w14:paraId="5FA0E251">
            <w:pPr>
              <w:pStyle w:val="style4098"/>
              <w:jc w:val="left"/>
              <w:rPr/>
            </w:pPr>
            <w:r>
              <w:t>完整：创建/启停/暂停/恢复/删除</w:t>
            </w:r>
            <w:r>
              <w:t xml:space="preserve"> </w:t>
            </w:r>
            <w:r>
              <w:rPr/>
              <w:fldChar w:fldCharType="begin"/>
            </w:r>
            <w:r>
              <w:instrText>NOTEREF _Ref_Footnote_246 \h \f</w:instrText>
            </w:r>
            <w:r>
              <w:rPr/>
              <w:fldChar w:fldCharType="separate"/>
            </w:r>
            <w:r>
              <w:rPr>
                <w:vertAlign w:val="superscript"/>
              </w:rPr>
              <w:t>246</w:t>
            </w:r>
            <w:r>
              <w:rPr/>
              <w:fldChar w:fldCharType="end"/>
            </w:r>
          </w:p>
        </w:tc>
        <w:tc>
          <w:tcPr>
            <w:tcW w:w="0" w:type="auto"/>
            <w:tcBorders/>
          </w:tcPr>
          <w:p w14:paraId="4EF7C202">
            <w:pPr>
              <w:pStyle w:val="style4098"/>
              <w:jc w:val="left"/>
              <w:rPr/>
            </w:pPr>
            <w:r>
              <w:t>CubeSandbox+Incus 双轨</w:t>
            </w:r>
          </w:p>
        </w:tc>
        <w:tc>
          <w:tcPr>
            <w:tcW w:w="0" w:type="auto"/>
            <w:tcBorders/>
          </w:tcPr>
          <w:p w14:paraId="8BC3ACE6">
            <w:pPr>
              <w:pStyle w:val="style4098"/>
              <w:jc w:val="center"/>
              <w:rPr/>
            </w:pPr>
            <w:r>
              <w:t>🟡 差距</w:t>
            </w:r>
          </w:p>
        </w:tc>
        <w:tc>
          <w:tcPr>
            <w:tcW w:w="0" w:type="auto"/>
            <w:tcBorders/>
          </w:tcPr>
          <w:p w14:paraId="88A93713">
            <w:pPr>
              <w:pStyle w:val="style4098"/>
              <w:jc w:val="left"/>
              <w:rPr/>
            </w:pPr>
            <w:r>
              <w:t>热迁移、在线快照回滚待开发</w:t>
            </w:r>
          </w:p>
        </w:tc>
      </w:tr>
      <w:tr w14:paraId="8688ADE3">
        <w:tblPrEx/>
        <w:trPr/>
        <w:tc>
          <w:tcPr>
            <w:tcW w:w="0" w:type="auto"/>
            <w:tcBorders/>
          </w:tcPr>
          <w:p w14:paraId="A3ABB9BB">
            <w:pPr>
              <w:pStyle w:val="style4098"/>
              <w:rPr/>
            </w:pPr>
          </w:p>
        </w:tc>
        <w:tc>
          <w:tcPr>
            <w:tcW w:w="0" w:type="auto"/>
            <w:tcBorders/>
          </w:tcPr>
          <w:p w14:paraId="E1558FE4">
            <w:pPr>
              <w:pStyle w:val="style4098"/>
              <w:jc w:val="left"/>
              <w:rPr/>
            </w:pPr>
            <w:r>
              <w:t>模板与克隆</w:t>
            </w:r>
          </w:p>
        </w:tc>
        <w:tc>
          <w:tcPr>
            <w:tcW w:w="0" w:type="auto"/>
            <w:tcBorders/>
          </w:tcPr>
          <w:p w14:paraId="A115E9FE">
            <w:pPr>
              <w:pStyle w:val="style4098"/>
              <w:jc w:val="left"/>
              <w:rPr/>
            </w:pPr>
            <w:r>
              <w:t>Full+Linked Clone</w:t>
            </w:r>
            <w:r>
              <w:t xml:space="preserve"> </w:t>
            </w:r>
            <w:r>
              <w:rPr/>
              <w:fldChar w:fldCharType="begin"/>
            </w:r>
            <w:r>
              <w:instrText>NOTEREF _Ref_Footnote_203 \h \f</w:instrText>
            </w:r>
            <w:r>
              <w:rPr/>
              <w:fldChar w:fldCharType="separate"/>
            </w:r>
            <w:r>
              <w:rPr>
                <w:vertAlign w:val="superscript"/>
              </w:rPr>
              <w:t>203</w:t>
            </w:r>
            <w:r>
              <w:rPr/>
              <w:fldChar w:fldCharType="end"/>
            </w:r>
          </w:p>
        </w:tc>
        <w:tc>
          <w:tcPr>
            <w:tcW w:w="0" w:type="auto"/>
            <w:tcBorders/>
          </w:tcPr>
          <w:p w14:paraId="DA3BA1BE">
            <w:pPr>
              <w:pStyle w:val="style4098"/>
              <w:jc w:val="left"/>
              <w:rPr/>
            </w:pPr>
            <w:r>
              <w:t>CoW 快照克隆</w:t>
            </w:r>
          </w:p>
        </w:tc>
        <w:tc>
          <w:tcPr>
            <w:tcW w:w="0" w:type="auto"/>
            <w:tcBorders/>
          </w:tcPr>
          <w:p w14:paraId="D02107F5">
            <w:pPr>
              <w:pStyle w:val="style4098"/>
              <w:jc w:val="center"/>
              <w:rPr/>
            </w:pPr>
            <w:r>
              <w:t>🟡 差距</w:t>
            </w:r>
          </w:p>
        </w:tc>
        <w:tc>
          <w:tcPr>
            <w:tcW w:w="0" w:type="auto"/>
            <w:tcBorders/>
          </w:tcPr>
          <w:p w14:paraId="3E4B3215">
            <w:pPr>
              <w:pStyle w:val="style4098"/>
              <w:jc w:val="left"/>
              <w:rPr/>
            </w:pPr>
            <w:r>
              <w:t>Linked Clone 需评估</w:t>
            </w:r>
          </w:p>
        </w:tc>
      </w:tr>
      <w:tr w14:paraId="CAA17426">
        <w:tblPrEx/>
        <w:trPr/>
        <w:tc>
          <w:tcPr>
            <w:tcW w:w="0" w:type="auto"/>
            <w:tcBorders/>
          </w:tcPr>
          <w:p w14:paraId="EE8E6D02">
            <w:pPr>
              <w:pStyle w:val="style4098"/>
              <w:rPr/>
            </w:pPr>
          </w:p>
        </w:tc>
        <w:tc>
          <w:tcPr>
            <w:tcW w:w="0" w:type="auto"/>
            <w:tcBorders/>
          </w:tcPr>
          <w:p w14:paraId="AF4499B9">
            <w:pPr>
              <w:pStyle w:val="style4098"/>
              <w:jc w:val="left"/>
              <w:rPr/>
            </w:pPr>
            <w:r>
              <w:t>Cloud-Init</w:t>
            </w:r>
          </w:p>
        </w:tc>
        <w:tc>
          <w:tcPr>
            <w:tcW w:w="0" w:type="auto"/>
            <w:tcBorders/>
          </w:tcPr>
          <w:p w14:paraId="BCD43406">
            <w:pPr>
              <w:pStyle w:val="style4098"/>
              <w:jc w:val="left"/>
              <w:rPr/>
            </w:pPr>
            <w:r>
              <w:t>原生支持</w:t>
            </w:r>
            <w:r>
              <w:t xml:space="preserve"> </w:t>
            </w:r>
            <w:r>
              <w:rPr/>
              <w:fldChar w:fldCharType="begin"/>
            </w:r>
            <w:r>
              <w:instrText>NOTEREF _Ref_Footnote_197 \h \f</w:instrText>
            </w:r>
            <w:r>
              <w:rPr/>
              <w:fldChar w:fldCharType="separate"/>
            </w:r>
            <w:r>
              <w:rPr>
                <w:vertAlign w:val="superscript"/>
              </w:rPr>
              <w:t>197</w:t>
            </w:r>
            <w:r>
              <w:rPr/>
              <w:fldChar w:fldCharType="end"/>
            </w:r>
          </w:p>
        </w:tc>
        <w:tc>
          <w:tcPr>
            <w:tcW w:w="0" w:type="auto"/>
            <w:tcBorders/>
          </w:tcPr>
          <w:p w14:paraId="FF1D2A33">
            <w:pPr>
              <w:pStyle w:val="style4098"/>
              <w:jc w:val="left"/>
              <w:rPr/>
            </w:pPr>
            <w:r>
              <w:t>可集成 cloud-init</w:t>
            </w:r>
          </w:p>
        </w:tc>
        <w:tc>
          <w:tcPr>
            <w:tcW w:w="0" w:type="auto"/>
            <w:tcBorders/>
          </w:tcPr>
          <w:p w14:paraId="2D6519FA">
            <w:pPr>
              <w:pStyle w:val="style4098"/>
              <w:jc w:val="center"/>
              <w:rPr/>
            </w:pPr>
            <w:r>
              <w:t>🟢 对等</w:t>
            </w:r>
          </w:p>
        </w:tc>
        <w:tc>
          <w:tcPr>
            <w:tcW w:w="0" w:type="auto"/>
            <w:tcBorders/>
          </w:tcPr>
          <w:p w14:paraId="A8AE3343">
            <w:pPr>
              <w:pStyle w:val="style4098"/>
              <w:jc w:val="left"/>
              <w:rPr/>
            </w:pPr>
            <w:r>
              <w:t>—</w:t>
            </w:r>
          </w:p>
        </w:tc>
      </w:tr>
      <w:tr w14:paraId="D7CB2F5B">
        <w:tblPrEx/>
        <w:trPr/>
        <w:tc>
          <w:tcPr>
            <w:tcW w:w="0" w:type="auto"/>
            <w:tcBorders/>
          </w:tcPr>
          <w:p w14:paraId="2B3F3156">
            <w:pPr>
              <w:pStyle w:val="style4098"/>
              <w:rPr/>
            </w:pPr>
          </w:p>
        </w:tc>
        <w:tc>
          <w:tcPr>
            <w:tcW w:w="0" w:type="auto"/>
            <w:tcBorders/>
          </w:tcPr>
          <w:p w14:paraId="869BE255">
            <w:pPr>
              <w:pStyle w:val="style4098"/>
              <w:jc w:val="left"/>
              <w:rPr/>
            </w:pPr>
            <w:r>
              <w:t>PCI Passthrough</w:t>
            </w:r>
          </w:p>
        </w:tc>
        <w:tc>
          <w:tcPr>
            <w:tcW w:w="0" w:type="auto"/>
            <w:tcBorders/>
          </w:tcPr>
          <w:p w14:paraId="88388E4F">
            <w:pPr>
              <w:pStyle w:val="style4098"/>
              <w:jc w:val="left"/>
              <w:rPr/>
            </w:pPr>
            <w:r>
              <w:t>GPU/网卡直通</w:t>
            </w:r>
            <w:r>
              <w:t xml:space="preserve"> </w:t>
            </w:r>
            <w:r>
              <w:rPr>
                <w:vertAlign w:val="superscript"/>
              </w:rPr>
              <w:footnoteReference w:id="249"/>
            </w:r>
          </w:p>
        </w:tc>
        <w:tc>
          <w:tcPr>
            <w:tcW w:w="0" w:type="auto"/>
            <w:tcBorders/>
          </w:tcPr>
          <w:p w14:paraId="523F72D8">
            <w:pPr>
              <w:pStyle w:val="style4098"/>
              <w:jc w:val="left"/>
              <w:rPr/>
            </w:pPr>
            <w:r>
              <w:t>Hyper-V DDA + KVM VFIO</w:t>
            </w:r>
          </w:p>
        </w:tc>
        <w:tc>
          <w:tcPr>
            <w:tcW w:w="0" w:type="auto"/>
            <w:tcBorders/>
          </w:tcPr>
          <w:p w14:paraId="80E22B7B">
            <w:pPr>
              <w:pStyle w:val="style4098"/>
              <w:jc w:val="center"/>
              <w:rPr/>
            </w:pPr>
            <w:r>
              <w:t>🟡 差距</w:t>
            </w:r>
          </w:p>
        </w:tc>
        <w:tc>
          <w:tcPr>
            <w:tcW w:w="0" w:type="auto"/>
            <w:tcBorders/>
          </w:tcPr>
          <w:p w14:paraId="6B62CE59">
            <w:pPr>
              <w:pStyle w:val="style4098"/>
              <w:jc w:val="left"/>
              <w:rPr/>
            </w:pPr>
            <w:r>
              <w:t>GPU 直通仅为设计提案 [^Dim01-192^]</w:t>
            </w:r>
          </w:p>
        </w:tc>
      </w:tr>
      <w:tr w14:paraId="EB4A87FC">
        <w:tblPrEx/>
        <w:trPr/>
        <w:tc>
          <w:tcPr>
            <w:tcW w:w="0" w:type="auto"/>
            <w:tcBorders/>
          </w:tcPr>
          <w:p w14:paraId="69DFF62D">
            <w:pPr>
              <w:pStyle w:val="style4098"/>
              <w:rPr/>
            </w:pPr>
          </w:p>
        </w:tc>
        <w:tc>
          <w:tcPr>
            <w:tcW w:w="0" w:type="auto"/>
            <w:tcBorders/>
          </w:tcPr>
          <w:p w14:paraId="3E892A11">
            <w:pPr>
              <w:pStyle w:val="style4098"/>
              <w:jc w:val="left"/>
              <w:rPr/>
            </w:pPr>
            <w:r>
              <w:t>CPU 热插拔/内存 Ballooning</w:t>
            </w:r>
          </w:p>
        </w:tc>
        <w:tc>
          <w:tcPr>
            <w:tcW w:w="0" w:type="auto"/>
            <w:tcBorders/>
          </w:tcPr>
          <w:p w14:paraId="E9DBB374">
            <w:pPr>
              <w:pStyle w:val="style4098"/>
              <w:jc w:val="left"/>
              <w:rPr/>
            </w:pPr>
            <w:r>
              <w:t>支持</w:t>
            </w:r>
          </w:p>
        </w:tc>
        <w:tc>
          <w:tcPr>
            <w:tcW w:w="0" w:type="auto"/>
            <w:tcBorders/>
          </w:tcPr>
          <w:p w14:paraId="6B84737C">
            <w:pPr>
              <w:pStyle w:val="style4098"/>
              <w:jc w:val="left"/>
              <w:rPr/>
            </w:pPr>
            <w:r>
              <w:t>需开发</w:t>
            </w:r>
          </w:p>
        </w:tc>
        <w:tc>
          <w:tcPr>
            <w:tcW w:w="0" w:type="auto"/>
            <w:tcBorders/>
          </w:tcPr>
          <w:p w14:paraId="53E126B6">
            <w:pPr>
              <w:pStyle w:val="style4098"/>
              <w:jc w:val="center"/>
              <w:rPr/>
            </w:pPr>
            <w:r>
              <w:t>🟡 差距</w:t>
            </w:r>
          </w:p>
        </w:tc>
        <w:tc>
          <w:tcPr>
            <w:tcW w:w="0" w:type="auto"/>
            <w:tcBorders/>
          </w:tcPr>
          <w:p w14:paraId="48B31D0F">
            <w:pPr>
              <w:pStyle w:val="style4098"/>
              <w:jc w:val="left"/>
              <w:rPr/>
            </w:pPr>
            <w:r>
              <w:t>Phase 3 实现</w:t>
            </w:r>
          </w:p>
        </w:tc>
      </w:tr>
      <w:tr w14:paraId="34A444FB">
        <w:tblPrEx/>
        <w:trPr/>
        <w:tc>
          <w:tcPr>
            <w:tcW w:w="0" w:type="auto"/>
            <w:tcBorders/>
          </w:tcPr>
          <w:p w14:paraId="FA2A0D6B">
            <w:pPr>
              <w:pStyle w:val="style4098"/>
              <w:jc w:val="left"/>
              <w:rPr/>
            </w:pPr>
            <w:r>
              <w:rPr>
                <w:b/>
                <w:bCs/>
              </w:rPr>
              <w:t>容器管理</w:t>
            </w:r>
          </w:p>
        </w:tc>
        <w:tc>
          <w:tcPr>
            <w:tcW w:w="0" w:type="auto"/>
            <w:tcBorders/>
          </w:tcPr>
          <w:p w14:paraId="FB66E5C7">
            <w:pPr>
              <w:pStyle w:val="style4098"/>
              <w:jc w:val="left"/>
              <w:rPr/>
            </w:pPr>
            <w:r>
              <w:t>运行时类型</w:t>
            </w:r>
          </w:p>
        </w:tc>
        <w:tc>
          <w:tcPr>
            <w:tcW w:w="0" w:type="auto"/>
            <w:tcBorders/>
          </w:tcPr>
          <w:p w14:paraId="54BF2719">
            <w:pPr>
              <w:pStyle w:val="style4098"/>
              <w:jc w:val="left"/>
              <w:rPr/>
            </w:pPr>
            <w:r>
              <w:t>LXC (系统容器)</w:t>
            </w:r>
            <w:r>
              <w:t xml:space="preserve"> </w:t>
            </w:r>
            <w:r>
              <w:rPr/>
              <w:fldChar w:fldCharType="begin"/>
            </w:r>
            <w:r>
              <w:instrText>NOTEREF _Ref_Footnote_10 \h \f</w:instrText>
            </w:r>
            <w:r>
              <w:rPr/>
              <w:fldChar w:fldCharType="separate"/>
            </w:r>
            <w:r>
              <w:rPr>
                <w:vertAlign w:val="superscript"/>
              </w:rPr>
              <w:t>10</w:t>
            </w:r>
            <w:r>
              <w:rPr/>
              <w:fldChar w:fldCharType="end"/>
            </w:r>
          </w:p>
        </w:tc>
        <w:tc>
          <w:tcPr>
            <w:tcW w:w="0" w:type="auto"/>
            <w:tcBorders/>
          </w:tcPr>
          <w:p w14:paraId="14CF98DE">
            <w:pPr>
              <w:pStyle w:val="style4098"/>
              <w:jc w:val="left"/>
              <w:rPr/>
            </w:pPr>
            <w:r>
              <w:t>Incus LXC + Kata MicroVM</w:t>
            </w:r>
          </w:p>
        </w:tc>
        <w:tc>
          <w:tcPr>
            <w:tcW w:w="0" w:type="auto"/>
            <w:tcBorders/>
          </w:tcPr>
          <w:p w14:paraId="94B03A04">
            <w:pPr>
              <w:pStyle w:val="style4098"/>
              <w:jc w:val="center"/>
              <w:rPr/>
            </w:pPr>
            <w:r>
              <w:t>✅ 超越</w:t>
            </w:r>
          </w:p>
        </w:tc>
        <w:tc>
          <w:tcPr>
            <w:tcW w:w="0" w:type="auto"/>
            <w:tcBorders/>
          </w:tcPr>
          <w:p w14:paraId="B48BD7A8">
            <w:pPr>
              <w:pStyle w:val="style4098"/>
              <w:jc w:val="left"/>
              <w:rPr/>
            </w:pPr>
            <w:r>
              <w:t>Kata 提供 VM 级隔离，优于 LXC 共享内核</w:t>
            </w:r>
          </w:p>
        </w:tc>
      </w:tr>
      <w:tr w14:paraId="6E276EC8">
        <w:tblPrEx/>
        <w:trPr/>
        <w:tc>
          <w:tcPr>
            <w:tcW w:w="0" w:type="auto"/>
            <w:tcBorders/>
          </w:tcPr>
          <w:p w14:paraId="0C375073">
            <w:pPr>
              <w:pStyle w:val="style4098"/>
              <w:rPr/>
            </w:pPr>
          </w:p>
        </w:tc>
        <w:tc>
          <w:tcPr>
            <w:tcW w:w="0" w:type="auto"/>
            <w:tcBorders/>
          </w:tcPr>
          <w:p w14:paraId="8BD2427C">
            <w:pPr>
              <w:pStyle w:val="style4098"/>
              <w:jc w:val="left"/>
              <w:rPr/>
            </w:pPr>
            <w:r>
              <w:t>应用容器支持</w:t>
            </w:r>
          </w:p>
        </w:tc>
        <w:tc>
          <w:tcPr>
            <w:tcW w:w="0" w:type="auto"/>
            <w:tcBorders/>
          </w:tcPr>
          <w:p w14:paraId="2F6BCEC1">
            <w:pPr>
              <w:pStyle w:val="style4098"/>
              <w:jc w:val="left"/>
              <w:rPr/>
            </w:pPr>
            <w:r>
              <w:t>LXC 内嵌套 Docker</w:t>
            </w:r>
          </w:p>
        </w:tc>
        <w:tc>
          <w:tcPr>
            <w:tcW w:w="0" w:type="auto"/>
            <w:tcBorders/>
          </w:tcPr>
          <w:p w14:paraId="26A043DC">
            <w:pPr>
              <w:pStyle w:val="style4098"/>
              <w:jc w:val="left"/>
              <w:rPr/>
            </w:pPr>
            <w:r>
              <w:t>原生 OCI/CRI 兼容 [^Dim03-105^]</w:t>
            </w:r>
          </w:p>
        </w:tc>
        <w:tc>
          <w:tcPr>
            <w:tcW w:w="0" w:type="auto"/>
            <w:tcBorders/>
          </w:tcPr>
          <w:p w14:paraId="16AAEE82">
            <w:pPr>
              <w:pStyle w:val="style4098"/>
              <w:jc w:val="center"/>
              <w:rPr/>
            </w:pPr>
            <w:r>
              <w:t>✅ 超越</w:t>
            </w:r>
          </w:p>
        </w:tc>
        <w:tc>
          <w:tcPr>
            <w:tcW w:w="0" w:type="auto"/>
            <w:tcBorders/>
          </w:tcPr>
          <w:p w14:paraId="8D9B5D17">
            <w:pPr>
              <w:pStyle w:val="style4098"/>
              <w:jc w:val="left"/>
              <w:rPr/>
            </w:pPr>
            <w:r>
              <w:t>直接对接 Docker 镜像生态</w:t>
            </w:r>
          </w:p>
        </w:tc>
      </w:tr>
      <w:tr w14:paraId="1E7B3369">
        <w:tblPrEx/>
        <w:trPr/>
        <w:tc>
          <w:tcPr>
            <w:tcW w:w="0" w:type="auto"/>
            <w:tcBorders/>
          </w:tcPr>
          <w:p w14:paraId="8C34FFC0">
            <w:pPr>
              <w:pStyle w:val="style4098"/>
              <w:rPr/>
            </w:pPr>
          </w:p>
        </w:tc>
        <w:tc>
          <w:tcPr>
            <w:tcW w:w="0" w:type="auto"/>
            <w:tcBorders/>
          </w:tcPr>
          <w:p w14:paraId="234520C4">
            <w:pPr>
              <w:pStyle w:val="style4098"/>
              <w:jc w:val="left"/>
              <w:rPr/>
            </w:pPr>
            <w:r>
              <w:t>特权/非特权容器</w:t>
            </w:r>
          </w:p>
        </w:tc>
        <w:tc>
          <w:tcPr>
            <w:tcW w:w="0" w:type="auto"/>
            <w:tcBorders/>
          </w:tcPr>
          <w:p w14:paraId="1638ADEE">
            <w:pPr>
              <w:pStyle w:val="style4098"/>
              <w:jc w:val="left"/>
              <w:rPr/>
            </w:pPr>
            <w:r>
              <w:t>支持</w:t>
            </w:r>
            <w:r>
              <w:t xml:space="preserve"> </w:t>
            </w:r>
            <w:r>
              <w:rPr/>
              <w:fldChar w:fldCharType="begin"/>
            </w:r>
            <w:r>
              <w:instrText>NOTEREF _Ref_Footnote_10 \h \f</w:instrText>
            </w:r>
            <w:r>
              <w:rPr/>
              <w:fldChar w:fldCharType="separate"/>
            </w:r>
            <w:r>
              <w:rPr>
                <w:vertAlign w:val="superscript"/>
              </w:rPr>
              <w:t>10</w:t>
            </w:r>
            <w:r>
              <w:rPr/>
              <w:fldChar w:fldCharType="end"/>
            </w:r>
          </w:p>
        </w:tc>
        <w:tc>
          <w:tcPr>
            <w:tcW w:w="0" w:type="auto"/>
            <w:tcBorders/>
          </w:tcPr>
          <w:p w14:paraId="3E8D203C">
            <w:pPr>
              <w:pStyle w:val="style4098"/>
              <w:jc w:val="left"/>
              <w:rPr/>
            </w:pPr>
            <w:r>
              <w:t>Incus 原生支持 + Kata 安全容器</w:t>
            </w:r>
          </w:p>
        </w:tc>
        <w:tc>
          <w:tcPr>
            <w:tcW w:w="0" w:type="auto"/>
            <w:tcBorders/>
          </w:tcPr>
          <w:p w14:paraId="82C77A1F">
            <w:pPr>
              <w:pStyle w:val="style4098"/>
              <w:jc w:val="center"/>
              <w:rPr/>
            </w:pPr>
            <w:r>
              <w:t>✅ 超越</w:t>
            </w:r>
          </w:p>
        </w:tc>
        <w:tc>
          <w:tcPr>
            <w:tcW w:w="0" w:type="auto"/>
            <w:tcBorders/>
          </w:tcPr>
          <w:p w14:paraId="DC1925C1">
            <w:pPr>
              <w:pStyle w:val="style4098"/>
              <w:jc w:val="left"/>
              <w:rPr/>
            </w:pPr>
            <w:r>
              <w:t>等保 2.0 开箱合规 [^Dim09-535^]</w:t>
            </w:r>
          </w:p>
        </w:tc>
      </w:tr>
      <w:tr w14:paraId="76AE5630">
        <w:tblPrEx/>
        <w:trPr/>
        <w:tc>
          <w:tcPr>
            <w:tcW w:w="0" w:type="auto"/>
            <w:tcBorders/>
          </w:tcPr>
          <w:p w14:paraId="580A0FA8">
            <w:pPr>
              <w:pStyle w:val="style4098"/>
              <w:rPr/>
            </w:pPr>
          </w:p>
        </w:tc>
        <w:tc>
          <w:tcPr>
            <w:tcW w:w="0" w:type="auto"/>
            <w:tcBorders/>
          </w:tcPr>
          <w:p w14:paraId="9D32A406">
            <w:pPr>
              <w:pStyle w:val="style4098"/>
              <w:jc w:val="left"/>
              <w:rPr/>
            </w:pPr>
            <w:r>
              <w:t>容器密度</w:t>
            </w:r>
          </w:p>
        </w:tc>
        <w:tc>
          <w:tcPr>
            <w:tcW w:w="0" w:type="auto"/>
            <w:tcBorders/>
          </w:tcPr>
          <w:p w14:paraId="5EFFE6C0">
            <w:pPr>
              <w:pStyle w:val="style4098"/>
              <w:jc w:val="left"/>
              <w:rPr/>
            </w:pPr>
            <w:r>
              <w:t>高 (LXC 共享内核)</w:t>
            </w:r>
          </w:p>
        </w:tc>
        <w:tc>
          <w:tcPr>
            <w:tcW w:w="0" w:type="auto"/>
            <w:tcBorders/>
          </w:tcPr>
          <w:p w14:paraId="D1BB10FF">
            <w:pPr>
              <w:pStyle w:val="style4098"/>
              <w:jc w:val="left"/>
              <w:rPr/>
            </w:pPr>
            <w:r>
              <w:t>LXC 高密度 + MicroVM 中密度</w:t>
            </w:r>
          </w:p>
        </w:tc>
        <w:tc>
          <w:tcPr>
            <w:tcW w:w="0" w:type="auto"/>
            <w:tcBorders/>
          </w:tcPr>
          <w:p w14:paraId="C3CFBE6F">
            <w:pPr>
              <w:pStyle w:val="style4098"/>
              <w:jc w:val="center"/>
              <w:rPr/>
            </w:pPr>
            <w:r>
              <w:t>🟢 对等</w:t>
            </w:r>
          </w:p>
        </w:tc>
        <w:tc>
          <w:tcPr>
            <w:tcW w:w="0" w:type="auto"/>
            <w:tcBorders/>
          </w:tcPr>
          <w:p w14:paraId="99D47291">
            <w:pPr>
              <w:pStyle w:val="style4098"/>
              <w:jc w:val="left"/>
              <w:rPr/>
            </w:pPr>
            <w:r>
              <w:t>按场景选择运行时</w:t>
            </w:r>
          </w:p>
        </w:tc>
      </w:tr>
      <w:tr w14:paraId="DFC3E688">
        <w:tblPrEx/>
        <w:trPr/>
        <w:tc>
          <w:tcPr>
            <w:tcW w:w="0" w:type="auto"/>
            <w:tcBorders/>
          </w:tcPr>
          <w:p w14:paraId="9FDDC14E">
            <w:pPr>
              <w:pStyle w:val="style4098"/>
              <w:jc w:val="left"/>
              <w:rPr/>
            </w:pPr>
            <w:r>
              <w:rPr>
                <w:b/>
                <w:bCs/>
              </w:rPr>
              <w:t>存储管理</w:t>
            </w:r>
          </w:p>
        </w:tc>
        <w:tc>
          <w:tcPr>
            <w:tcW w:w="0" w:type="auto"/>
            <w:tcBorders/>
          </w:tcPr>
          <w:p w14:paraId="D84F182F">
            <w:pPr>
              <w:pStyle w:val="style4098"/>
              <w:jc w:val="left"/>
              <w:rPr/>
            </w:pPr>
            <w:r>
              <w:t>本地存储 (ZFS/LVM)</w:t>
            </w:r>
          </w:p>
        </w:tc>
        <w:tc>
          <w:tcPr>
            <w:tcW w:w="0" w:type="auto"/>
            <w:tcBorders/>
          </w:tcPr>
          <w:p w14:paraId="9B0C6CC5">
            <w:pPr>
              <w:pStyle w:val="style4098"/>
              <w:jc w:val="left"/>
              <w:rPr/>
            </w:pPr>
            <w:r>
              <w:t>原生集成</w:t>
            </w:r>
            <w:r>
              <w:t xml:space="preserve"> </w:t>
            </w:r>
            <w:r>
              <w:rPr/>
              <w:fldChar w:fldCharType="begin"/>
            </w:r>
            <w:r>
              <w:instrText>NOTEREF _Ref_Footnote_208 \h \f</w:instrText>
            </w:r>
            <w:r>
              <w:rPr/>
              <w:fldChar w:fldCharType="separate"/>
            </w:r>
            <w:r>
              <w:rPr>
                <w:vertAlign w:val="superscript"/>
              </w:rPr>
              <w:t>208</w:t>
            </w:r>
            <w:r>
              <w:rPr/>
              <w:fldChar w:fldCharType="end"/>
            </w:r>
            <w:r>
              <w:t xml:space="preserve"> </w:t>
            </w:r>
            <w:r>
              <w:rPr/>
              <w:fldChar w:fldCharType="begin"/>
            </w:r>
            <w:r>
              <w:instrText>NOTEREF _Ref_Footnote_192 \h \f</w:instrText>
            </w:r>
            <w:r>
              <w:rPr/>
              <w:fldChar w:fldCharType="separate"/>
            </w:r>
            <w:r>
              <w:rPr>
                <w:vertAlign w:val="superscript"/>
              </w:rPr>
              <w:t>192</w:t>
            </w:r>
            <w:r>
              <w:rPr/>
              <w:fldChar w:fldCharType="end"/>
            </w:r>
          </w:p>
        </w:tc>
        <w:tc>
          <w:tcPr>
            <w:tcW w:w="0" w:type="auto"/>
            <w:tcBorders/>
          </w:tcPr>
          <w:p w14:paraId="2CB18ADC">
            <w:pPr>
              <w:pStyle w:val="style4098"/>
              <w:jc w:val="left"/>
              <w:rPr/>
            </w:pPr>
            <w:r>
              <w:t>ZFS + LVM + Btrfs</w:t>
            </w:r>
          </w:p>
        </w:tc>
        <w:tc>
          <w:tcPr>
            <w:tcW w:w="0" w:type="auto"/>
            <w:tcBorders/>
          </w:tcPr>
          <w:p w14:paraId="EFF63629">
            <w:pPr>
              <w:pStyle w:val="style4098"/>
              <w:jc w:val="center"/>
              <w:rPr/>
            </w:pPr>
            <w:r>
              <w:t>🟢 对等</w:t>
            </w:r>
          </w:p>
        </w:tc>
        <w:tc>
          <w:tcPr>
            <w:tcW w:w="0" w:type="auto"/>
            <w:tcBorders/>
          </w:tcPr>
          <w:p w14:paraId="7496BA46">
            <w:pPr>
              <w:pStyle w:val="style4098"/>
              <w:jc w:val="left"/>
              <w:rPr/>
            </w:pPr>
            <w:r>
              <w:t>—</w:t>
            </w:r>
          </w:p>
        </w:tc>
      </w:tr>
      <w:tr w14:paraId="00C4A3BE">
        <w:tblPrEx/>
        <w:trPr/>
        <w:tc>
          <w:tcPr>
            <w:tcW w:w="0" w:type="auto"/>
            <w:tcBorders/>
          </w:tcPr>
          <w:p w14:paraId="FE255F47">
            <w:pPr>
              <w:pStyle w:val="style4098"/>
              <w:rPr/>
            </w:pPr>
          </w:p>
        </w:tc>
        <w:tc>
          <w:tcPr>
            <w:tcW w:w="0" w:type="auto"/>
            <w:tcBorders/>
          </w:tcPr>
          <w:p w14:paraId="1023069A">
            <w:pPr>
              <w:pStyle w:val="style4098"/>
              <w:jc w:val="left"/>
              <w:rPr/>
            </w:pPr>
            <w:r>
              <w:t>分布式存储 (Ceph)</w:t>
            </w:r>
          </w:p>
        </w:tc>
        <w:tc>
          <w:tcPr>
            <w:tcW w:w="0" w:type="auto"/>
            <w:tcBorders/>
          </w:tcPr>
          <w:p w14:paraId="053035F9">
            <w:pPr>
              <w:pStyle w:val="style4098"/>
              <w:jc w:val="left"/>
              <w:rPr/>
            </w:pPr>
            <w:r>
              <w:t>原生集成，GUI 向导</w:t>
            </w:r>
            <w:r>
              <w:t xml:space="preserve"> </w:t>
            </w:r>
            <w:r>
              <w:rPr/>
              <w:fldChar w:fldCharType="begin"/>
            </w:r>
            <w:r>
              <w:instrText>NOTEREF _Ref_Footnote_244 \h \f</w:instrText>
            </w:r>
            <w:r>
              <w:rPr/>
              <w:fldChar w:fldCharType="separate"/>
            </w:r>
            <w:r>
              <w:rPr>
                <w:vertAlign w:val="superscript"/>
              </w:rPr>
              <w:t>244</w:t>
            </w:r>
            <w:r>
              <w:rPr/>
              <w:fldChar w:fldCharType="end"/>
            </w:r>
          </w:p>
        </w:tc>
        <w:tc>
          <w:tcPr>
            <w:tcW w:w="0" w:type="auto"/>
            <w:tcBorders/>
          </w:tcPr>
          <w:p w14:paraId="3014A940">
            <w:pPr>
              <w:pStyle w:val="style4098"/>
              <w:jc w:val="left"/>
              <w:rPr/>
            </w:pPr>
            <w:r>
              <w:t>Rook-Ceph + CSI [^Dim08-211^]</w:t>
            </w:r>
          </w:p>
        </w:tc>
        <w:tc>
          <w:tcPr>
            <w:tcW w:w="0" w:type="auto"/>
            <w:tcBorders/>
          </w:tcPr>
          <w:p w14:paraId="8A83E1BE">
            <w:pPr>
              <w:pStyle w:val="style4098"/>
              <w:jc w:val="center"/>
              <w:rPr/>
            </w:pPr>
            <w:r>
              <w:t>🟡 差距</w:t>
            </w:r>
          </w:p>
        </w:tc>
        <w:tc>
          <w:tcPr>
            <w:tcW w:w="0" w:type="auto"/>
            <w:tcBorders/>
          </w:tcPr>
          <w:p w14:paraId="C21922BA">
            <w:pPr>
              <w:pStyle w:val="style4098"/>
              <w:jc w:val="left"/>
              <w:rPr/>
            </w:pPr>
            <w:r>
              <w:t>运维复杂度较高，需自动化</w:t>
            </w:r>
          </w:p>
        </w:tc>
      </w:tr>
      <w:tr w14:paraId="BF40A945">
        <w:tblPrEx/>
        <w:trPr/>
        <w:tc>
          <w:tcPr>
            <w:tcW w:w="0" w:type="auto"/>
            <w:tcBorders/>
          </w:tcPr>
          <w:p w14:paraId="282C36E7">
            <w:pPr>
              <w:pStyle w:val="style4098"/>
              <w:rPr/>
            </w:pPr>
          </w:p>
        </w:tc>
        <w:tc>
          <w:tcPr>
            <w:tcW w:w="0" w:type="auto"/>
            <w:tcBorders/>
          </w:tcPr>
          <w:p w14:paraId="DEF42517">
            <w:pPr>
              <w:pStyle w:val="style4098"/>
              <w:jc w:val="left"/>
              <w:rPr/>
            </w:pPr>
            <w:r>
              <w:t>存储快照</w:t>
            </w:r>
          </w:p>
        </w:tc>
        <w:tc>
          <w:tcPr>
            <w:tcW w:w="0" w:type="auto"/>
            <w:tcBorders/>
          </w:tcPr>
          <w:p w14:paraId="668A3872">
            <w:pPr>
              <w:pStyle w:val="style4098"/>
              <w:jc w:val="left"/>
              <w:rPr/>
            </w:pPr>
            <w:r>
              <w:t>ZFS/Ceph 原生</w:t>
            </w:r>
            <w:r>
              <w:t xml:space="preserve"> </w:t>
            </w:r>
            <w:r>
              <w:rPr/>
              <w:fldChar w:fldCharType="begin"/>
            </w:r>
            <w:r>
              <w:instrText>NOTEREF _Ref_Footnote_238 \h \f</w:instrText>
            </w:r>
            <w:r>
              <w:rPr/>
              <w:fldChar w:fldCharType="separate"/>
            </w:r>
            <w:r>
              <w:rPr>
                <w:vertAlign w:val="superscript"/>
              </w:rPr>
              <w:t>238</w:t>
            </w:r>
            <w:r>
              <w:rPr/>
              <w:fldChar w:fldCharType="end"/>
            </w:r>
          </w:p>
        </w:tc>
        <w:tc>
          <w:tcPr>
            <w:tcW w:w="0" w:type="auto"/>
            <w:tcBorders/>
          </w:tcPr>
          <w:p w14:paraId="9C8634EA">
            <w:pPr>
              <w:pStyle w:val="style4098"/>
              <w:jc w:val="left"/>
              <w:rPr/>
            </w:pPr>
            <w:r>
              <w:t>CoW 快照 (依赖后端)</w:t>
            </w:r>
          </w:p>
        </w:tc>
        <w:tc>
          <w:tcPr>
            <w:tcW w:w="0" w:type="auto"/>
            <w:tcBorders/>
          </w:tcPr>
          <w:p w14:paraId="04276292">
            <w:pPr>
              <w:pStyle w:val="style4098"/>
              <w:jc w:val="center"/>
              <w:rPr/>
            </w:pPr>
            <w:r>
              <w:t>🟢 对等</w:t>
            </w:r>
          </w:p>
        </w:tc>
        <w:tc>
          <w:tcPr>
            <w:tcW w:w="0" w:type="auto"/>
            <w:tcBorders/>
          </w:tcPr>
          <w:p w14:paraId="33409CFC">
            <w:pPr>
              <w:pStyle w:val="style4098"/>
              <w:jc w:val="left"/>
              <w:rPr/>
            </w:pPr>
            <w:r>
              <w:t>—</w:t>
            </w:r>
          </w:p>
        </w:tc>
      </w:tr>
      <w:tr w14:paraId="A896DD90">
        <w:tblPrEx/>
        <w:trPr/>
        <w:tc>
          <w:tcPr>
            <w:tcW w:w="0" w:type="auto"/>
            <w:tcBorders/>
          </w:tcPr>
          <w:p w14:paraId="33DB9AB7">
            <w:pPr>
              <w:pStyle w:val="style4098"/>
              <w:rPr/>
            </w:pPr>
          </w:p>
        </w:tc>
        <w:tc>
          <w:tcPr>
            <w:tcW w:w="0" w:type="auto"/>
            <w:tcBorders/>
          </w:tcPr>
          <w:p w14:paraId="5BACD377">
            <w:pPr>
              <w:pStyle w:val="style4098"/>
              <w:jc w:val="left"/>
              <w:rPr/>
            </w:pPr>
            <w:r>
              <w:t>存储复制</w:t>
            </w:r>
          </w:p>
        </w:tc>
        <w:tc>
          <w:tcPr>
            <w:tcW w:w="0" w:type="auto"/>
            <w:tcBorders/>
          </w:tcPr>
          <w:p w14:paraId="F7BA9B34">
            <w:pPr>
              <w:pStyle w:val="style4098"/>
              <w:jc w:val="left"/>
              <w:rPr/>
            </w:pPr>
            <w:r>
              <w:t>ZFS Replication</w:t>
            </w:r>
            <w:r>
              <w:t xml:space="preserve"> </w:t>
            </w:r>
            <w:r>
              <w:rPr>
                <w:vertAlign w:val="superscript"/>
              </w:rPr>
              <w:footnoteReference w:id="250"/>
            </w:r>
          </w:p>
        </w:tc>
        <w:tc>
          <w:tcPr>
            <w:tcW w:w="0" w:type="auto"/>
            <w:tcBorders/>
          </w:tcPr>
          <w:p w14:paraId="1A743E3A">
            <w:pPr>
              <w:pStyle w:val="style4098"/>
              <w:jc w:val="left"/>
              <w:rPr/>
            </w:pPr>
            <w:r>
              <w:t>需开发</w:t>
            </w:r>
          </w:p>
        </w:tc>
        <w:tc>
          <w:tcPr>
            <w:tcW w:w="0" w:type="auto"/>
            <w:tcBorders/>
          </w:tcPr>
          <w:p w14:paraId="B031B2C4">
            <w:pPr>
              <w:pStyle w:val="style4098"/>
              <w:jc w:val="center"/>
              <w:rPr/>
            </w:pPr>
            <w:r>
              <w:t>🟡 差距</w:t>
            </w:r>
          </w:p>
        </w:tc>
        <w:tc>
          <w:tcPr>
            <w:tcW w:w="0" w:type="auto"/>
            <w:tcBorders/>
          </w:tcPr>
          <w:p w14:paraId="555384D5">
            <w:pPr>
              <w:pStyle w:val="style4098"/>
              <w:jc w:val="left"/>
              <w:rPr/>
            </w:pPr>
            <w:r>
              <w:t>Phase 2 实现</w:t>
            </w:r>
          </w:p>
        </w:tc>
      </w:tr>
      <w:tr w14:paraId="BDDC53FF">
        <w:tblPrEx/>
        <w:trPr/>
        <w:tc>
          <w:tcPr>
            <w:tcW w:w="0" w:type="auto"/>
            <w:tcBorders/>
          </w:tcPr>
          <w:p w14:paraId="12FB9E60">
            <w:pPr>
              <w:pStyle w:val="style4098"/>
              <w:rPr/>
            </w:pPr>
          </w:p>
        </w:tc>
        <w:tc>
          <w:tcPr>
            <w:tcW w:w="0" w:type="auto"/>
            <w:tcBorders/>
          </w:tcPr>
          <w:p w14:paraId="3572D0AF">
            <w:pPr>
              <w:pStyle w:val="style4098"/>
              <w:jc w:val="left"/>
              <w:rPr/>
            </w:pPr>
            <w:r>
              <w:t>超融合 (HCI)</w:t>
            </w:r>
          </w:p>
        </w:tc>
        <w:tc>
          <w:tcPr>
            <w:tcW w:w="0" w:type="auto"/>
            <w:tcBorders/>
          </w:tcPr>
          <w:p w14:paraId="FD96E3ED">
            <w:pPr>
              <w:pStyle w:val="style4098"/>
              <w:jc w:val="left"/>
              <w:rPr/>
            </w:pPr>
            <w:r>
              <w:t>Ceph 集成</w:t>
            </w:r>
            <w:r>
              <w:t xml:space="preserve"> </w:t>
            </w:r>
            <w:r>
              <w:rPr/>
              <w:fldChar w:fldCharType="begin"/>
            </w:r>
            <w:r>
              <w:instrText>NOTEREF _Ref_Footnote_244 \h \f</w:instrText>
            </w:r>
            <w:r>
              <w:rPr/>
              <w:fldChar w:fldCharType="separate"/>
            </w:r>
            <w:r>
              <w:rPr>
                <w:vertAlign w:val="superscript"/>
              </w:rPr>
              <w:t>244</w:t>
            </w:r>
            <w:r>
              <w:rPr/>
              <w:fldChar w:fldCharType="end"/>
            </w:r>
          </w:p>
        </w:tc>
        <w:tc>
          <w:tcPr>
            <w:tcW w:w="0" w:type="auto"/>
            <w:tcBorders/>
          </w:tcPr>
          <w:p w14:paraId="8C09837C">
            <w:pPr>
              <w:pStyle w:val="style4098"/>
              <w:jc w:val="left"/>
              <w:rPr/>
            </w:pPr>
            <w:r>
              <w:t>需集成 Ceph</w:t>
            </w:r>
          </w:p>
        </w:tc>
        <w:tc>
          <w:tcPr>
            <w:tcW w:w="0" w:type="auto"/>
            <w:tcBorders/>
          </w:tcPr>
          <w:p w14:paraId="9169E208">
            <w:pPr>
              <w:pStyle w:val="style4098"/>
              <w:jc w:val="center"/>
              <w:rPr/>
            </w:pPr>
            <w:r>
              <w:t>🟡 差距</w:t>
            </w:r>
          </w:p>
        </w:tc>
        <w:tc>
          <w:tcPr>
            <w:tcW w:w="0" w:type="auto"/>
            <w:tcBorders/>
          </w:tcPr>
          <w:p w14:paraId="2DE53C73">
            <w:pPr>
              <w:pStyle w:val="style4098"/>
              <w:jc w:val="left"/>
              <w:rPr/>
            </w:pPr>
            <w:r>
              <w:t>路径清晰，集成工作量可控</w:t>
            </w:r>
          </w:p>
        </w:tc>
      </w:tr>
      <w:tr w14:paraId="14120F68">
        <w:tblPrEx/>
        <w:trPr/>
        <w:tc>
          <w:tcPr>
            <w:tcW w:w="0" w:type="auto"/>
            <w:tcBorders/>
          </w:tcPr>
          <w:p w14:paraId="D557D978">
            <w:pPr>
              <w:pStyle w:val="style4098"/>
              <w:jc w:val="left"/>
              <w:rPr/>
            </w:pPr>
            <w:r>
              <w:rPr>
                <w:b/>
                <w:bCs/>
              </w:rPr>
              <w:t>网络功能</w:t>
            </w:r>
          </w:p>
        </w:tc>
        <w:tc>
          <w:tcPr>
            <w:tcW w:w="0" w:type="auto"/>
            <w:tcBorders/>
          </w:tcPr>
          <w:p w14:paraId="B5EDE6DA">
            <w:pPr>
              <w:pStyle w:val="style4098"/>
              <w:jc w:val="left"/>
              <w:rPr/>
            </w:pPr>
            <w:r>
              <w:t>Linux Bridge/VLAN</w:t>
            </w:r>
          </w:p>
        </w:tc>
        <w:tc>
          <w:tcPr>
            <w:tcW w:w="0" w:type="auto"/>
            <w:tcBorders/>
          </w:tcPr>
          <w:p w14:paraId="47BFB318">
            <w:pPr>
              <w:pStyle w:val="style4098"/>
              <w:jc w:val="left"/>
              <w:rPr/>
            </w:pPr>
            <w:r>
              <w:t>原生</w:t>
            </w:r>
            <w:r>
              <w:t xml:space="preserve"> </w:t>
            </w:r>
            <w:r>
              <w:rPr/>
              <w:fldChar w:fldCharType="begin"/>
            </w:r>
            <w:r>
              <w:instrText>NOTEREF _Ref_Footnote_30 \h \f</w:instrText>
            </w:r>
            <w:r>
              <w:rPr/>
              <w:fldChar w:fldCharType="separate"/>
            </w:r>
            <w:r>
              <w:rPr>
                <w:vertAlign w:val="superscript"/>
              </w:rPr>
              <w:t>30</w:t>
            </w:r>
            <w:r>
              <w:rPr/>
              <w:fldChar w:fldCharType="end"/>
            </w:r>
          </w:p>
        </w:tc>
        <w:tc>
          <w:tcPr>
            <w:tcW w:w="0" w:type="auto"/>
            <w:tcBorders/>
          </w:tcPr>
          <w:p w14:paraId="7C74E808">
            <w:pPr>
              <w:pStyle w:val="style4098"/>
              <w:jc w:val="left"/>
              <w:rPr/>
            </w:pPr>
            <w:r>
              <w:t>支持</w:t>
            </w:r>
          </w:p>
        </w:tc>
        <w:tc>
          <w:tcPr>
            <w:tcW w:w="0" w:type="auto"/>
            <w:tcBorders/>
          </w:tcPr>
          <w:p w14:paraId="63D76146">
            <w:pPr>
              <w:pStyle w:val="style4098"/>
              <w:jc w:val="center"/>
              <w:rPr/>
            </w:pPr>
            <w:r>
              <w:t>🟢 对等</w:t>
            </w:r>
          </w:p>
        </w:tc>
        <w:tc>
          <w:tcPr>
            <w:tcW w:w="0" w:type="auto"/>
            <w:tcBorders/>
          </w:tcPr>
          <w:p w14:paraId="D4E8FDC8">
            <w:pPr>
              <w:pStyle w:val="style4098"/>
              <w:jc w:val="left"/>
              <w:rPr/>
            </w:pPr>
            <w:r>
              <w:t>—</w:t>
            </w:r>
          </w:p>
        </w:tc>
      </w:tr>
      <w:tr w14:paraId="326DAEE6">
        <w:tblPrEx/>
        <w:trPr/>
        <w:tc>
          <w:tcPr>
            <w:tcW w:w="0" w:type="auto"/>
            <w:tcBorders/>
          </w:tcPr>
          <w:p w14:paraId="35F70EA5">
            <w:pPr>
              <w:pStyle w:val="style4098"/>
              <w:rPr/>
            </w:pPr>
          </w:p>
        </w:tc>
        <w:tc>
          <w:tcPr>
            <w:tcW w:w="0" w:type="auto"/>
            <w:tcBorders/>
          </w:tcPr>
          <w:p w14:paraId="D4F7438F">
            <w:pPr>
              <w:pStyle w:val="style4098"/>
              <w:jc w:val="left"/>
              <w:rPr/>
            </w:pPr>
            <w:r>
              <w:t>SDN (VXLAN/EVPN)</w:t>
            </w:r>
          </w:p>
        </w:tc>
        <w:tc>
          <w:tcPr>
            <w:tcW w:w="0" w:type="auto"/>
            <w:tcBorders/>
          </w:tcPr>
          <w:p w14:paraId="6EB2CC6C">
            <w:pPr>
              <w:pStyle w:val="style4098"/>
              <w:jc w:val="left"/>
              <w:rPr/>
            </w:pPr>
            <w:r>
              <w:t>Simple/VLAN/QinQ/VXLAN/EVPN</w:t>
            </w:r>
            <w:r>
              <w:t xml:space="preserve"> </w:t>
            </w:r>
            <w:r>
              <w:rPr/>
              <w:fldChar w:fldCharType="begin"/>
            </w:r>
            <w:r>
              <w:instrText>NOTEREF _Ref_Footnote_32 \h \f</w:instrText>
            </w:r>
            <w:r>
              <w:rPr/>
              <w:fldChar w:fldCharType="separate"/>
            </w:r>
            <w:r>
              <w:rPr>
                <w:vertAlign w:val="superscript"/>
              </w:rPr>
              <w:t>32</w:t>
            </w:r>
            <w:r>
              <w:rPr/>
              <w:fldChar w:fldCharType="end"/>
            </w:r>
          </w:p>
        </w:tc>
        <w:tc>
          <w:tcPr>
            <w:tcW w:w="0" w:type="auto"/>
            <w:tcBorders/>
          </w:tcPr>
          <w:p w14:paraId="3AD75CD8">
            <w:pPr>
              <w:pStyle w:val="style4098"/>
              <w:jc w:val="left"/>
              <w:rPr/>
            </w:pPr>
            <w:r>
              <w:t>OVN SDN [^Dim02-357^]</w:t>
            </w:r>
          </w:p>
        </w:tc>
        <w:tc>
          <w:tcPr>
            <w:tcW w:w="0" w:type="auto"/>
            <w:tcBorders/>
          </w:tcPr>
          <w:p w14:paraId="0679DC92">
            <w:pPr>
              <w:pStyle w:val="style4098"/>
              <w:jc w:val="center"/>
              <w:rPr/>
            </w:pPr>
            <w:r>
              <w:t>🟡 差距</w:t>
            </w:r>
          </w:p>
        </w:tc>
        <w:tc>
          <w:tcPr>
            <w:tcW w:w="0" w:type="auto"/>
            <w:tcBorders/>
          </w:tcPr>
          <w:p w14:paraId="592C3646">
            <w:pPr>
              <w:pStyle w:val="style4098"/>
              <w:jc w:val="left"/>
              <w:rPr/>
            </w:pPr>
            <w:r>
              <w:t>EVPN 待评估，VXLAN 需开发</w:t>
            </w:r>
          </w:p>
        </w:tc>
      </w:tr>
      <w:tr w14:paraId="C4000CFB">
        <w:tblPrEx/>
        <w:trPr/>
        <w:tc>
          <w:tcPr>
            <w:tcW w:w="0" w:type="auto"/>
            <w:tcBorders/>
          </w:tcPr>
          <w:p w14:paraId="718D1BFD">
            <w:pPr>
              <w:pStyle w:val="style4098"/>
              <w:rPr/>
            </w:pPr>
          </w:p>
        </w:tc>
        <w:tc>
          <w:tcPr>
            <w:tcW w:w="0" w:type="auto"/>
            <w:tcBorders/>
          </w:tcPr>
          <w:p w14:paraId="6AA77ECE">
            <w:pPr>
              <w:pStyle w:val="style4098"/>
              <w:jc w:val="left"/>
              <w:rPr/>
            </w:pPr>
            <w:r>
              <w:t>内置防火墙</w:t>
            </w:r>
          </w:p>
        </w:tc>
        <w:tc>
          <w:tcPr>
            <w:tcW w:w="0" w:type="auto"/>
            <w:tcBorders/>
          </w:tcPr>
          <w:p w14:paraId="ECABC983">
            <w:pPr>
              <w:pStyle w:val="style4098"/>
              <w:jc w:val="left"/>
              <w:rPr/>
            </w:pPr>
            <w:r>
              <w:t>pve-firewall</w:t>
            </w:r>
            <w:r>
              <w:t xml:space="preserve"> </w:t>
            </w:r>
            <w:r>
              <w:rPr/>
              <w:fldChar w:fldCharType="begin"/>
            </w:r>
            <w:r>
              <w:instrText>NOTEREF _Ref_Footnote_33 \h \f</w:instrText>
            </w:r>
            <w:r>
              <w:rPr/>
              <w:fldChar w:fldCharType="separate"/>
            </w:r>
            <w:r>
              <w:rPr>
                <w:vertAlign w:val="superscript"/>
              </w:rPr>
              <w:t>33</w:t>
            </w:r>
            <w:r>
              <w:rPr/>
              <w:fldChar w:fldCharType="end"/>
            </w:r>
            <w:r>
              <w:t xml:space="preserve"> </w:t>
            </w:r>
            <w:r>
              <w:rPr/>
              <w:fldChar w:fldCharType="begin"/>
            </w:r>
            <w:r>
              <w:instrText>NOTEREF _Ref_Footnote_188 \h \f</w:instrText>
            </w:r>
            <w:r>
              <w:rPr/>
              <w:fldChar w:fldCharType="separate"/>
            </w:r>
            <w:r>
              <w:rPr>
                <w:vertAlign w:val="superscript"/>
              </w:rPr>
              <w:t>188</w:t>
            </w:r>
            <w:r>
              <w:rPr/>
              <w:fldChar w:fldCharType="end"/>
            </w:r>
          </w:p>
        </w:tc>
        <w:tc>
          <w:tcPr>
            <w:tcW w:w="0" w:type="auto"/>
            <w:tcBorders/>
          </w:tcPr>
          <w:p w14:paraId="3F3EF9FC">
            <w:pPr>
              <w:pStyle w:val="style4098"/>
              <w:jc w:val="left"/>
              <w:rPr/>
            </w:pPr>
            <w:r>
              <w:t>需开发</w:t>
            </w:r>
          </w:p>
        </w:tc>
        <w:tc>
          <w:tcPr>
            <w:tcW w:w="0" w:type="auto"/>
            <w:tcBorders/>
          </w:tcPr>
          <w:p w14:paraId="F00166A0">
            <w:pPr>
              <w:pStyle w:val="style4098"/>
              <w:jc w:val="center"/>
              <w:rPr/>
            </w:pPr>
            <w:r>
              <w:t>🟡 差距</w:t>
            </w:r>
          </w:p>
        </w:tc>
        <w:tc>
          <w:tcPr>
            <w:tcW w:w="0" w:type="auto"/>
            <w:tcBorders/>
          </w:tcPr>
          <w:p w14:paraId="21D5E667">
            <w:pPr>
              <w:pStyle w:val="style4098"/>
              <w:jc w:val="left"/>
              <w:rPr/>
            </w:pPr>
            <w:r>
              <w:t>Phase 2 集成 OVN ACL</w:t>
            </w:r>
          </w:p>
        </w:tc>
      </w:tr>
      <w:tr w14:paraId="9BEEC8B3">
        <w:tblPrEx/>
        <w:trPr/>
        <w:tc>
          <w:tcPr>
            <w:tcW w:w="0" w:type="auto"/>
            <w:tcBorders/>
          </w:tcPr>
          <w:p w14:paraId="88FB2E14">
            <w:pPr>
              <w:pStyle w:val="style4098"/>
              <w:rPr/>
            </w:pPr>
          </w:p>
        </w:tc>
        <w:tc>
          <w:tcPr>
            <w:tcW w:w="0" w:type="auto"/>
            <w:tcBorders/>
          </w:tcPr>
          <w:p w14:paraId="57E28F54">
            <w:pPr>
              <w:pStyle w:val="style4098"/>
              <w:jc w:val="left"/>
              <w:rPr/>
            </w:pPr>
            <w:r>
              <w:t>IPv6</w:t>
            </w:r>
          </w:p>
        </w:tc>
        <w:tc>
          <w:tcPr>
            <w:tcW w:w="0" w:type="auto"/>
            <w:tcBorders/>
          </w:tcPr>
          <w:p w14:paraId="E743DEAD">
            <w:pPr>
              <w:pStyle w:val="style4098"/>
              <w:jc w:val="left"/>
              <w:rPr/>
            </w:pPr>
            <w:r>
              <w:t>完整支持</w:t>
            </w:r>
            <w:r>
              <w:t xml:space="preserve"> </w:t>
            </w:r>
            <w:r>
              <w:rPr/>
              <w:fldChar w:fldCharType="begin"/>
            </w:r>
            <w:r>
              <w:instrText>NOTEREF _Ref_Footnote_214 \h \f</w:instrText>
            </w:r>
            <w:r>
              <w:rPr/>
              <w:fldChar w:fldCharType="separate"/>
            </w:r>
            <w:r>
              <w:rPr>
                <w:vertAlign w:val="superscript"/>
              </w:rPr>
              <w:t>214</w:t>
            </w:r>
            <w:r>
              <w:rPr/>
              <w:fldChar w:fldCharType="end"/>
            </w:r>
          </w:p>
        </w:tc>
        <w:tc>
          <w:tcPr>
            <w:tcW w:w="0" w:type="auto"/>
            <w:tcBorders/>
          </w:tcPr>
          <w:p w14:paraId="60421BF7">
            <w:pPr>
              <w:pStyle w:val="style4098"/>
              <w:jc w:val="left"/>
              <w:rPr/>
            </w:pPr>
            <w:r>
              <w:t>需开发</w:t>
            </w:r>
          </w:p>
        </w:tc>
        <w:tc>
          <w:tcPr>
            <w:tcW w:w="0" w:type="auto"/>
            <w:tcBorders/>
          </w:tcPr>
          <w:p w14:paraId="33F655A8">
            <w:pPr>
              <w:pStyle w:val="style4098"/>
              <w:jc w:val="center"/>
              <w:rPr/>
            </w:pPr>
            <w:r>
              <w:t>🟡 差距</w:t>
            </w:r>
          </w:p>
        </w:tc>
        <w:tc>
          <w:tcPr>
            <w:tcW w:w="0" w:type="auto"/>
            <w:tcBorders/>
          </w:tcPr>
          <w:p w14:paraId="B6125C06">
            <w:pPr>
              <w:pStyle w:val="style4098"/>
              <w:jc w:val="left"/>
              <w:rPr/>
            </w:pPr>
            <w:r>
              <w:t>Cilium 原生支持</w:t>
            </w:r>
          </w:p>
        </w:tc>
      </w:tr>
      <w:tr w14:paraId="CE320E01">
        <w:tblPrEx/>
        <w:trPr/>
        <w:tc>
          <w:tcPr>
            <w:tcW w:w="0" w:type="auto"/>
            <w:tcBorders/>
          </w:tcPr>
          <w:p w14:paraId="4516A749">
            <w:pPr>
              <w:pStyle w:val="style4098"/>
              <w:rPr/>
            </w:pPr>
          </w:p>
        </w:tc>
        <w:tc>
          <w:tcPr>
            <w:tcW w:w="0" w:type="auto"/>
            <w:tcBorders/>
          </w:tcPr>
          <w:p w14:paraId="E9826895">
            <w:pPr>
              <w:pStyle w:val="style4098"/>
              <w:jc w:val="left"/>
              <w:rPr/>
            </w:pPr>
            <w:r>
              <w:t>安全组/IPSet</w:t>
            </w:r>
          </w:p>
        </w:tc>
        <w:tc>
          <w:tcPr>
            <w:tcW w:w="0" w:type="auto"/>
            <w:tcBorders/>
          </w:tcPr>
          <w:p w14:paraId="91A2C10A">
            <w:pPr>
              <w:pStyle w:val="style4098"/>
              <w:jc w:val="left"/>
              <w:rPr/>
            </w:pPr>
            <w:r>
              <w:t>支持</w:t>
            </w:r>
          </w:p>
        </w:tc>
        <w:tc>
          <w:tcPr>
            <w:tcW w:w="0" w:type="auto"/>
            <w:tcBorders/>
          </w:tcPr>
          <w:p w14:paraId="4022E790">
            <w:pPr>
              <w:pStyle w:val="style4098"/>
              <w:jc w:val="left"/>
              <w:rPr/>
            </w:pPr>
            <w:r>
              <w:t>需开发</w:t>
            </w:r>
          </w:p>
        </w:tc>
        <w:tc>
          <w:tcPr>
            <w:tcW w:w="0" w:type="auto"/>
            <w:tcBorders/>
          </w:tcPr>
          <w:p w14:paraId="DAD33036">
            <w:pPr>
              <w:pStyle w:val="style4098"/>
              <w:jc w:val="center"/>
              <w:rPr/>
            </w:pPr>
            <w:r>
              <w:t>🟡 差距</w:t>
            </w:r>
          </w:p>
        </w:tc>
        <w:tc>
          <w:tcPr>
            <w:tcW w:w="0" w:type="auto"/>
            <w:tcBorders/>
          </w:tcPr>
          <w:p w14:paraId="1C4A2558">
            <w:pPr>
              <w:pStyle w:val="style4098"/>
              <w:jc w:val="left"/>
              <w:rPr/>
            </w:pPr>
            <w:r>
              <w:t>Phase 3 实现</w:t>
            </w:r>
          </w:p>
        </w:tc>
      </w:tr>
      <w:tr w14:paraId="B3C7A507">
        <w:tblPrEx/>
        <w:trPr/>
        <w:tc>
          <w:tcPr>
            <w:tcW w:w="0" w:type="auto"/>
            <w:tcBorders/>
          </w:tcPr>
          <w:p w14:paraId="AAB3A598">
            <w:pPr>
              <w:pStyle w:val="style4098"/>
              <w:jc w:val="left"/>
              <w:rPr/>
            </w:pPr>
            <w:r>
              <w:rPr>
                <w:b/>
                <w:bCs/>
              </w:rPr>
              <w:t>Web UI</w:t>
            </w:r>
          </w:p>
        </w:tc>
        <w:tc>
          <w:tcPr>
            <w:tcW w:w="0" w:type="auto"/>
            <w:tcBorders/>
          </w:tcPr>
          <w:p w14:paraId="4A385CD5">
            <w:pPr>
              <w:pStyle w:val="style4098"/>
              <w:jc w:val="left"/>
              <w:rPr/>
            </w:pPr>
            <w:r>
              <w:t>管理框架</w:t>
            </w:r>
          </w:p>
        </w:tc>
        <w:tc>
          <w:tcPr>
            <w:tcW w:w="0" w:type="auto"/>
            <w:tcBorders/>
          </w:tcPr>
          <w:p w14:paraId="408FD9D9">
            <w:pPr>
              <w:pStyle w:val="style4098"/>
              <w:jc w:val="left"/>
              <w:rPr/>
            </w:pPr>
            <w:r>
              <w:t>ExtJS，15+ 年演进</w:t>
            </w:r>
            <w:r>
              <w:t xml:space="preserve"> </w:t>
            </w:r>
            <w:r>
              <w:rPr/>
              <w:fldChar w:fldCharType="begin"/>
            </w:r>
            <w:r>
              <w:instrText>NOTEREF _Ref_Footnote_30 \h \f</w:instrText>
            </w:r>
            <w:r>
              <w:rPr/>
              <w:fldChar w:fldCharType="separate"/>
            </w:r>
            <w:r>
              <w:rPr>
                <w:vertAlign w:val="superscript"/>
              </w:rPr>
              <w:t>30</w:t>
            </w:r>
            <w:r>
              <w:rPr/>
              <w:fldChar w:fldCharType="end"/>
            </w:r>
          </w:p>
        </w:tc>
        <w:tc>
          <w:tcPr>
            <w:tcW w:w="0" w:type="auto"/>
            <w:tcBorders/>
          </w:tcPr>
          <w:p w14:paraId="ABC04BDF">
            <w:pPr>
              <w:pStyle w:val="style4098"/>
              <w:jc w:val="left"/>
              <w:rPr/>
            </w:pPr>
            <w:r>
              <w:t>需自研</w:t>
            </w:r>
          </w:p>
        </w:tc>
        <w:tc>
          <w:tcPr>
            <w:tcW w:w="0" w:type="auto"/>
            <w:tcBorders/>
          </w:tcPr>
          <w:p w14:paraId="B6023662">
            <w:pPr>
              <w:pStyle w:val="style4098"/>
              <w:jc w:val="center"/>
              <w:rPr/>
            </w:pPr>
            <w:r>
              <w:t>🔴 缺失</w:t>
            </w:r>
          </w:p>
        </w:tc>
        <w:tc>
          <w:tcPr>
            <w:tcW w:w="0" w:type="auto"/>
            <w:tcBorders/>
          </w:tcPr>
          <w:p w14:paraId="24AD89CF">
            <w:pPr>
              <w:pStyle w:val="style4098"/>
              <w:jc w:val="left"/>
              <w:rPr/>
            </w:pPr>
            <w:r>
              <w:rPr>
                <w:b/>
                <w:bCs/>
              </w:rPr>
              <w:t>最大差距，40% 研发资源</w:t>
            </w:r>
            <w:r>
              <w:t xml:space="preserve"> </w:t>
            </w:r>
            <w:r>
              <w:t>[^Dim11-1182^]</w:t>
            </w:r>
          </w:p>
        </w:tc>
      </w:tr>
      <w:tr w14:paraId="FAAFEF74">
        <w:tblPrEx/>
        <w:trPr/>
        <w:tc>
          <w:tcPr>
            <w:tcW w:w="0" w:type="auto"/>
            <w:tcBorders/>
          </w:tcPr>
          <w:p w14:paraId="B828BE64">
            <w:pPr>
              <w:pStyle w:val="style4098"/>
              <w:rPr/>
            </w:pPr>
          </w:p>
        </w:tc>
        <w:tc>
          <w:tcPr>
            <w:tcW w:w="0" w:type="auto"/>
            <w:tcBorders/>
          </w:tcPr>
          <w:p w14:paraId="E42A9819">
            <w:pPr>
              <w:pStyle w:val="style4098"/>
              <w:jc w:val="left"/>
              <w:rPr/>
            </w:pPr>
            <w:r>
              <w:t>远程控制台</w:t>
            </w:r>
          </w:p>
        </w:tc>
        <w:tc>
          <w:tcPr>
            <w:tcW w:w="0" w:type="auto"/>
            <w:tcBorders/>
          </w:tcPr>
          <w:p w14:paraId="B3E66009">
            <w:pPr>
              <w:pStyle w:val="style4098"/>
              <w:jc w:val="left"/>
              <w:rPr/>
            </w:pPr>
            <w:r>
              <w:t>noVNC/SPICE/xterm.js</w:t>
            </w:r>
            <w:r>
              <w:t xml:space="preserve"> </w:t>
            </w:r>
            <w:r>
              <w:rPr>
                <w:vertAlign w:val="superscript"/>
              </w:rPr>
              <w:footnoteReference w:id="251"/>
            </w:r>
          </w:p>
        </w:tc>
        <w:tc>
          <w:tcPr>
            <w:tcW w:w="0" w:type="auto"/>
            <w:tcBorders/>
          </w:tcPr>
          <w:p w14:paraId="BE04C689">
            <w:pPr>
              <w:pStyle w:val="style4098"/>
              <w:jc w:val="left"/>
              <w:rPr/>
            </w:pPr>
            <w:r>
              <w:t>noVNC + xterm.js 可集成</w:t>
            </w:r>
          </w:p>
        </w:tc>
        <w:tc>
          <w:tcPr>
            <w:tcW w:w="0" w:type="auto"/>
            <w:tcBorders/>
          </w:tcPr>
          <w:p w14:paraId="B44D2763">
            <w:pPr>
              <w:pStyle w:val="style4098"/>
              <w:jc w:val="center"/>
              <w:rPr/>
            </w:pPr>
            <w:r>
              <w:t>🟡 差距</w:t>
            </w:r>
          </w:p>
        </w:tc>
        <w:tc>
          <w:tcPr>
            <w:tcW w:w="0" w:type="auto"/>
            <w:tcBorders/>
          </w:tcPr>
          <w:p w14:paraId="1D7E6CE2">
            <w:pPr>
              <w:pStyle w:val="style4098"/>
              <w:jc w:val="left"/>
              <w:rPr/>
            </w:pPr>
            <w:r>
              <w:t>SPICE 可选</w:t>
            </w:r>
          </w:p>
        </w:tc>
      </w:tr>
      <w:tr w14:paraId="19A97076">
        <w:tblPrEx/>
        <w:trPr/>
        <w:tc>
          <w:tcPr>
            <w:tcW w:w="0" w:type="auto"/>
            <w:tcBorders/>
          </w:tcPr>
          <w:p w14:paraId="20CAFC01">
            <w:pPr>
              <w:pStyle w:val="style4098"/>
              <w:rPr/>
            </w:pPr>
          </w:p>
        </w:tc>
        <w:tc>
          <w:tcPr>
            <w:tcW w:w="0" w:type="auto"/>
            <w:tcBorders/>
          </w:tcPr>
          <w:p w14:paraId="C8575042">
            <w:pPr>
              <w:pStyle w:val="style4098"/>
              <w:jc w:val="left"/>
              <w:rPr/>
            </w:pPr>
            <w:r>
              <w:t>仪表盘/监控图表</w:t>
            </w:r>
          </w:p>
        </w:tc>
        <w:tc>
          <w:tcPr>
            <w:tcW w:w="0" w:type="auto"/>
            <w:tcBorders/>
          </w:tcPr>
          <w:p w14:paraId="B2324CE0">
            <w:pPr>
              <w:pStyle w:val="style4098"/>
              <w:jc w:val="left"/>
              <w:rPr/>
            </w:pPr>
            <w:r>
              <w:t>内置</w:t>
            </w:r>
            <w:r>
              <w:t xml:space="preserve"> </w:t>
            </w:r>
            <w:r>
              <w:rPr/>
              <w:fldChar w:fldCharType="begin"/>
            </w:r>
            <w:r>
              <w:instrText>NOTEREF _Ref_Footnote_36 \h \f</w:instrText>
            </w:r>
            <w:r>
              <w:rPr/>
              <w:fldChar w:fldCharType="separate"/>
            </w:r>
            <w:r>
              <w:rPr>
                <w:vertAlign w:val="superscript"/>
              </w:rPr>
              <w:t>36</w:t>
            </w:r>
            <w:r>
              <w:rPr/>
              <w:fldChar w:fldCharType="end"/>
            </w:r>
          </w:p>
        </w:tc>
        <w:tc>
          <w:tcPr>
            <w:tcW w:w="0" w:type="auto"/>
            <w:tcBorders/>
          </w:tcPr>
          <w:p w14:paraId="94AD6356">
            <w:pPr>
              <w:pStyle w:val="style4098"/>
              <w:jc w:val="left"/>
              <w:rPr/>
            </w:pPr>
            <w:r>
              <w:t>Grafana + 自研</w:t>
            </w:r>
          </w:p>
        </w:tc>
        <w:tc>
          <w:tcPr>
            <w:tcW w:w="0" w:type="auto"/>
            <w:tcBorders/>
          </w:tcPr>
          <w:p w14:paraId="875206ED">
            <w:pPr>
              <w:pStyle w:val="style4098"/>
              <w:jc w:val="center"/>
              <w:rPr/>
            </w:pPr>
            <w:r>
              <w:t>🟡 差距</w:t>
            </w:r>
          </w:p>
        </w:tc>
        <w:tc>
          <w:tcPr>
            <w:tcW w:w="0" w:type="auto"/>
            <w:tcBorders/>
          </w:tcPr>
          <w:p w14:paraId="E138F0BE">
            <w:pPr>
              <w:pStyle w:val="style4098"/>
              <w:jc w:val="left"/>
              <w:rPr/>
            </w:pPr>
            <w:r>
              <w:t>Phase 2-3 实现</w:t>
            </w:r>
          </w:p>
        </w:tc>
      </w:tr>
      <w:tr w14:paraId="D8184001">
        <w:tblPrEx/>
        <w:trPr/>
        <w:tc>
          <w:tcPr>
            <w:tcW w:w="0" w:type="auto"/>
            <w:tcBorders/>
          </w:tcPr>
          <w:p w14:paraId="F63335E1">
            <w:pPr>
              <w:pStyle w:val="style4098"/>
              <w:jc w:val="left"/>
              <w:rPr/>
            </w:pPr>
            <w:r>
              <w:rPr>
                <w:b/>
                <w:bCs/>
              </w:rPr>
              <w:t>API 自动化</w:t>
            </w:r>
          </w:p>
        </w:tc>
        <w:tc>
          <w:tcPr>
            <w:tcW w:w="0" w:type="auto"/>
            <w:tcBorders/>
          </w:tcPr>
          <w:p w14:paraId="1439B441">
            <w:pPr>
              <w:pStyle w:val="style4098"/>
              <w:jc w:val="left"/>
              <w:rPr/>
            </w:pPr>
            <w:r>
              <w:t>REST API</w:t>
            </w:r>
          </w:p>
        </w:tc>
        <w:tc>
          <w:tcPr>
            <w:tcW w:w="0" w:type="auto"/>
            <w:tcBorders/>
          </w:tcPr>
          <w:p w14:paraId="7DA499D2">
            <w:pPr>
              <w:pStyle w:val="style4098"/>
              <w:jc w:val="left"/>
              <w:rPr/>
            </w:pPr>
            <w:r>
              <w:t>完整 JSON API</w:t>
            </w:r>
            <w:r>
              <w:t xml:space="preserve"> </w:t>
            </w:r>
            <w:r>
              <w:rPr>
                <w:vertAlign w:val="superscript"/>
              </w:rPr>
              <w:footnoteReference w:id="252"/>
            </w:r>
          </w:p>
        </w:tc>
        <w:tc>
          <w:tcPr>
            <w:tcW w:w="0" w:type="auto"/>
            <w:tcBorders/>
          </w:tcPr>
          <w:p w14:paraId="5C2966C5">
            <w:pPr>
              <w:pStyle w:val="style4098"/>
              <w:jc w:val="left"/>
              <w:rPr/>
            </w:pPr>
            <w:r>
              <w:t>Incus OpenAPI + 自研</w:t>
            </w:r>
          </w:p>
        </w:tc>
        <w:tc>
          <w:tcPr>
            <w:tcW w:w="0" w:type="auto"/>
            <w:tcBorders/>
          </w:tcPr>
          <w:p w14:paraId="49202FD6">
            <w:pPr>
              <w:pStyle w:val="style4098"/>
              <w:jc w:val="center"/>
              <w:rPr/>
            </w:pPr>
            <w:r>
              <w:t>🟢 对等</w:t>
            </w:r>
          </w:p>
        </w:tc>
        <w:tc>
          <w:tcPr>
            <w:tcW w:w="0" w:type="auto"/>
            <w:tcBorders/>
          </w:tcPr>
          <w:p w14:paraId="ABAE133C">
            <w:pPr>
              <w:pStyle w:val="style4098"/>
              <w:jc w:val="left"/>
              <w:rPr/>
            </w:pPr>
            <w:r>
              <w:t>Incus API 设计现代</w:t>
            </w:r>
          </w:p>
        </w:tc>
      </w:tr>
      <w:tr w14:paraId="B4C78FA7">
        <w:tblPrEx/>
        <w:trPr/>
        <w:tc>
          <w:tcPr>
            <w:tcW w:w="0" w:type="auto"/>
            <w:tcBorders/>
          </w:tcPr>
          <w:p w14:paraId="9E0B2697">
            <w:pPr>
              <w:pStyle w:val="style4098"/>
              <w:rPr/>
            </w:pPr>
          </w:p>
        </w:tc>
        <w:tc>
          <w:tcPr>
            <w:tcW w:w="0" w:type="auto"/>
            <w:tcBorders/>
          </w:tcPr>
          <w:p w14:paraId="13CEE113">
            <w:pPr>
              <w:pStyle w:val="style4098"/>
              <w:jc w:val="left"/>
              <w:rPr/>
            </w:pPr>
            <w:r>
              <w:t>CLI 工具</w:t>
            </w:r>
          </w:p>
        </w:tc>
        <w:tc>
          <w:tcPr>
            <w:tcW w:w="0" w:type="auto"/>
            <w:tcBorders/>
          </w:tcPr>
          <w:p w14:paraId="8B183E2C">
            <w:pPr>
              <w:pStyle w:val="style4098"/>
              <w:jc w:val="left"/>
              <w:rPr/>
            </w:pPr>
            <w:r>
              <w:t>qm/pct/pvecm/vzdump</w:t>
            </w:r>
            <w:r>
              <w:t xml:space="preserve"> </w:t>
            </w:r>
            <w:r>
              <w:rPr>
                <w:vertAlign w:val="superscript"/>
              </w:rPr>
              <w:footnoteReference w:id="253"/>
            </w:r>
          </w:p>
        </w:tc>
        <w:tc>
          <w:tcPr>
            <w:tcW w:w="0" w:type="auto"/>
            <w:tcBorders/>
          </w:tcPr>
          <w:p w14:paraId="F5DDB9EE">
            <w:pPr>
              <w:pStyle w:val="style4098"/>
              <w:jc w:val="left"/>
              <w:rPr/>
            </w:pPr>
            <w:r>
              <w:t>Incus CLI + 自研</w:t>
            </w:r>
          </w:p>
        </w:tc>
        <w:tc>
          <w:tcPr>
            <w:tcW w:w="0" w:type="auto"/>
            <w:tcBorders/>
          </w:tcPr>
          <w:p w14:paraId="83504FF6">
            <w:pPr>
              <w:pStyle w:val="style4098"/>
              <w:jc w:val="center"/>
              <w:rPr/>
            </w:pPr>
            <w:r>
              <w:t>🟡 差距</w:t>
            </w:r>
          </w:p>
        </w:tc>
        <w:tc>
          <w:tcPr>
            <w:tcW w:w="0" w:type="auto"/>
            <w:tcBorders/>
          </w:tcPr>
          <w:p w14:paraId="3CC8088C">
            <w:pPr>
              <w:pStyle w:val="style4098"/>
              <w:jc w:val="left"/>
              <w:rPr/>
            </w:pPr>
            <w:r>
              <w:t>VM 管理 CLI 需开发</w:t>
            </w:r>
          </w:p>
        </w:tc>
      </w:tr>
      <w:tr w14:paraId="190B0701">
        <w:tblPrEx/>
        <w:trPr/>
        <w:tc>
          <w:tcPr>
            <w:tcW w:w="0" w:type="auto"/>
            <w:tcBorders/>
          </w:tcPr>
          <w:p w14:paraId="D4D19232">
            <w:pPr>
              <w:pStyle w:val="style4098"/>
              <w:rPr/>
            </w:pPr>
          </w:p>
        </w:tc>
        <w:tc>
          <w:tcPr>
            <w:tcW w:w="0" w:type="auto"/>
            <w:tcBorders/>
          </w:tcPr>
          <w:p w14:paraId="CBE9BBE7">
            <w:pPr>
              <w:pStyle w:val="style4098"/>
              <w:jc w:val="left"/>
              <w:rPr/>
            </w:pPr>
            <w:r>
              <w:t>Terraform Provider</w:t>
            </w:r>
          </w:p>
        </w:tc>
        <w:tc>
          <w:tcPr>
            <w:tcW w:w="0" w:type="auto"/>
            <w:tcBorders/>
          </w:tcPr>
          <w:p w14:paraId="8BD766C1">
            <w:pPr>
              <w:pStyle w:val="style4098"/>
              <w:jc w:val="left"/>
              <w:rPr/>
            </w:pPr>
            <w:r>
              <w:t>社区成熟</w:t>
            </w:r>
            <w:r>
              <w:t xml:space="preserve"> </w:t>
            </w:r>
            <w:r>
              <w:rPr>
                <w:vertAlign w:val="superscript"/>
              </w:rPr>
              <w:footnoteReference w:id="254"/>
            </w:r>
          </w:p>
        </w:tc>
        <w:tc>
          <w:tcPr>
            <w:tcW w:w="0" w:type="auto"/>
            <w:tcBorders/>
          </w:tcPr>
          <w:p w14:paraId="0763B805">
            <w:pPr>
              <w:pStyle w:val="style4098"/>
              <w:jc w:val="left"/>
              <w:rPr/>
            </w:pPr>
            <w:r>
              <w:t>需开发</w:t>
            </w:r>
          </w:p>
        </w:tc>
        <w:tc>
          <w:tcPr>
            <w:tcW w:w="0" w:type="auto"/>
            <w:tcBorders/>
          </w:tcPr>
          <w:p w14:paraId="E174DF1F">
            <w:pPr>
              <w:pStyle w:val="style4098"/>
              <w:jc w:val="center"/>
              <w:rPr/>
            </w:pPr>
            <w:r>
              <w:t>🟡 差距</w:t>
            </w:r>
          </w:p>
        </w:tc>
        <w:tc>
          <w:tcPr>
            <w:tcW w:w="0" w:type="auto"/>
            <w:tcBorders/>
          </w:tcPr>
          <w:p w14:paraId="AEE8C7AA">
            <w:pPr>
              <w:pStyle w:val="style4098"/>
              <w:jc w:val="left"/>
              <w:rPr/>
            </w:pPr>
            <w:r>
              <w:t>Phase 3 实现</w:t>
            </w:r>
          </w:p>
        </w:tc>
      </w:tr>
      <w:tr w14:paraId="C89151FD">
        <w:tblPrEx/>
        <w:trPr/>
        <w:tc>
          <w:tcPr>
            <w:tcW w:w="0" w:type="auto"/>
            <w:tcBorders/>
          </w:tcPr>
          <w:p w14:paraId="4AFCE82C">
            <w:pPr>
              <w:pStyle w:val="style4098"/>
              <w:rPr/>
            </w:pPr>
          </w:p>
        </w:tc>
        <w:tc>
          <w:tcPr>
            <w:tcW w:w="0" w:type="auto"/>
            <w:tcBorders/>
          </w:tcPr>
          <w:p w14:paraId="BE3DF349">
            <w:pPr>
              <w:pStyle w:val="style4098"/>
              <w:jc w:val="left"/>
              <w:rPr/>
            </w:pPr>
            <w:r>
              <w:t>Ansible 模块</w:t>
            </w:r>
          </w:p>
        </w:tc>
        <w:tc>
          <w:tcPr>
            <w:tcW w:w="0" w:type="auto"/>
            <w:tcBorders/>
          </w:tcPr>
          <w:p w14:paraId="9B69860C">
            <w:pPr>
              <w:pStyle w:val="style4098"/>
              <w:jc w:val="left"/>
              <w:rPr/>
            </w:pPr>
            <w:r>
              <w:t>社区支持</w:t>
            </w:r>
            <w:r>
              <w:t xml:space="preserve"> </w:t>
            </w:r>
            <w:r>
              <w:rPr>
                <w:vertAlign w:val="superscript"/>
              </w:rPr>
              <w:footnoteReference w:id="255"/>
            </w:r>
          </w:p>
        </w:tc>
        <w:tc>
          <w:tcPr>
            <w:tcW w:w="0" w:type="auto"/>
            <w:tcBorders/>
          </w:tcPr>
          <w:p w14:paraId="0BA0F596">
            <w:pPr>
              <w:pStyle w:val="style4098"/>
              <w:jc w:val="left"/>
              <w:rPr/>
            </w:pPr>
            <w:r>
              <w:t>需开发</w:t>
            </w:r>
          </w:p>
        </w:tc>
        <w:tc>
          <w:tcPr>
            <w:tcW w:w="0" w:type="auto"/>
            <w:tcBorders/>
          </w:tcPr>
          <w:p w14:paraId="50D45F91">
            <w:pPr>
              <w:pStyle w:val="style4098"/>
              <w:jc w:val="center"/>
              <w:rPr/>
            </w:pPr>
            <w:r>
              <w:t>🟡 差距</w:t>
            </w:r>
          </w:p>
        </w:tc>
        <w:tc>
          <w:tcPr>
            <w:tcW w:w="0" w:type="auto"/>
            <w:tcBorders/>
          </w:tcPr>
          <w:p w14:paraId="8AC8B527">
            <w:pPr>
              <w:pStyle w:val="style4098"/>
              <w:jc w:val="left"/>
              <w:rPr/>
            </w:pPr>
            <w:r>
              <w:t>Phase 3 实现</w:t>
            </w:r>
          </w:p>
        </w:tc>
      </w:tr>
      <w:tr w14:paraId="BA4FE321">
        <w:tblPrEx/>
        <w:trPr/>
        <w:tc>
          <w:tcPr>
            <w:tcW w:w="0" w:type="auto"/>
            <w:tcBorders/>
          </w:tcPr>
          <w:p w14:paraId="1BFFF82F">
            <w:pPr>
              <w:pStyle w:val="style4098"/>
              <w:jc w:val="left"/>
              <w:rPr/>
            </w:pPr>
            <w:r>
              <w:rPr>
                <w:b/>
                <w:bCs/>
              </w:rPr>
              <w:t>企业特性</w:t>
            </w:r>
          </w:p>
        </w:tc>
        <w:tc>
          <w:tcPr>
            <w:tcW w:w="0" w:type="auto"/>
            <w:tcBorders/>
          </w:tcPr>
          <w:p w14:paraId="8A0B067D">
            <w:pPr>
              <w:pStyle w:val="style4098"/>
              <w:jc w:val="left"/>
              <w:rPr/>
            </w:pPr>
            <w:r>
              <w:t>RBAC 权限</w:t>
            </w:r>
          </w:p>
        </w:tc>
        <w:tc>
          <w:tcPr>
            <w:tcW w:w="0" w:type="auto"/>
            <w:tcBorders/>
          </w:tcPr>
          <w:p w14:paraId="F338E8D7">
            <w:pPr>
              <w:pStyle w:val="style4098"/>
              <w:jc w:val="left"/>
              <w:rPr/>
            </w:pPr>
            <w:r>
              <w:t>完整 (Users/Groups/Roles/Pools)</w:t>
            </w:r>
            <w:r>
              <w:t xml:space="preserve"> </w:t>
            </w:r>
            <w:r>
              <w:rPr/>
              <w:fldChar w:fldCharType="begin"/>
            </w:r>
            <w:r>
              <w:instrText>NOTEREF _Ref_Footnote_35 \h \f</w:instrText>
            </w:r>
            <w:r>
              <w:rPr/>
              <w:fldChar w:fldCharType="separate"/>
            </w:r>
            <w:r>
              <w:rPr>
                <w:vertAlign w:val="superscript"/>
              </w:rPr>
              <w:t>35</w:t>
            </w:r>
            <w:r>
              <w:rPr/>
              <w:fldChar w:fldCharType="end"/>
            </w:r>
          </w:p>
        </w:tc>
        <w:tc>
          <w:tcPr>
            <w:tcW w:w="0" w:type="auto"/>
            <w:tcBorders/>
          </w:tcPr>
          <w:p w14:paraId="5DE11308">
            <w:pPr>
              <w:pStyle w:val="style4098"/>
              <w:jc w:val="left"/>
              <w:rPr/>
            </w:pPr>
            <w:r>
              <w:t>需开发</w:t>
            </w:r>
          </w:p>
        </w:tc>
        <w:tc>
          <w:tcPr>
            <w:tcW w:w="0" w:type="auto"/>
            <w:tcBorders/>
          </w:tcPr>
          <w:p w14:paraId="62FA72A9">
            <w:pPr>
              <w:pStyle w:val="style4098"/>
              <w:jc w:val="center"/>
              <w:rPr/>
            </w:pPr>
            <w:r>
              <w:t>🟡 差距</w:t>
            </w:r>
          </w:p>
        </w:tc>
        <w:tc>
          <w:tcPr>
            <w:tcW w:w="0" w:type="auto"/>
            <w:tcBorders/>
          </w:tcPr>
          <w:p w14:paraId="AAA75507">
            <w:pPr>
              <w:pStyle w:val="style4098"/>
              <w:jc w:val="left"/>
              <w:rPr/>
            </w:pPr>
            <w:r>
              <w:t>P0，3-6 个月</w:t>
            </w:r>
          </w:p>
        </w:tc>
      </w:tr>
      <w:tr w14:paraId="F965237F">
        <w:tblPrEx/>
        <w:trPr/>
        <w:tc>
          <w:tcPr>
            <w:tcW w:w="0" w:type="auto"/>
            <w:tcBorders/>
          </w:tcPr>
          <w:p w14:paraId="3610FD7F">
            <w:pPr>
              <w:pStyle w:val="style4098"/>
              <w:rPr/>
            </w:pPr>
          </w:p>
        </w:tc>
        <w:tc>
          <w:tcPr>
            <w:tcW w:w="0" w:type="auto"/>
            <w:tcBorders/>
          </w:tcPr>
          <w:p w14:paraId="23D0E28F">
            <w:pPr>
              <w:pStyle w:val="style4098"/>
              <w:jc w:val="left"/>
              <w:rPr/>
            </w:pPr>
            <w:r>
              <w:t>认证集成</w:t>
            </w:r>
          </w:p>
        </w:tc>
        <w:tc>
          <w:tcPr>
            <w:tcW w:w="0" w:type="auto"/>
            <w:tcBorders/>
          </w:tcPr>
          <w:p w14:paraId="D9D84B4B">
            <w:pPr>
              <w:pStyle w:val="style4098"/>
              <w:jc w:val="left"/>
              <w:rPr/>
            </w:pPr>
            <w:r>
              <w:t>PVE/PAM/LDAP/AD</w:t>
            </w:r>
            <w:r>
              <w:t xml:space="preserve"> </w:t>
            </w:r>
            <w:r>
              <w:rPr/>
              <w:fldChar w:fldCharType="begin"/>
            </w:r>
            <w:r>
              <w:instrText>NOTEREF _Ref_Footnote_35 \h \f</w:instrText>
            </w:r>
            <w:r>
              <w:rPr/>
              <w:fldChar w:fldCharType="separate"/>
            </w:r>
            <w:r>
              <w:rPr>
                <w:vertAlign w:val="superscript"/>
              </w:rPr>
              <w:t>35</w:t>
            </w:r>
            <w:r>
              <w:rPr/>
              <w:fldChar w:fldCharType="end"/>
            </w:r>
          </w:p>
        </w:tc>
        <w:tc>
          <w:tcPr>
            <w:tcW w:w="0" w:type="auto"/>
            <w:tcBorders/>
          </w:tcPr>
          <w:p w14:paraId="DC373BA3">
            <w:pPr>
              <w:pStyle w:val="style4098"/>
              <w:jc w:val="left"/>
              <w:rPr/>
            </w:pPr>
            <w:r>
              <w:t>需开发</w:t>
            </w:r>
          </w:p>
        </w:tc>
        <w:tc>
          <w:tcPr>
            <w:tcW w:w="0" w:type="auto"/>
            <w:tcBorders/>
          </w:tcPr>
          <w:p w14:paraId="E5A2521C">
            <w:pPr>
              <w:pStyle w:val="style4098"/>
              <w:jc w:val="center"/>
              <w:rPr/>
            </w:pPr>
            <w:r>
              <w:t>🟡 差距</w:t>
            </w:r>
          </w:p>
        </w:tc>
        <w:tc>
          <w:tcPr>
            <w:tcW w:w="0" w:type="auto"/>
            <w:tcBorders/>
          </w:tcPr>
          <w:p w14:paraId="BA139EA0">
            <w:pPr>
              <w:pStyle w:val="style4098"/>
              <w:jc w:val="left"/>
              <w:rPr/>
            </w:pPr>
            <w:r>
              <w:t>P0，3-6 个月</w:t>
            </w:r>
          </w:p>
        </w:tc>
      </w:tr>
      <w:tr w14:paraId="578C2191">
        <w:tblPrEx/>
        <w:trPr/>
        <w:tc>
          <w:tcPr>
            <w:tcW w:w="0" w:type="auto"/>
            <w:tcBorders/>
          </w:tcPr>
          <w:p w14:paraId="7524AE6E">
            <w:pPr>
              <w:pStyle w:val="style4098"/>
              <w:rPr/>
            </w:pPr>
          </w:p>
        </w:tc>
        <w:tc>
          <w:tcPr>
            <w:tcW w:w="0" w:type="auto"/>
            <w:tcBorders/>
          </w:tcPr>
          <w:p w14:paraId="06EABB3B">
            <w:pPr>
              <w:pStyle w:val="style4098"/>
              <w:jc w:val="left"/>
              <w:rPr/>
            </w:pPr>
            <w:r>
              <w:t>2FA (TOTP/WebAuthn)</w:t>
            </w:r>
          </w:p>
        </w:tc>
        <w:tc>
          <w:tcPr>
            <w:tcW w:w="0" w:type="auto"/>
            <w:tcBorders/>
          </w:tcPr>
          <w:p w14:paraId="E468DA06">
            <w:pPr>
              <w:pStyle w:val="style4098"/>
              <w:jc w:val="left"/>
              <w:rPr/>
            </w:pPr>
            <w:r>
              <w:t>支持</w:t>
            </w:r>
          </w:p>
        </w:tc>
        <w:tc>
          <w:tcPr>
            <w:tcW w:w="0" w:type="auto"/>
            <w:tcBorders/>
          </w:tcPr>
          <w:p w14:paraId="682EAC17">
            <w:pPr>
              <w:pStyle w:val="style4098"/>
              <w:jc w:val="left"/>
              <w:rPr/>
            </w:pPr>
            <w:r>
              <w:t>可集成</w:t>
            </w:r>
          </w:p>
        </w:tc>
        <w:tc>
          <w:tcPr>
            <w:tcW w:w="0" w:type="auto"/>
            <w:tcBorders/>
          </w:tcPr>
          <w:p w14:paraId="F908DBB6">
            <w:pPr>
              <w:pStyle w:val="style4098"/>
              <w:jc w:val="center"/>
              <w:rPr/>
            </w:pPr>
            <w:r>
              <w:t>🟢 对等</w:t>
            </w:r>
          </w:p>
        </w:tc>
        <w:tc>
          <w:tcPr>
            <w:tcW w:w="0" w:type="auto"/>
            <w:tcBorders/>
          </w:tcPr>
          <w:p w14:paraId="185FA732">
            <w:pPr>
              <w:pStyle w:val="style4098"/>
              <w:jc w:val="left"/>
              <w:rPr/>
            </w:pPr>
            <w:r>
              <w:t>OAuth2/OIDC 库成熟</w:t>
            </w:r>
          </w:p>
        </w:tc>
      </w:tr>
      <w:tr w14:paraId="7F74DD21">
        <w:tblPrEx/>
        <w:trPr/>
        <w:tc>
          <w:tcPr>
            <w:tcW w:w="0" w:type="auto"/>
            <w:tcBorders/>
          </w:tcPr>
          <w:p w14:paraId="5A7C88B8">
            <w:pPr>
              <w:pStyle w:val="style4098"/>
              <w:rPr/>
            </w:pPr>
          </w:p>
        </w:tc>
        <w:tc>
          <w:tcPr>
            <w:tcW w:w="0" w:type="auto"/>
            <w:tcBorders/>
          </w:tcPr>
          <w:p w14:paraId="6487659B">
            <w:pPr>
              <w:pStyle w:val="style4098"/>
              <w:jc w:val="left"/>
              <w:rPr/>
            </w:pPr>
            <w:r>
              <w:t>审计日志</w:t>
            </w:r>
          </w:p>
        </w:tc>
        <w:tc>
          <w:tcPr>
            <w:tcW w:w="0" w:type="auto"/>
            <w:tcBorders/>
          </w:tcPr>
          <w:p w14:paraId="6A3447B6">
            <w:pPr>
              <w:pStyle w:val="style4098"/>
              <w:jc w:val="left"/>
              <w:rPr/>
            </w:pPr>
            <w:r>
              <w:t>基础</w:t>
            </w:r>
            <w:r>
              <w:t xml:space="preserve"> </w:t>
            </w:r>
            <w:r>
              <w:rPr/>
              <w:fldChar w:fldCharType="begin"/>
            </w:r>
            <w:r>
              <w:instrText>NOTEREF _Ref_Footnote_36 \h \f</w:instrText>
            </w:r>
            <w:r>
              <w:rPr/>
              <w:fldChar w:fldCharType="separate"/>
            </w:r>
            <w:r>
              <w:rPr>
                <w:vertAlign w:val="superscript"/>
              </w:rPr>
              <w:t>36</w:t>
            </w:r>
            <w:r>
              <w:rPr/>
              <w:fldChar w:fldCharType="end"/>
            </w:r>
          </w:p>
        </w:tc>
        <w:tc>
          <w:tcPr>
            <w:tcW w:w="0" w:type="auto"/>
            <w:tcBorders/>
          </w:tcPr>
          <w:p w14:paraId="EE4E69BF">
            <w:pPr>
              <w:pStyle w:val="style4098"/>
              <w:jc w:val="left"/>
              <w:rPr/>
            </w:pPr>
            <w:r>
              <w:t>需增强</w:t>
            </w:r>
          </w:p>
        </w:tc>
        <w:tc>
          <w:tcPr>
            <w:tcW w:w="0" w:type="auto"/>
            <w:tcBorders/>
          </w:tcPr>
          <w:p w14:paraId="AE14C25F">
            <w:pPr>
              <w:pStyle w:val="style4098"/>
              <w:jc w:val="center"/>
              <w:rPr/>
            </w:pPr>
            <w:r>
              <w:t>🟡 差距</w:t>
            </w:r>
          </w:p>
        </w:tc>
        <w:tc>
          <w:tcPr>
            <w:tcW w:w="0" w:type="auto"/>
            <w:tcBorders/>
          </w:tcPr>
          <w:p w14:paraId="5277C557">
            <w:pPr>
              <w:pStyle w:val="style4098"/>
              <w:jc w:val="left"/>
              <w:rPr/>
            </w:pPr>
            <w:r>
              <w:t>等保合规驱动</w:t>
            </w:r>
          </w:p>
        </w:tc>
      </w:tr>
      <w:tr w14:paraId="514AF535">
        <w:tblPrEx/>
        <w:trPr/>
        <w:tc>
          <w:tcPr>
            <w:tcW w:w="0" w:type="auto"/>
            <w:tcBorders/>
          </w:tcPr>
          <w:p w14:paraId="54CFAFC8">
            <w:pPr>
              <w:pStyle w:val="style4098"/>
              <w:jc w:val="left"/>
              <w:rPr/>
            </w:pPr>
            <w:r>
              <w:rPr>
                <w:b/>
                <w:bCs/>
              </w:rPr>
              <w:t>备份恢复</w:t>
            </w:r>
          </w:p>
        </w:tc>
        <w:tc>
          <w:tcPr>
            <w:tcW w:w="0" w:type="auto"/>
            <w:tcBorders/>
          </w:tcPr>
          <w:p w14:paraId="9B548EDD">
            <w:pPr>
              <w:pStyle w:val="style4098"/>
              <w:jc w:val="left"/>
              <w:rPr/>
            </w:pPr>
            <w:r>
              <w:t>快照/暂停/关机备份</w:t>
            </w:r>
          </w:p>
        </w:tc>
        <w:tc>
          <w:tcPr>
            <w:tcW w:w="0" w:type="auto"/>
            <w:tcBorders/>
          </w:tcPr>
          <w:p w14:paraId="AA266861">
            <w:pPr>
              <w:pStyle w:val="style4098"/>
              <w:jc w:val="left"/>
              <w:rPr/>
            </w:pPr>
            <w:r>
              <w:t>vzdump 三种模式</w:t>
            </w:r>
            <w:r>
              <w:t xml:space="preserve"> </w:t>
            </w:r>
            <w:r>
              <w:rPr/>
              <w:fldChar w:fldCharType="begin"/>
            </w:r>
            <w:r>
              <w:instrText>NOTEREF _Ref_Footnote_238 \h \f</w:instrText>
            </w:r>
            <w:r>
              <w:rPr/>
              <w:fldChar w:fldCharType="separate"/>
            </w:r>
            <w:r>
              <w:rPr>
                <w:vertAlign w:val="superscript"/>
              </w:rPr>
              <w:t>238</w:t>
            </w:r>
            <w:r>
              <w:rPr/>
              <w:fldChar w:fldCharType="end"/>
            </w:r>
          </w:p>
        </w:tc>
        <w:tc>
          <w:tcPr>
            <w:tcW w:w="0" w:type="auto"/>
            <w:tcBorders/>
          </w:tcPr>
          <w:p w14:paraId="D925D354">
            <w:pPr>
              <w:pStyle w:val="style4098"/>
              <w:jc w:val="left"/>
              <w:rPr/>
            </w:pPr>
            <w:r>
              <w:t>依赖后端</w:t>
            </w:r>
          </w:p>
        </w:tc>
        <w:tc>
          <w:tcPr>
            <w:tcW w:w="0" w:type="auto"/>
            <w:tcBorders/>
          </w:tcPr>
          <w:p w14:paraId="8F4167F4">
            <w:pPr>
              <w:pStyle w:val="style4098"/>
              <w:jc w:val="center"/>
              <w:rPr/>
            </w:pPr>
            <w:r>
              <w:t>🟡 差距</w:t>
            </w:r>
          </w:p>
        </w:tc>
        <w:tc>
          <w:tcPr>
            <w:tcW w:w="0" w:type="auto"/>
            <w:tcBorders/>
          </w:tcPr>
          <w:p w14:paraId="6C8A9AEE">
            <w:pPr>
              <w:pStyle w:val="style4098"/>
              <w:jc w:val="left"/>
              <w:rPr/>
            </w:pPr>
            <w:r>
              <w:t>Phase 3 实现</w:t>
            </w:r>
          </w:p>
        </w:tc>
      </w:tr>
      <w:tr w14:paraId="F0137493">
        <w:tblPrEx/>
        <w:trPr/>
        <w:tc>
          <w:tcPr>
            <w:tcW w:w="0" w:type="auto"/>
            <w:tcBorders/>
          </w:tcPr>
          <w:p w14:paraId="0645395B">
            <w:pPr>
              <w:pStyle w:val="style4098"/>
              <w:rPr/>
            </w:pPr>
          </w:p>
        </w:tc>
        <w:tc>
          <w:tcPr>
            <w:tcW w:w="0" w:type="auto"/>
            <w:tcBorders/>
          </w:tcPr>
          <w:p w14:paraId="952E9FBF">
            <w:pPr>
              <w:pStyle w:val="style4098"/>
              <w:jc w:val="left"/>
              <w:rPr/>
            </w:pPr>
            <w:r>
              <w:t>增量备份/全局去重</w:t>
            </w:r>
          </w:p>
        </w:tc>
        <w:tc>
          <w:tcPr>
            <w:tcW w:w="0" w:type="auto"/>
            <w:tcBorders/>
          </w:tcPr>
          <w:p w14:paraId="6564AFFE">
            <w:pPr>
              <w:pStyle w:val="style4098"/>
              <w:jc w:val="left"/>
              <w:rPr/>
            </w:pPr>
            <w:r>
              <w:t>PBS CDC 去重，6-12x</w:t>
            </w:r>
            <w:r>
              <w:t xml:space="preserve"> </w:t>
            </w:r>
            <w:r>
              <w:rPr>
                <w:vertAlign w:val="superscript"/>
              </w:rPr>
              <w:footnoteReference w:id="256"/>
            </w:r>
          </w:p>
        </w:tc>
        <w:tc>
          <w:tcPr>
            <w:tcW w:w="0" w:type="auto"/>
            <w:tcBorders/>
          </w:tcPr>
          <w:p w14:paraId="5B2E28CE">
            <w:pPr>
              <w:pStyle w:val="style4098"/>
              <w:jc w:val="left"/>
              <w:rPr/>
            </w:pPr>
            <w:r>
              <w:t>需开发</w:t>
            </w:r>
          </w:p>
        </w:tc>
        <w:tc>
          <w:tcPr>
            <w:tcW w:w="0" w:type="auto"/>
            <w:tcBorders/>
          </w:tcPr>
          <w:p w14:paraId="F4F8E615">
            <w:pPr>
              <w:pStyle w:val="style4098"/>
              <w:jc w:val="center"/>
              <w:rPr/>
            </w:pPr>
            <w:r>
              <w:t>🔴 缺失</w:t>
            </w:r>
          </w:p>
        </w:tc>
        <w:tc>
          <w:tcPr>
            <w:tcW w:w="0" w:type="auto"/>
            <w:tcBorders/>
          </w:tcPr>
          <w:p w14:paraId="D2740F10">
            <w:pPr>
              <w:pStyle w:val="style4098"/>
              <w:jc w:val="left"/>
              <w:rPr/>
            </w:pPr>
            <w:r>
              <w:t>技术复杂度高</w:t>
            </w:r>
          </w:p>
        </w:tc>
      </w:tr>
      <w:tr w14:paraId="5859F016">
        <w:tblPrEx/>
        <w:trPr/>
        <w:tc>
          <w:tcPr>
            <w:tcW w:w="0" w:type="auto"/>
            <w:tcBorders/>
          </w:tcPr>
          <w:p w14:paraId="CCC90DCF">
            <w:pPr>
              <w:pStyle w:val="style4098"/>
              <w:rPr/>
            </w:pPr>
          </w:p>
        </w:tc>
        <w:tc>
          <w:tcPr>
            <w:tcW w:w="0" w:type="auto"/>
            <w:tcBorders/>
          </w:tcPr>
          <w:p w14:paraId="0B5C9EBC">
            <w:pPr>
              <w:pStyle w:val="style4098"/>
              <w:jc w:val="left"/>
              <w:rPr/>
            </w:pPr>
            <w:r>
              <w:t>实时恢复 (Live Restore)</w:t>
            </w:r>
          </w:p>
        </w:tc>
        <w:tc>
          <w:tcPr>
            <w:tcW w:w="0" w:type="auto"/>
            <w:tcBorders/>
          </w:tcPr>
          <w:p w14:paraId="B6CEB873">
            <w:pPr>
              <w:pStyle w:val="style4098"/>
              <w:jc w:val="left"/>
              <w:rPr/>
            </w:pPr>
            <w:r>
              <w:t>PBS 支持</w:t>
            </w:r>
            <w:r>
              <w:t xml:space="preserve"> </w:t>
            </w:r>
            <w:r>
              <w:rPr/>
              <w:fldChar w:fldCharType="begin"/>
            </w:r>
            <w:r>
              <w:instrText>NOTEREF _Ref_Footnote_256 \h \f</w:instrText>
            </w:r>
            <w:r>
              <w:rPr/>
              <w:fldChar w:fldCharType="separate"/>
            </w:r>
            <w:r>
              <w:rPr>
                <w:vertAlign w:val="superscript"/>
              </w:rPr>
              <w:t>256</w:t>
            </w:r>
            <w:r>
              <w:rPr/>
              <w:fldChar w:fldCharType="end"/>
            </w:r>
          </w:p>
        </w:tc>
        <w:tc>
          <w:tcPr>
            <w:tcW w:w="0" w:type="auto"/>
            <w:tcBorders/>
          </w:tcPr>
          <w:p w14:paraId="90CC1E38">
            <w:pPr>
              <w:pStyle w:val="style4098"/>
              <w:jc w:val="left"/>
              <w:rPr/>
            </w:pPr>
            <w:r>
              <w:t>需开发</w:t>
            </w:r>
          </w:p>
        </w:tc>
        <w:tc>
          <w:tcPr>
            <w:tcW w:w="0" w:type="auto"/>
            <w:tcBorders/>
          </w:tcPr>
          <w:p w14:paraId="297A6840">
            <w:pPr>
              <w:pStyle w:val="style4098"/>
              <w:jc w:val="center"/>
              <w:rPr/>
            </w:pPr>
            <w:r>
              <w:t>🔴 缺失</w:t>
            </w:r>
          </w:p>
        </w:tc>
        <w:tc>
          <w:tcPr>
            <w:tcW w:w="0" w:type="auto"/>
            <w:tcBorders/>
          </w:tcPr>
          <w:p w14:paraId="9917C1BA">
            <w:pPr>
              <w:pStyle w:val="style4098"/>
              <w:jc w:val="left"/>
              <w:rPr/>
            </w:pPr>
            <w:r>
              <w:t>Phase 4 评估</w:t>
            </w:r>
          </w:p>
        </w:tc>
      </w:tr>
      <w:tr w14:paraId="EEACF1F3">
        <w:tblPrEx/>
        <w:trPr/>
        <w:tc>
          <w:tcPr>
            <w:tcW w:w="0" w:type="auto"/>
            <w:tcBorders/>
          </w:tcPr>
          <w:p w14:paraId="35EF453E">
            <w:pPr>
              <w:pStyle w:val="style4098"/>
              <w:jc w:val="left"/>
              <w:rPr/>
            </w:pPr>
            <w:r>
              <w:rPr>
                <w:b/>
                <w:bCs/>
              </w:rPr>
              <w:t>HA 集群</w:t>
            </w:r>
          </w:p>
        </w:tc>
        <w:tc>
          <w:tcPr>
            <w:tcW w:w="0" w:type="auto"/>
            <w:tcBorders/>
          </w:tcPr>
          <w:p w14:paraId="87307159">
            <w:pPr>
              <w:pStyle w:val="style4098"/>
              <w:jc w:val="left"/>
              <w:rPr/>
            </w:pPr>
            <w:r>
              <w:t>HA 管理器</w:t>
            </w:r>
          </w:p>
        </w:tc>
        <w:tc>
          <w:tcPr>
            <w:tcW w:w="0" w:type="auto"/>
            <w:tcBorders/>
          </w:tcPr>
          <w:p w14:paraId="B773775F">
            <w:pPr>
              <w:pStyle w:val="style4098"/>
              <w:jc w:val="left"/>
              <w:rPr/>
            </w:pPr>
            <w:r>
              <w:t>pve-ha-manager</w:t>
            </w:r>
            <w:r>
              <w:t xml:space="preserve"> </w:t>
            </w:r>
            <w:r>
              <w:rPr/>
              <w:fldChar w:fldCharType="begin"/>
            </w:r>
            <w:r>
              <w:instrText>NOTEREF _Ref_Footnote_31 \h \f</w:instrText>
            </w:r>
            <w:r>
              <w:rPr/>
              <w:fldChar w:fldCharType="separate"/>
            </w:r>
            <w:r>
              <w:rPr>
                <w:vertAlign w:val="superscript"/>
              </w:rPr>
              <w:t>31</w:t>
            </w:r>
            <w:r>
              <w:rPr/>
              <w:fldChar w:fldCharType="end"/>
            </w:r>
          </w:p>
        </w:tc>
        <w:tc>
          <w:tcPr>
            <w:tcW w:w="0" w:type="auto"/>
            <w:tcBorders/>
          </w:tcPr>
          <w:p w14:paraId="ADF6112B">
            <w:pPr>
              <w:pStyle w:val="style4098"/>
              <w:jc w:val="left"/>
              <w:rPr/>
            </w:pPr>
            <w:r>
              <w:t>需自研</w:t>
            </w:r>
          </w:p>
        </w:tc>
        <w:tc>
          <w:tcPr>
            <w:tcW w:w="0" w:type="auto"/>
            <w:tcBorders/>
          </w:tcPr>
          <w:p w14:paraId="7C772A3F">
            <w:pPr>
              <w:pStyle w:val="style4098"/>
              <w:jc w:val="center"/>
              <w:rPr/>
            </w:pPr>
            <w:r>
              <w:t>🔴 缺失</w:t>
            </w:r>
          </w:p>
        </w:tc>
        <w:tc>
          <w:tcPr>
            <w:tcW w:w="0" w:type="auto"/>
            <w:tcBorders/>
          </w:tcPr>
          <w:p w14:paraId="10FB2C21">
            <w:pPr>
              <w:pStyle w:val="style4098"/>
              <w:jc w:val="left"/>
              <w:rPr/>
            </w:pPr>
            <w:r>
              <w:rPr>
                <w:b/>
                <w:bCs/>
              </w:rPr>
              <w:t>核心挑战，25% 研发资源</w:t>
            </w:r>
          </w:p>
        </w:tc>
      </w:tr>
      <w:tr w14:paraId="9D104ACD">
        <w:tblPrEx/>
        <w:trPr/>
        <w:tc>
          <w:tcPr>
            <w:tcW w:w="0" w:type="auto"/>
            <w:tcBorders/>
          </w:tcPr>
          <w:p w14:paraId="17701ED4">
            <w:pPr>
              <w:pStyle w:val="style4098"/>
              <w:rPr/>
            </w:pPr>
          </w:p>
        </w:tc>
        <w:tc>
          <w:tcPr>
            <w:tcW w:w="0" w:type="auto"/>
            <w:tcBorders/>
          </w:tcPr>
          <w:p w14:paraId="8BE647B5">
            <w:pPr>
              <w:pStyle w:val="style4098"/>
              <w:jc w:val="left"/>
              <w:rPr/>
            </w:pPr>
            <w:r>
              <w:t>Watchdog/自动故障转移</w:t>
            </w:r>
          </w:p>
        </w:tc>
        <w:tc>
          <w:tcPr>
            <w:tcW w:w="0" w:type="auto"/>
            <w:tcBorders/>
          </w:tcPr>
          <w:p w14:paraId="D85C7659">
            <w:pPr>
              <w:pStyle w:val="style4098"/>
              <w:jc w:val="left"/>
              <w:rPr/>
            </w:pPr>
            <w:r>
              <w:t>软看门狗 + 自动恢复</w:t>
            </w:r>
            <w:r>
              <w:t xml:space="preserve"> </w:t>
            </w:r>
            <w:r>
              <w:rPr/>
              <w:fldChar w:fldCharType="begin"/>
            </w:r>
            <w:r>
              <w:instrText>NOTEREF _Ref_Footnote_31 \h \f</w:instrText>
            </w:r>
            <w:r>
              <w:rPr/>
              <w:fldChar w:fldCharType="separate"/>
            </w:r>
            <w:r>
              <w:rPr>
                <w:vertAlign w:val="superscript"/>
              </w:rPr>
              <w:t>31</w:t>
            </w:r>
            <w:r>
              <w:rPr/>
              <w:fldChar w:fldCharType="end"/>
            </w:r>
          </w:p>
        </w:tc>
        <w:tc>
          <w:tcPr>
            <w:tcW w:w="0" w:type="auto"/>
            <w:tcBorders/>
          </w:tcPr>
          <w:p w14:paraId="298BBF2F">
            <w:pPr>
              <w:pStyle w:val="style4098"/>
              <w:jc w:val="left"/>
              <w:rPr/>
            </w:pPr>
            <w:r>
              <w:t>需开发</w:t>
            </w:r>
          </w:p>
        </w:tc>
        <w:tc>
          <w:tcPr>
            <w:tcW w:w="0" w:type="auto"/>
            <w:tcBorders/>
          </w:tcPr>
          <w:p w14:paraId="FA521088">
            <w:pPr>
              <w:pStyle w:val="style4098"/>
              <w:jc w:val="center"/>
              <w:rPr/>
            </w:pPr>
            <w:r>
              <w:t>🟡 差距</w:t>
            </w:r>
          </w:p>
        </w:tc>
        <w:tc>
          <w:tcPr>
            <w:tcW w:w="0" w:type="auto"/>
            <w:tcBorders/>
          </w:tcPr>
          <w:p w14:paraId="9E4372C3">
            <w:pPr>
              <w:pStyle w:val="style4098"/>
              <w:jc w:val="left"/>
              <w:rPr/>
            </w:pPr>
            <w:r>
              <w:t>Phase 3 实现</w:t>
            </w:r>
          </w:p>
        </w:tc>
      </w:tr>
      <w:tr w14:paraId="F9C44572">
        <w:tblPrEx/>
        <w:trPr/>
        <w:tc>
          <w:tcPr>
            <w:tcW w:w="0" w:type="auto"/>
            <w:tcBorders/>
          </w:tcPr>
          <w:p w14:paraId="DD422333">
            <w:pPr>
              <w:pStyle w:val="style4098"/>
              <w:rPr/>
            </w:pPr>
          </w:p>
        </w:tc>
        <w:tc>
          <w:tcPr>
            <w:tcW w:w="0" w:type="auto"/>
            <w:tcBorders/>
          </w:tcPr>
          <w:p w14:paraId="0B23A6B0">
            <w:pPr>
              <w:pStyle w:val="style4098"/>
              <w:jc w:val="left"/>
              <w:rPr/>
            </w:pPr>
            <w:r>
              <w:t>Quorum 仲裁</w:t>
            </w:r>
          </w:p>
        </w:tc>
        <w:tc>
          <w:tcPr>
            <w:tcW w:w="0" w:type="auto"/>
            <w:tcBorders/>
          </w:tcPr>
          <w:p w14:paraId="5171254B">
            <w:pPr>
              <w:pStyle w:val="style4098"/>
              <w:jc w:val="left"/>
              <w:rPr/>
            </w:pPr>
            <w:r>
              <w:t>votequorum</w:t>
            </w:r>
            <w:r>
              <w:t xml:space="preserve"> </w:t>
            </w:r>
            <w:r>
              <w:rPr/>
              <w:fldChar w:fldCharType="begin"/>
            </w:r>
            <w:r>
              <w:instrText>NOTEREF _Ref_Footnote_31 \h \f</w:instrText>
            </w:r>
            <w:r>
              <w:rPr/>
              <w:fldChar w:fldCharType="separate"/>
            </w:r>
            <w:r>
              <w:rPr>
                <w:vertAlign w:val="superscript"/>
              </w:rPr>
              <w:t>31</w:t>
            </w:r>
            <w:r>
              <w:rPr/>
              <w:fldChar w:fldCharType="end"/>
            </w:r>
          </w:p>
        </w:tc>
        <w:tc>
          <w:tcPr>
            <w:tcW w:w="0" w:type="auto"/>
            <w:tcBorders/>
          </w:tcPr>
          <w:p w14:paraId="A8DA651B">
            <w:pPr>
              <w:pStyle w:val="style4098"/>
              <w:jc w:val="left"/>
              <w:rPr/>
            </w:pPr>
            <w:r>
              <w:t>Cowsql/etcd Raft</w:t>
            </w:r>
          </w:p>
        </w:tc>
        <w:tc>
          <w:tcPr>
            <w:tcW w:w="0" w:type="auto"/>
            <w:tcBorders/>
          </w:tcPr>
          <w:p w14:paraId="3BE7895A">
            <w:pPr>
              <w:pStyle w:val="style4098"/>
              <w:jc w:val="center"/>
              <w:rPr/>
            </w:pPr>
            <w:r>
              <w:t>🟢 对等</w:t>
            </w:r>
          </w:p>
        </w:tc>
        <w:tc>
          <w:tcPr>
            <w:tcW w:w="0" w:type="auto"/>
            <w:tcBorders/>
          </w:tcPr>
          <w:p w14:paraId="8A969020">
            <w:pPr>
              <w:pStyle w:val="style4098"/>
              <w:jc w:val="left"/>
              <w:rPr/>
            </w:pPr>
            <w:r>
              <w:t>技术路径清晰</w:t>
            </w:r>
          </w:p>
        </w:tc>
      </w:tr>
      <w:tr w14:paraId="3CA7131E">
        <w:tblPrEx/>
        <w:trPr/>
        <w:tc>
          <w:tcPr>
            <w:tcW w:w="0" w:type="auto"/>
            <w:tcBorders/>
          </w:tcPr>
          <w:p w14:paraId="A01E6953">
            <w:pPr>
              <w:pStyle w:val="style4098"/>
              <w:rPr/>
            </w:pPr>
          </w:p>
        </w:tc>
        <w:tc>
          <w:tcPr>
            <w:tcW w:w="0" w:type="auto"/>
            <w:tcBorders/>
          </w:tcPr>
          <w:p w14:paraId="28D13885">
            <w:pPr>
              <w:pStyle w:val="style4098"/>
              <w:jc w:val="left"/>
              <w:rPr/>
            </w:pPr>
            <w:r>
              <w:t>Live Migration</w:t>
            </w:r>
          </w:p>
        </w:tc>
        <w:tc>
          <w:tcPr>
            <w:tcW w:w="0" w:type="auto"/>
            <w:tcBorders/>
          </w:tcPr>
          <w:p w14:paraId="B35BAAA6">
            <w:pPr>
              <w:pStyle w:val="style4098"/>
              <w:jc w:val="left"/>
              <w:rPr/>
            </w:pPr>
            <w:r>
              <w:t>在线/离线/远程迁移</w:t>
            </w:r>
            <w:r>
              <w:t xml:space="preserve"> </w:t>
            </w:r>
            <w:r>
              <w:rPr/>
              <w:fldChar w:fldCharType="begin"/>
            </w:r>
            <w:r>
              <w:instrText>NOTEREF _Ref_Footnote_34 \h \f</w:instrText>
            </w:r>
            <w:r>
              <w:rPr/>
              <w:fldChar w:fldCharType="separate"/>
            </w:r>
            <w:r>
              <w:rPr>
                <w:vertAlign w:val="superscript"/>
              </w:rPr>
              <w:t>34</w:t>
            </w:r>
            <w:r>
              <w:rPr/>
              <w:fldChar w:fldCharType="end"/>
            </w:r>
          </w:p>
        </w:tc>
        <w:tc>
          <w:tcPr>
            <w:tcW w:w="0" w:type="auto"/>
            <w:tcBorders/>
          </w:tcPr>
          <w:p w14:paraId="81DDFEA1">
            <w:pPr>
              <w:pStyle w:val="style4098"/>
              <w:jc w:val="left"/>
              <w:rPr/>
            </w:pPr>
            <w:r>
              <w:t>需开发</w:t>
            </w:r>
          </w:p>
        </w:tc>
        <w:tc>
          <w:tcPr>
            <w:tcW w:w="0" w:type="auto"/>
            <w:tcBorders/>
          </w:tcPr>
          <w:p w14:paraId="A5D575CC">
            <w:pPr>
              <w:pStyle w:val="style4098"/>
              <w:jc w:val="center"/>
              <w:rPr/>
            </w:pPr>
            <w:r>
              <w:t>🟡 差距</w:t>
            </w:r>
          </w:p>
        </w:tc>
        <w:tc>
          <w:tcPr>
            <w:tcW w:w="0" w:type="auto"/>
            <w:tcBorders/>
          </w:tcPr>
          <w:p w14:paraId="F4E9248A">
            <w:pPr>
              <w:pStyle w:val="style4098"/>
              <w:jc w:val="left"/>
              <w:rPr/>
            </w:pPr>
            <w:r>
              <w:t>Phase 2-3 实现</w:t>
            </w:r>
          </w:p>
        </w:tc>
      </w:tr>
      <w:tr w14:paraId="2A7AED12">
        <w:tblPrEx/>
        <w:trPr/>
        <w:tc>
          <w:tcPr>
            <w:tcW w:w="0" w:type="auto"/>
            <w:tcBorders/>
          </w:tcPr>
          <w:p w14:paraId="4E20487E">
            <w:pPr>
              <w:pStyle w:val="style4098"/>
              <w:jc w:val="left"/>
              <w:rPr/>
            </w:pPr>
            <w:r>
              <w:rPr>
                <w:b/>
                <w:bCs/>
              </w:rPr>
              <w:t>监控告警</w:t>
            </w:r>
          </w:p>
        </w:tc>
        <w:tc>
          <w:tcPr>
            <w:tcW w:w="0" w:type="auto"/>
            <w:tcBorders/>
          </w:tcPr>
          <w:p w14:paraId="214593B3">
            <w:pPr>
              <w:pStyle w:val="style4098"/>
              <w:jc w:val="left"/>
              <w:rPr/>
            </w:pPr>
            <w:r>
              <w:t>内置监控</w:t>
            </w:r>
          </w:p>
        </w:tc>
        <w:tc>
          <w:tcPr>
            <w:tcW w:w="0" w:type="auto"/>
            <w:tcBorders/>
          </w:tcPr>
          <w:p w14:paraId="74F17F62">
            <w:pPr>
              <w:pStyle w:val="style4098"/>
              <w:jc w:val="left"/>
              <w:rPr/>
            </w:pPr>
            <w:r>
              <w:t>基础图表</w:t>
            </w:r>
            <w:r>
              <w:t xml:space="preserve"> </w:t>
            </w:r>
            <w:r>
              <w:rPr>
                <w:vertAlign w:val="superscript"/>
              </w:rPr>
              <w:footnoteReference w:id="257"/>
            </w:r>
          </w:p>
        </w:tc>
        <w:tc>
          <w:tcPr>
            <w:tcW w:w="0" w:type="auto"/>
            <w:tcBorders/>
          </w:tcPr>
          <w:p w14:paraId="18B3898D">
            <w:pPr>
              <w:pStyle w:val="style4098"/>
              <w:jc w:val="left"/>
              <w:rPr/>
            </w:pPr>
            <w:r>
              <w:t>Prometheus + Grafana</w:t>
            </w:r>
          </w:p>
        </w:tc>
        <w:tc>
          <w:tcPr>
            <w:tcW w:w="0" w:type="auto"/>
            <w:tcBorders/>
          </w:tcPr>
          <w:p w14:paraId="EAEF5225">
            <w:pPr>
              <w:pStyle w:val="style4098"/>
              <w:jc w:val="center"/>
              <w:rPr/>
            </w:pPr>
            <w:r>
              <w:t>✅ 超越</w:t>
            </w:r>
          </w:p>
        </w:tc>
        <w:tc>
          <w:tcPr>
            <w:tcW w:w="0" w:type="auto"/>
            <w:tcBorders/>
          </w:tcPr>
          <w:p w14:paraId="D34A7D95">
            <w:pPr>
              <w:pStyle w:val="style4098"/>
              <w:jc w:val="left"/>
              <w:rPr/>
            </w:pPr>
            <w:r>
              <w:t>生态更丰富</w:t>
            </w:r>
          </w:p>
        </w:tc>
      </w:tr>
      <w:tr w14:paraId="13F3486D">
        <w:tblPrEx/>
        <w:trPr/>
        <w:tc>
          <w:tcPr>
            <w:tcW w:w="0" w:type="auto"/>
            <w:tcBorders/>
          </w:tcPr>
          <w:p w14:paraId="1750F821">
            <w:pPr>
              <w:pStyle w:val="style4098"/>
              <w:rPr/>
            </w:pPr>
          </w:p>
        </w:tc>
        <w:tc>
          <w:tcPr>
            <w:tcW w:w="0" w:type="auto"/>
            <w:tcBorders/>
          </w:tcPr>
          <w:p w14:paraId="425833C2">
            <w:pPr>
              <w:pStyle w:val="style4098"/>
              <w:jc w:val="left"/>
              <w:rPr/>
            </w:pPr>
            <w:r>
              <w:t>外部集成</w:t>
            </w:r>
          </w:p>
        </w:tc>
        <w:tc>
          <w:tcPr>
            <w:tcW w:w="0" w:type="auto"/>
            <w:tcBorders/>
          </w:tcPr>
          <w:p w14:paraId="3D52CF5B">
            <w:pPr>
              <w:pStyle w:val="style4098"/>
              <w:jc w:val="left"/>
              <w:rPr/>
            </w:pPr>
            <w:r>
              <w:t>pve_exporter</w:t>
            </w:r>
            <w:r>
              <w:t xml:space="preserve"> </w:t>
            </w:r>
            <w:r>
              <w:rPr/>
              <w:fldChar w:fldCharType="begin"/>
            </w:r>
            <w:r>
              <w:instrText>NOTEREF _Ref_Footnote_36 \h \f</w:instrText>
            </w:r>
            <w:r>
              <w:rPr/>
              <w:fldChar w:fldCharType="separate"/>
            </w:r>
            <w:r>
              <w:rPr>
                <w:vertAlign w:val="superscript"/>
              </w:rPr>
              <w:t>36</w:t>
            </w:r>
            <w:r>
              <w:rPr/>
              <w:fldChar w:fldCharType="end"/>
            </w:r>
          </w:p>
        </w:tc>
        <w:tc>
          <w:tcPr>
            <w:tcW w:w="0" w:type="auto"/>
            <w:tcBorders/>
          </w:tcPr>
          <w:p w14:paraId="482B846E">
            <w:pPr>
              <w:pStyle w:val="style4098"/>
              <w:jc w:val="left"/>
              <w:rPr/>
            </w:pPr>
            <w:r>
              <w:t>原生 Prometheus 指标</w:t>
            </w:r>
          </w:p>
        </w:tc>
        <w:tc>
          <w:tcPr>
            <w:tcW w:w="0" w:type="auto"/>
            <w:tcBorders/>
          </w:tcPr>
          <w:p w14:paraId="AB694A33">
            <w:pPr>
              <w:pStyle w:val="style4098"/>
              <w:jc w:val="center"/>
              <w:rPr/>
            </w:pPr>
            <w:r>
              <w:t>✅ 超越</w:t>
            </w:r>
          </w:p>
        </w:tc>
        <w:tc>
          <w:tcPr>
            <w:tcW w:w="0" w:type="auto"/>
            <w:tcBorders/>
          </w:tcPr>
          <w:p w14:paraId="14508127">
            <w:pPr>
              <w:pStyle w:val="style4098"/>
              <w:jc w:val="left"/>
              <w:rPr/>
            </w:pPr>
            <w:r>
              <w:t>K8s 生态标准</w:t>
            </w:r>
          </w:p>
        </w:tc>
      </w:tr>
      <w:tr w14:paraId="41B00C37">
        <w:tblPrEx/>
        <w:trPr/>
        <w:tc>
          <w:tcPr>
            <w:tcW w:w="0" w:type="auto"/>
            <w:tcBorders/>
          </w:tcPr>
          <w:p w14:paraId="C84F46ED">
            <w:pPr>
              <w:pStyle w:val="style4098"/>
              <w:rPr/>
            </w:pPr>
          </w:p>
        </w:tc>
        <w:tc>
          <w:tcPr>
            <w:tcW w:w="0" w:type="auto"/>
            <w:tcBorders/>
          </w:tcPr>
          <w:p w14:paraId="92DEEEE7">
            <w:pPr>
              <w:pStyle w:val="style4098"/>
              <w:jc w:val="left"/>
              <w:rPr/>
            </w:pPr>
            <w:r>
              <w:t>告警系统</w:t>
            </w:r>
          </w:p>
        </w:tc>
        <w:tc>
          <w:tcPr>
            <w:tcW w:w="0" w:type="auto"/>
            <w:tcBorders/>
          </w:tcPr>
          <w:p w14:paraId="8D2F3368">
            <w:pPr>
              <w:pStyle w:val="style4098"/>
              <w:jc w:val="left"/>
              <w:rPr/>
            </w:pPr>
            <w:r>
              <w:t>基础</w:t>
            </w:r>
          </w:p>
        </w:tc>
        <w:tc>
          <w:tcPr>
            <w:tcW w:w="0" w:type="auto"/>
            <w:tcBorders/>
          </w:tcPr>
          <w:p w14:paraId="867A4BF1">
            <w:pPr>
              <w:pStyle w:val="style4098"/>
              <w:jc w:val="left"/>
              <w:rPr/>
            </w:pPr>
            <w:r>
              <w:t>Alertmanager</w:t>
            </w:r>
          </w:p>
        </w:tc>
        <w:tc>
          <w:tcPr>
            <w:tcW w:w="0" w:type="auto"/>
            <w:tcBorders/>
          </w:tcPr>
          <w:p w14:paraId="043A8049">
            <w:pPr>
              <w:pStyle w:val="style4098"/>
              <w:jc w:val="center"/>
              <w:rPr/>
            </w:pPr>
            <w:r>
              <w:t>🟢 对等</w:t>
            </w:r>
          </w:p>
        </w:tc>
        <w:tc>
          <w:tcPr>
            <w:tcW w:w="0" w:type="auto"/>
            <w:tcBorders/>
          </w:tcPr>
          <w:p w14:paraId="AAD427E9">
            <w:pPr>
              <w:pStyle w:val="style4098"/>
              <w:jc w:val="left"/>
              <w:rPr/>
            </w:pPr>
            <w:r>
              <w:t>—</w:t>
            </w:r>
          </w:p>
        </w:tc>
      </w:tr>
    </w:tbl>
    <w:p w14:paraId="A06C3DC1">
      <w:pPr>
        <w:pStyle w:val="style66"/>
        <w:rPr/>
      </w:pPr>
      <w:r>
        <w:t>对标矩阵的量化统计揭示了方案的整体竞争力轮廓：十个维度中，本方案在</w:t>
      </w:r>
      <w:r>
        <w:rPr>
          <w:b/>
          <w:bCs/>
        </w:rPr>
        <w:t>容器管理</w:t>
      </w:r>
      <w:r>
        <w:t>（VM 级隔离替代共享内核）和</w:t>
      </w:r>
      <w:r>
        <w:rPr>
          <w:b/>
          <w:bCs/>
        </w:rPr>
        <w:t>监控告警</w:t>
      </w:r>
      <w:r>
        <w:t>（云原生可观测性栈）两个维度实现超越；</w:t>
      </w:r>
      <w:r>
        <w:rPr>
          <w:b/>
          <w:bCs/>
        </w:rPr>
        <w:t>API 自动化</w:t>
      </w:r>
      <w:r>
        <w:t>、</w:t>
      </w:r>
      <w:r>
        <w:rPr>
          <w:b/>
          <w:bCs/>
        </w:rPr>
        <w:t>存储管理</w:t>
      </w:r>
      <w:r>
        <w:t>和</w:t>
      </w:r>
      <w:r>
        <w:rPr>
          <w:b/>
          <w:bCs/>
        </w:rPr>
        <w:t>网络功能</w:t>
      </w:r>
      <w:r>
        <w:t>三个维度达到基本对等，差距主要体现在工程集成量而非技术可行性；</w:t>
      </w:r>
      <w:r>
        <w:rPr>
          <w:b/>
          <w:bCs/>
        </w:rPr>
        <w:t>Web UI</w:t>
      </w:r>
      <w:r>
        <w:t>、</w:t>
      </w:r>
      <w:r>
        <w:rPr>
          <w:b/>
          <w:bCs/>
        </w:rPr>
        <w:t>HA 集群</w:t>
      </w:r>
      <w:r>
        <w:t>和</w:t>
      </w:r>
      <w:r>
        <w:rPr>
          <w:b/>
          <w:bCs/>
        </w:rPr>
        <w:t>备份恢复</w:t>
      </w:r>
      <w:r>
        <w:t>三个维度构成关键差距，需集中研发资源突破。</w:t>
      </w:r>
    </w:p>
    <w:bookmarkStart w:id="145" w:name="已有能力清单五大超越能力"/>
    <w:bookmarkEnd w:id="144"/>
    <w:p w14:paraId="F7C65362">
      <w:pPr>
        <w:pStyle w:val="style4104"/>
        <w:rPr/>
      </w:pPr>
      <w:r>
        <w:t>9.1.2 已有能力清单：五大超越能力</w:t>
      </w:r>
    </w:p>
    <w:p w14:paraId="58C8BC63">
      <w:pPr>
        <w:pStyle w:val="style4097"/>
        <w:rPr/>
      </w:pPr>
      <w:r>
        <w:t>对标分析不仅揭示差距，也确认了本方案相对 PVE 的五项差异化优势，这些优势构成产品的核心竞争力：</w:t>
      </w:r>
    </w:p>
    <w:p w14:paraId="BBF788A0">
      <w:pPr>
        <w:pStyle w:val="style66"/>
        <w:rPr/>
      </w:pPr>
      <w:r>
        <w:rPr>
          <w:b/>
          <w:bCs/>
        </w:rPr>
        <w:t>MicroVM 快速启动</w:t>
      </w:r>
      <w:r>
        <w:t>。CubeSandbox 基于资源池预置（Resource Pool Pre-provisioning）与写时复制（Copy-on-Write, CoW）快照克隆技术，实现 &lt;60 ms 冷启动（单并发）与 50 并发 P95=90 ms、P99=137 ms 的扩展性能 [^Dim01-80^]。PVE 基于 QEMU/KVM 的传统 VM 启动时间为秒级至分钟级，无 MicroVM 快速启动能力 [^Dim01-246^]。此能力直接支撑 AI Agent 代码执行、Serverless 函数等延迟敏感场景。</w:t>
      </w:r>
    </w:p>
    <w:p w14:paraId="B4F0C9FA">
      <w:pPr>
        <w:pStyle w:val="style66"/>
        <w:rPr/>
      </w:pPr>
      <w:r>
        <w:rPr>
          <w:b/>
          <w:bCs/>
        </w:rPr>
        <w:t>容器+VM 统一管理</w:t>
      </w:r>
      <w:r>
        <w:t>。Incus 提供统一的</w:t>
      </w:r>
      <w:r>
        <w:t xml:space="preserve"> </w:t>
      </w:r>
      <w:r>
        <w:rPr>
          <w:rStyle w:val="style4120"/>
        </w:rPr>
        <w:t>instances/</w:t>
      </w:r>
      <w:r>
        <w:t xml:space="preserve"> </w:t>
      </w:r>
      <w:r>
        <w:t>端点，以相同 API 管理 LXC 系统容器和 QEMU/KVM 完整虚拟机 [^Dim02-149^]。PVE 虽也支持 LXC+KVM 统一管理，但 LXC 使用</w:t>
      </w:r>
      <w:r>
        <w:t xml:space="preserve"> </w:t>
      </w:r>
      <w:r>
        <w:rPr>
          <w:rStyle w:val="style4120"/>
        </w:rPr>
        <w:t>pct</w:t>
      </w:r>
      <w:r>
        <w:t xml:space="preserve"> </w:t>
      </w:r>
      <w:r>
        <w:t>命令、KVM 使用</w:t>
      </w:r>
      <w:r>
        <w:t xml:space="preserve"> </w:t>
      </w:r>
      <w:r>
        <w:rPr>
          <w:rStyle w:val="style4120"/>
        </w:rPr>
        <w:t>qm</w:t>
      </w:r>
      <w:r>
        <w:t xml:space="preserve"> </w:t>
      </w:r>
      <w:r>
        <w:t>命令，API 端点分离</w:t>
      </w:r>
      <w:r>
        <w:t xml:space="preserve"> </w:t>
      </w:r>
      <w:r>
        <w:rPr/>
        <w:fldChar w:fldCharType="begin"/>
      </w:r>
      <w:r>
        <w:instrText>NOTEREF _Ref_Footnote_253 \h \f</w:instrText>
      </w:r>
      <w:r>
        <w:rPr/>
        <w:fldChar w:fldCharType="separate"/>
      </w:r>
      <w:r>
        <w:rPr>
          <w:vertAlign w:val="superscript"/>
        </w:rPr>
        <w:t>253</w:t>
      </w:r>
      <w:r>
        <w:rPr/>
        <w:fldChar w:fldCharType="end"/>
      </w:r>
      <w:r>
        <w:t xml:space="preserve"> </w:t>
      </w:r>
      <w:r>
        <w:rPr/>
        <w:fldChar w:fldCharType="begin"/>
      </w:r>
      <w:r>
        <w:instrText>NOTEREF _Ref_Footnote_246 \h \f</w:instrText>
      </w:r>
      <w:r>
        <w:rPr/>
        <w:fldChar w:fldCharType="separate"/>
      </w:r>
      <w:r>
        <w:rPr>
          <w:vertAlign w:val="superscript"/>
        </w:rPr>
        <w:t>246</w:t>
      </w:r>
      <w:r>
        <w:rPr/>
        <w:fldChar w:fldCharType="end"/>
      </w:r>
      <w:r>
        <w:t>。本方案通过 Incus 的实例抽象实现更深层次的统一，上层应用无需区分容器与 VM。</w:t>
      </w:r>
    </w:p>
    <w:p w14:paraId="0C9C17FB">
      <w:pPr>
        <w:pStyle w:val="style66"/>
        <w:rPr/>
      </w:pPr>
      <w:r>
        <w:rPr>
          <w:b/>
          <w:bCs/>
        </w:rPr>
        <w:t>Kubernetes 原生编排</w:t>
      </w:r>
      <w:r>
        <w:t>。三运行时通过 containerd Shim v2 + RuntimeClass 机制集成到 Kubernetes 控制平面 [^Dim01-76^] [^Dim03-105^] [^Dim06-19^]，VM 和容器均为 K8s 一等公民（KubeVirt CRD）。PVE 需额外部署完整的 K8s 集群方可实现容器编排，且 PVE 的 HA 机制与 K8s 调度器互不感知。本方案的统一编排层使 VM 可享用 Pod 自动重启、HPA 水平扩缩容、滚动更新等原生能力 [^Dim06-19^]。</w:t>
      </w:r>
    </w:p>
    <w:p w14:paraId="18545C1A">
      <w:pPr>
        <w:pStyle w:val="style66"/>
        <w:rPr/>
      </w:pPr>
      <w:r>
        <w:rPr>
          <w:b/>
          <w:bCs/>
        </w:rPr>
        <w:t>eBPF 高性能网络</w:t>
      </w:r>
      <w:r>
        <w:t>。CubeVS 基于 eBPF/XDP 实现 MicroVM 虚拟交换机，单核包转发率达 24 Mpps [^Dim01-170^]；Cilium 替代 iptables 实现 O(1) 查找、2-5 μs 转发延迟 [^Dim07-24^]。PVE 使用传统 Linux Bridge + iptables，包转发延迟为 50-200 μs [^Dim07-232^]。eBPF 网络栈的性能优势在高密度多租户场景中尤为显著。</w:t>
      </w:r>
    </w:p>
    <w:p w14:paraId="B54C7658">
      <w:pPr>
        <w:pStyle w:val="style66"/>
        <w:rPr/>
      </w:pPr>
      <w:r>
        <w:rPr>
          <w:b/>
          <w:bCs/>
        </w:rPr>
        <w:t>等保 2.0 合规</w:t>
      </w:r>
      <w:r>
        <w:t>。中国等保 2.0 标准明确要求使用安全容器运行时实现内核级强隔离 [^Dim09-535^] [^Dim09-538^]。本方案基于 KVM MicroVM 的隔离级别等效于 Kata Containers，每个实例拥有独立的 Guest Kernel，共享内核攻击无法穿透 [^Dim01-76^] [^Dim03-311^]。PVE 的 LXC 容器共享宿主机内核，不满足等保要求；PVE 的 KVM VM 虽满足等保但无云原生容器生态。</w:t>
      </w:r>
      <w:r>
        <w:t>“</w:t>
      </w:r>
      <w:r>
        <w:t>等保合规 + K8s 原生</w:t>
      </w:r>
      <w:r>
        <w:t>”</w:t>
      </w:r>
      <w:r>
        <w:t>的双属性在中国市场构成独特竞争壁垒 [洞察#9^]。</w:t>
      </w:r>
    </w:p>
    <w:bookmarkStart w:id="146" w:name="能力差距优先级"/>
    <w:bookmarkEnd w:id="145"/>
    <w:p w14:paraId="88624459">
      <w:pPr>
        <w:pStyle w:val="style4104"/>
        <w:rPr/>
      </w:pPr>
      <w:r>
        <w:t>9.1.3 能力差距优先级</w:t>
      </w:r>
    </w:p>
    <w:p w14:paraId="0E4CA4C4">
      <w:pPr>
        <w:pStyle w:val="style4097"/>
        <w:rPr/>
      </w:pPr>
      <w:r>
        <w:t>基于对标矩阵的差距分析，结合企业用户需求的紧迫度和技术实现复杂度，将功能差距划分为三个优先级（P0/P1/P2）并分配预估工期：</w:t>
      </w:r>
    </w:p>
    <w:p w14:paraId="672B9185">
      <w:pPr>
        <w:pStyle w:val="style66"/>
        <w:rPr/>
      </w:pPr>
      <w:r>
        <w:rPr>
          <w:b/>
          <w:bCs/>
        </w:rPr>
        <w:t>P0 关键差距（阻塞生产部署）</w:t>
      </w:r>
      <w:r>
        <w:t>：</w:t>
      </w:r>
    </w:p>
    <w:p w14:paraId="8603D028">
      <w:pPr>
        <w:pStyle w:val="style4098"/>
        <w:numPr>
          <w:ilvl w:val="0"/>
          <w:numId w:val="1"/>
        </w:numPr>
        <w:rPr/>
      </w:pPr>
      <w:r>
        <w:rPr>
          <w:b/>
          <w:bCs/>
        </w:rPr>
        <w:t>RBAC 权限系统（3-6 个月）</w:t>
      </w:r>
      <w:r>
        <w:t>：PVE 提供基于 Users/Groups/Roles/Pools 的细粒度 RBAC</w:t>
      </w:r>
      <w:r>
        <w:t xml:space="preserve"> </w:t>
      </w:r>
      <w:r>
        <w:rPr/>
        <w:fldChar w:fldCharType="begin"/>
      </w:r>
      <w:r>
        <w:instrText>NOTEREF _Ref_Footnote_35 \h \f</w:instrText>
      </w:r>
      <w:r>
        <w:rPr/>
        <w:fldChar w:fldCharType="separate"/>
      </w:r>
      <w:r>
        <w:rPr>
          <w:vertAlign w:val="superscript"/>
        </w:rPr>
        <w:t>35</w:t>
      </w:r>
      <w:r>
        <w:rPr/>
        <w:fldChar w:fldCharType="end"/>
      </w:r>
      <w:r>
        <w:t>，本方案需基于 Kubernetes RBAC 扩展，集成 Incus Project 隔离机制。此功能为等保合规的多租户基础，优先级最高。</w:t>
      </w:r>
    </w:p>
    <w:p w14:paraId="278E617B">
      <w:pPr>
        <w:pStyle w:val="style4098"/>
        <w:numPr>
          <w:ilvl w:val="0"/>
          <w:numId w:val="1"/>
        </w:numPr>
        <w:rPr/>
      </w:pPr>
      <w:r>
        <w:rPr>
          <w:b/>
          <w:bCs/>
        </w:rPr>
        <w:t>Web UI（6-9 个月）</w:t>
      </w:r>
      <w:r>
        <w:t>：PVE 的 ExtJS 管理界面经过 15 年以上迭代，功能覆盖 VM/容器全生命周期管理、远程控制台、资源监控等</w:t>
      </w:r>
      <w:r>
        <w:t xml:space="preserve"> </w:t>
      </w:r>
      <w:r>
        <w:rPr/>
        <w:fldChar w:fldCharType="begin"/>
      </w:r>
      <w:r>
        <w:instrText>NOTEREF _Ref_Footnote_30 \h \f</w:instrText>
      </w:r>
      <w:r>
        <w:rPr/>
        <w:fldChar w:fldCharType="separate"/>
      </w:r>
      <w:r>
        <w:rPr>
          <w:vertAlign w:val="superscript"/>
        </w:rPr>
        <w:t>30</w:t>
      </w:r>
      <w:r>
        <w:rPr/>
        <w:fldChar w:fldCharType="end"/>
      </w:r>
      <w:r>
        <w:t xml:space="preserve"> </w:t>
      </w:r>
      <w:r>
        <w:rPr/>
        <w:fldChar w:fldCharType="begin"/>
      </w:r>
      <w:r>
        <w:instrText>NOTEREF _Ref_Footnote_251 \h \f</w:instrText>
      </w:r>
      <w:r>
        <w:rPr/>
        <w:fldChar w:fldCharType="separate"/>
      </w:r>
      <w:r>
        <w:rPr>
          <w:vertAlign w:val="superscript"/>
        </w:rPr>
        <w:t>251</w:t>
      </w:r>
      <w:r>
        <w:rPr/>
        <w:fldChar w:fldCharType="end"/>
      </w:r>
      <w:r>
        <w:t>。本方案需从零构建现代化 Web UI，建议采用 Vue/React 框架，优先实现核心功能（仪表盘、实例列表、vConsole、基本 CRUD），预估消耗 40% 研发资源 [^Dim11-1182^]。</w:t>
      </w:r>
    </w:p>
    <w:p w14:paraId="B3AE046B">
      <w:pPr>
        <w:pStyle w:val="style4098"/>
        <w:numPr>
          <w:ilvl w:val="0"/>
          <w:numId w:val="1"/>
        </w:numPr>
        <w:rPr/>
      </w:pPr>
      <w:r>
        <w:rPr>
          <w:b/>
          <w:bCs/>
        </w:rPr>
        <w:t>集群 HA（6-12 个月）</w:t>
      </w:r>
      <w:r>
        <w:t>：PVE 的 pve-ha-manager 提供 Watchdog 监控、自动故障转移和存储感知 HA</w:t>
      </w:r>
      <w:r>
        <w:t xml:space="preserve"> </w:t>
      </w:r>
      <w:r>
        <w:rPr/>
        <w:fldChar w:fldCharType="begin"/>
      </w:r>
      <w:r>
        <w:instrText>NOTEREF _Ref_Footnote_31 \h \f</w:instrText>
      </w:r>
      <w:r>
        <w:rPr/>
        <w:fldChar w:fldCharType="separate"/>
      </w:r>
      <w:r>
        <w:rPr>
          <w:vertAlign w:val="superscript"/>
        </w:rPr>
        <w:t>31</w:t>
      </w:r>
      <w:r>
        <w:rPr/>
        <w:fldChar w:fldCharType="end"/>
      </w:r>
      <w:r>
        <w:t>，是本方案与 PVE 差距最大的领域之一。建议分阶段实现：先 Watchdog + 手动故障转移，再自动 HA。预估消耗 25% 研发资源。</w:t>
      </w:r>
    </w:p>
    <w:p w14:paraId="0373D4FC">
      <w:pPr>
        <w:pStyle w:val="style4097"/>
        <w:rPr/>
      </w:pPr>
      <w:r>
        <w:rPr>
          <w:b/>
          <w:bCs/>
        </w:rPr>
        <w:t>P1 重要差距（影响竞争力）</w:t>
      </w:r>
      <w:r>
        <w:t>：</w:t>
      </w:r>
    </w:p>
    <w:p w14:paraId="D750BBFC">
      <w:pPr>
        <w:pStyle w:val="style4098"/>
        <w:numPr>
          <w:ilvl w:val="0"/>
          <w:numId w:val="3"/>
        </w:numPr>
        <w:rPr/>
      </w:pPr>
      <w:r>
        <w:rPr>
          <w:b/>
          <w:bCs/>
        </w:rPr>
        <w:t>SDN 网络（3-9 个月）</w:t>
      </w:r>
      <w:r>
        <w:t>：PVE 支持 Simple/VLAN/VXLAN/EVPN 四种 Zone 类型</w:t>
      </w:r>
      <w:r>
        <w:t xml:space="preserve"> </w:t>
      </w:r>
      <w:r>
        <w:rPr/>
        <w:fldChar w:fldCharType="begin"/>
      </w:r>
      <w:r>
        <w:instrText>NOTEREF _Ref_Footnote_32 \h \f</w:instrText>
      </w:r>
      <w:r>
        <w:rPr/>
        <w:fldChar w:fldCharType="separate"/>
      </w:r>
      <w:r>
        <w:rPr>
          <w:vertAlign w:val="superscript"/>
        </w:rPr>
        <w:t>32</w:t>
      </w:r>
      <w:r>
        <w:rPr/>
        <w:fldChar w:fldCharType="end"/>
      </w:r>
      <w:r>
        <w:t xml:space="preserve"> </w:t>
      </w:r>
      <w:r>
        <w:rPr/>
        <w:fldChar w:fldCharType="begin"/>
      </w:r>
      <w:r>
        <w:instrText>NOTEREF _Ref_Footnote_200 \h \f</w:instrText>
      </w:r>
      <w:r>
        <w:rPr/>
        <w:fldChar w:fldCharType="separate"/>
      </w:r>
      <w:r>
        <w:rPr>
          <w:vertAlign w:val="superscript"/>
        </w:rPr>
        <w:t>200</w:t>
      </w:r>
      <w:r>
        <w:rPr/>
        <w:fldChar w:fldCharType="end"/>
      </w:r>
      <w:r>
        <w:t>。本方案需渐进建设：基础 VLAN（M1-M3）→ OVN SDN（M4-M6）→ Cilium 高级网络策略（M7-M9）[^Dim02-357^]。</w:t>
      </w:r>
    </w:p>
    <w:p w14:paraId="BE5AB87F">
      <w:pPr>
        <w:pStyle w:val="style4098"/>
        <w:numPr>
          <w:ilvl w:val="0"/>
          <w:numId w:val="3"/>
        </w:numPr>
        <w:rPr/>
      </w:pPr>
      <w:r>
        <w:rPr>
          <w:b/>
          <w:bCs/>
        </w:rPr>
        <w:t>备份系统（3-6 个月）</w:t>
      </w:r>
      <w:r>
        <w:t>：PVE 的 Proxmox Backup Server（PBS）提供内容定义分块（CDC）去重，达 6-12x 存储效率</w:t>
      </w:r>
      <w:r>
        <w:t xml:space="preserve"> </w:t>
      </w:r>
      <w:r>
        <w:rPr/>
        <w:fldChar w:fldCharType="begin"/>
      </w:r>
      <w:r>
        <w:instrText>NOTEREF _Ref_Footnote_256 \h \f</w:instrText>
      </w:r>
      <w:r>
        <w:rPr/>
        <w:fldChar w:fldCharType="separate"/>
      </w:r>
      <w:r>
        <w:rPr>
          <w:vertAlign w:val="superscript"/>
        </w:rPr>
        <w:t>256</w:t>
      </w:r>
      <w:r>
        <w:rPr/>
        <w:fldChar w:fldCharType="end"/>
      </w:r>
      <w:r>
        <w:t>。本方案先集成 restic/borgbackup 实现基础增量备份，再自研去重引擎。</w:t>
      </w:r>
    </w:p>
    <w:p w14:paraId="FCCBF09B">
      <w:pPr>
        <w:pStyle w:val="style4098"/>
        <w:numPr>
          <w:ilvl w:val="0"/>
          <w:numId w:val="3"/>
        </w:numPr>
        <w:rPr/>
      </w:pPr>
      <w:r>
        <w:rPr>
          <w:b/>
          <w:bCs/>
        </w:rPr>
        <w:t>LDAP/AD 集成（1-3 个月）</w:t>
      </w:r>
      <w:r>
        <w:t>：标准 OAuth2/LDAP 协议集成，技术路径成熟。</w:t>
      </w:r>
    </w:p>
    <w:p w14:paraId="939592BC">
      <w:pPr>
        <w:pStyle w:val="style4098"/>
        <w:numPr>
          <w:ilvl w:val="0"/>
          <w:numId w:val="3"/>
        </w:numPr>
        <w:rPr/>
      </w:pPr>
      <w:r>
        <w:rPr>
          <w:b/>
          <w:bCs/>
        </w:rPr>
        <w:t>Terraform Provider（1-2 个月）</w:t>
      </w:r>
      <w:r>
        <w:t>：基于 Incus Go SDK 开发，社区需求明确。</w:t>
      </w:r>
    </w:p>
    <w:p w14:paraId="1FCD7FB9">
      <w:pPr>
        <w:pStyle w:val="style4097"/>
        <w:rPr/>
      </w:pPr>
      <w:r>
        <w:rPr>
          <w:b/>
          <w:bCs/>
        </w:rPr>
        <w:t>P2 增强功能（提升体验）</w:t>
      </w:r>
      <w:r>
        <w:t>：审计日志增强、多语言支持、高级调度算法、AIOps 智能运维。</w:t>
      </w:r>
    </w:p>
    <w:bookmarkStart w:id="147" w:name="实施路线图"/>
    <w:bookmarkEnd w:id="146"/>
    <w:bookmarkEnd w:id="143"/>
    <w:p w14:paraId="DCBF2CF5">
      <w:pPr>
        <w:pStyle w:val="style4103"/>
        <w:rPr/>
      </w:pPr>
      <w:r>
        <w:t>9.2 实施路线图</w:t>
      </w:r>
    </w:p>
    <w:p w14:paraId="97A4E139">
      <w:pPr>
        <w:pStyle w:val="style4097"/>
        <w:rPr/>
      </w:pPr>
      <w:r>
        <w:t>基于差距优先级分析，制定 12 个月四阶段实施路线图（图 9-1）。各阶段设置明确的里程碑（Milestone），每个里程碑对应可交付的产品版本。</w:t>
      </w:r>
    </w:p>
    <w:p w14:paraId="BC140E7E">
      <w:pPr>
        <w:pStyle w:val="style4118"/>
        <w:rPr/>
      </w:pPr>
      <w:r>
        <w:rPr/>
        <w:drawing>
          <wp:inline distL="0" distT="0" distB="0" distR="0">
            <wp:extent cx="5334000" cy="3786101"/>
            <wp:effectExtent l="0" t="0" r="0" b="0"/>
            <wp:docPr id="1046" name="Picture" descr="图 9-1 CubeSandbox 平台实施路线图"/>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3" cstate="print"/>
                    <a:srcRect l="0" t="0" r="0" b="0"/>
                    <a:stretch/>
                  </pic:blipFill>
                  <pic:spPr>
                    <a:xfrm rot="0">
                      <a:off x="0" y="0"/>
                      <a:ext cx="5334000" cy="3786101"/>
                    </a:xfrm>
                    <a:prstGeom prst="rect"/>
                    <a:ln>
                      <a:noFill/>
                    </a:ln>
                  </pic:spPr>
                </pic:pic>
              </a:graphicData>
            </a:graphic>
          </wp:inline>
        </w:drawing>
      </w:r>
    </w:p>
    <w:p w14:paraId="0C72DB4E">
      <w:pPr>
        <w:pStyle w:val="style4116"/>
        <w:rPr/>
      </w:pPr>
      <w:r>
        <w:t>图 9-1 CubeSandbox 平台实施路线图</w:t>
      </w:r>
    </w:p>
    <w:p w14:paraId="DF258693">
      <w:pPr>
        <w:pStyle w:val="style66"/>
        <w:rPr/>
      </w:pPr>
      <w:r>
        <w:rPr>
          <w:b/>
          <w:bCs/>
        </w:rPr>
        <w:t>表 9-2 四阶段实施路线图</w:t>
      </w:r>
    </w:p>
    <w:tbl>
      <w:tblPr>
        <w:tblStyle w:val="style4111"/>
        <w:tblW w:w="5000" w:type="pct"/>
        <w:tblLook w:val="0020" w:firstRow="1" w:lastRow="0" w:firstColumn="0" w:lastColumn="0" w:noHBand="0" w:noVBand="0"/>
      </w:tblPr>
      <w:tblGrid>
        <w:gridCol w:w="903"/>
        <w:gridCol w:w="708"/>
        <w:gridCol w:w="964"/>
        <w:gridCol w:w="1947"/>
        <w:gridCol w:w="2606"/>
        <w:gridCol w:w="790"/>
      </w:tblGrid>
      <w:tr w14:paraId="4F35ECBD">
        <w:trPr>
          <w:tblHeader/>
        </w:trPr>
        <w:tc>
          <w:tcPr>
            <w:tcW w:w="0" w:type="auto"/>
            <w:tcBorders/>
          </w:tcPr>
          <w:p w14:paraId="9913E088">
            <w:pPr>
              <w:pStyle w:val="style4098"/>
              <w:jc w:val="left"/>
              <w:rPr/>
            </w:pPr>
            <w:r>
              <w:t>阶段</w:t>
            </w:r>
          </w:p>
        </w:tc>
        <w:tc>
          <w:tcPr>
            <w:tcW w:w="0" w:type="auto"/>
            <w:tcBorders/>
          </w:tcPr>
          <w:p w14:paraId="3A8A5828">
            <w:pPr>
              <w:pStyle w:val="style4098"/>
              <w:jc w:val="left"/>
              <w:rPr/>
            </w:pPr>
            <w:r>
              <w:t>时间</w:t>
            </w:r>
          </w:p>
        </w:tc>
        <w:tc>
          <w:tcPr>
            <w:tcW w:w="0" w:type="auto"/>
            <w:tcBorders/>
          </w:tcPr>
          <w:p w14:paraId="584972A0">
            <w:pPr>
              <w:pStyle w:val="style4098"/>
              <w:jc w:val="left"/>
              <w:rPr/>
            </w:pPr>
            <w:r>
              <w:t>核心目标</w:t>
            </w:r>
          </w:p>
        </w:tc>
        <w:tc>
          <w:tcPr>
            <w:tcW w:w="0" w:type="auto"/>
            <w:tcBorders/>
          </w:tcPr>
          <w:p w14:paraId="92F6AD49">
            <w:pPr>
              <w:pStyle w:val="style4098"/>
              <w:jc w:val="left"/>
              <w:rPr/>
            </w:pPr>
            <w:r>
              <w:t>关键交付物</w:t>
            </w:r>
          </w:p>
        </w:tc>
        <w:tc>
          <w:tcPr>
            <w:tcW w:w="0" w:type="auto"/>
            <w:tcBorders/>
          </w:tcPr>
          <w:p w14:paraId="13093833">
            <w:pPr>
              <w:pStyle w:val="style4098"/>
              <w:jc w:val="left"/>
              <w:rPr/>
            </w:pPr>
            <w:r>
              <w:t>技术选型</w:t>
            </w:r>
          </w:p>
        </w:tc>
        <w:tc>
          <w:tcPr>
            <w:tcW w:w="0" w:type="auto"/>
            <w:tcBorders/>
          </w:tcPr>
          <w:p w14:paraId="355E15A3">
            <w:pPr>
              <w:pStyle w:val="style4098"/>
              <w:jc w:val="center"/>
              <w:rPr/>
            </w:pPr>
            <w:r>
              <w:t>里程碑</w:t>
            </w:r>
          </w:p>
        </w:tc>
      </w:tr>
      <w:tr w14:paraId="C95FA722">
        <w:tblPrEx/>
        <w:trPr/>
        <w:tc>
          <w:tcPr>
            <w:tcW w:w="0" w:type="auto"/>
            <w:tcBorders/>
          </w:tcPr>
          <w:p w14:paraId="7FC8A557">
            <w:pPr>
              <w:pStyle w:val="style4098"/>
              <w:jc w:val="left"/>
              <w:rPr/>
            </w:pPr>
            <w:r>
              <w:rPr>
                <w:b/>
                <w:bCs/>
              </w:rPr>
              <w:t>Phase 1</w:t>
            </w:r>
          </w:p>
        </w:tc>
        <w:tc>
          <w:tcPr>
            <w:tcW w:w="0" w:type="auto"/>
            <w:tcBorders/>
          </w:tcPr>
          <w:p w14:paraId="B071603D">
            <w:pPr>
              <w:pStyle w:val="style4098"/>
              <w:jc w:val="left"/>
              <w:rPr/>
            </w:pPr>
            <w:r>
              <w:t>M1-M3</w:t>
            </w:r>
          </w:p>
        </w:tc>
        <w:tc>
          <w:tcPr>
            <w:tcW w:w="0" w:type="auto"/>
            <w:tcBorders/>
          </w:tcPr>
          <w:p w14:paraId="967CF46C">
            <w:pPr>
              <w:pStyle w:val="style4098"/>
              <w:jc w:val="left"/>
              <w:rPr/>
            </w:pPr>
            <w:r>
              <w:t>核心运行时集成</w:t>
            </w:r>
          </w:p>
        </w:tc>
        <w:tc>
          <w:tcPr>
            <w:tcW w:w="0" w:type="auto"/>
            <w:tcBorders/>
          </w:tcPr>
          <w:p w14:paraId="A4EA8D46">
            <w:pPr>
              <w:pStyle w:val="style4098"/>
              <w:jc w:val="left"/>
              <w:rPr/>
            </w:pPr>
            <w:r>
              <w:t>CubeSandbox + Kata + containerd 统一运行</w:t>
            </w:r>
          </w:p>
        </w:tc>
        <w:tc>
          <w:tcPr>
            <w:tcW w:w="0" w:type="auto"/>
            <w:tcBorders/>
          </w:tcPr>
          <w:p w14:paraId="25EFD64D">
            <w:pPr>
              <w:pStyle w:val="style4098"/>
              <w:jc w:val="left"/>
              <w:rPr/>
            </w:pPr>
            <w:r>
              <w:t>CubeHypervisor (Cloud HV fork) [^Dim01-6^], Kata 3.x [^Dim03-32^], containerd 1.7+</w:t>
            </w:r>
          </w:p>
        </w:tc>
        <w:tc>
          <w:tcPr>
            <w:tcW w:w="0" w:type="auto"/>
            <w:tcBorders/>
          </w:tcPr>
          <w:p w14:paraId="9A04A9F8">
            <w:pPr>
              <w:pStyle w:val="style4098"/>
              <w:jc w:val="center"/>
              <w:rPr/>
            </w:pPr>
            <w:r>
              <w:t>M3 MVP</w:t>
            </w:r>
          </w:p>
        </w:tc>
      </w:tr>
      <w:tr w14:paraId="9D334EED">
        <w:tblPrEx/>
        <w:trPr/>
        <w:tc>
          <w:tcPr>
            <w:tcW w:w="0" w:type="auto"/>
            <w:tcBorders/>
          </w:tcPr>
          <w:p w14:paraId="6E27E3F4">
            <w:pPr>
              <w:pStyle w:val="style4098"/>
              <w:rPr/>
            </w:pPr>
          </w:p>
        </w:tc>
        <w:tc>
          <w:tcPr>
            <w:tcW w:w="0" w:type="auto"/>
            <w:tcBorders/>
          </w:tcPr>
          <w:p w14:paraId="978667F5">
            <w:pPr>
              <w:pStyle w:val="style4098"/>
              <w:rPr/>
            </w:pPr>
          </w:p>
        </w:tc>
        <w:tc>
          <w:tcPr>
            <w:tcW w:w="0" w:type="auto"/>
            <w:tcBorders/>
          </w:tcPr>
          <w:p w14:paraId="EFA7E69D">
            <w:pPr>
              <w:pStyle w:val="style4098"/>
              <w:jc w:val="left"/>
              <w:rPr/>
            </w:pPr>
            <w:r>
              <w:t>基础网络</w:t>
            </w:r>
          </w:p>
        </w:tc>
        <w:tc>
          <w:tcPr>
            <w:tcW w:w="0" w:type="auto"/>
            <w:tcBorders/>
          </w:tcPr>
          <w:p w14:paraId="E68A3B88">
            <w:pPr>
              <w:pStyle w:val="style4098"/>
              <w:jc w:val="left"/>
              <w:rPr/>
            </w:pPr>
            <w:r>
              <w:t>Cilium CNI 部署，Pod 网络互通</w:t>
            </w:r>
          </w:p>
        </w:tc>
        <w:tc>
          <w:tcPr>
            <w:tcW w:w="0" w:type="auto"/>
            <w:tcBorders/>
          </w:tcPr>
          <w:p w14:paraId="7A92D0C7">
            <w:pPr>
              <w:pStyle w:val="style4098"/>
              <w:jc w:val="left"/>
              <w:rPr/>
            </w:pPr>
            <w:r>
              <w:t>Cilium 1.15+ (eBPF) [^Dim07-18^], BGP/VXLAN</w:t>
            </w:r>
          </w:p>
        </w:tc>
        <w:tc>
          <w:tcPr>
            <w:tcW w:w="0" w:type="auto"/>
            <w:tcBorders/>
          </w:tcPr>
          <w:p w14:paraId="E7C43344">
            <w:pPr>
              <w:pStyle w:val="style4098"/>
              <w:rPr/>
            </w:pPr>
          </w:p>
        </w:tc>
      </w:tr>
      <w:tr w14:paraId="EB95589D">
        <w:tblPrEx/>
        <w:trPr/>
        <w:tc>
          <w:tcPr>
            <w:tcW w:w="0" w:type="auto"/>
            <w:tcBorders/>
          </w:tcPr>
          <w:p w14:paraId="66C002DC">
            <w:pPr>
              <w:pStyle w:val="style4098"/>
              <w:rPr/>
            </w:pPr>
          </w:p>
        </w:tc>
        <w:tc>
          <w:tcPr>
            <w:tcW w:w="0" w:type="auto"/>
            <w:tcBorders/>
          </w:tcPr>
          <w:p w14:paraId="0731D163">
            <w:pPr>
              <w:pStyle w:val="style4098"/>
              <w:rPr/>
            </w:pPr>
          </w:p>
        </w:tc>
        <w:tc>
          <w:tcPr>
            <w:tcW w:w="0" w:type="auto"/>
            <w:tcBorders/>
          </w:tcPr>
          <w:p w14:paraId="7443B5C1">
            <w:pPr>
              <w:pStyle w:val="style4098"/>
              <w:jc w:val="left"/>
              <w:rPr/>
            </w:pPr>
            <w:r>
              <w:t>基础存储</w:t>
            </w:r>
          </w:p>
        </w:tc>
        <w:tc>
          <w:tcPr>
            <w:tcW w:w="0" w:type="auto"/>
            <w:tcBorders/>
          </w:tcPr>
          <w:p w14:paraId="F9DC9D2E">
            <w:pPr>
              <w:pStyle w:val="style4098"/>
              <w:jc w:val="left"/>
              <w:rPr/>
            </w:pPr>
            <w:r>
              <w:t>ZFS/LVM 本地存储池</w:t>
            </w:r>
          </w:p>
        </w:tc>
        <w:tc>
          <w:tcPr>
            <w:tcW w:w="0" w:type="auto"/>
            <w:tcBorders/>
          </w:tcPr>
          <w:p w14:paraId="3AE1B478">
            <w:pPr>
              <w:pStyle w:val="style4098"/>
              <w:jc w:val="left"/>
              <w:rPr/>
            </w:pPr>
            <w:r>
              <w:t>ZFS 2.2+ [^Dim02-271^], LVM-thin</w:t>
            </w:r>
          </w:p>
        </w:tc>
        <w:tc>
          <w:tcPr>
            <w:tcW w:w="0" w:type="auto"/>
            <w:tcBorders/>
          </w:tcPr>
          <w:p w14:paraId="4E0DCABF">
            <w:pPr>
              <w:pStyle w:val="style4098"/>
              <w:rPr/>
            </w:pPr>
          </w:p>
        </w:tc>
      </w:tr>
      <w:tr w14:paraId="2D81C09D">
        <w:tblPrEx/>
        <w:trPr/>
        <w:tc>
          <w:tcPr>
            <w:tcW w:w="0" w:type="auto"/>
            <w:tcBorders/>
          </w:tcPr>
          <w:p w14:paraId="72E33695">
            <w:pPr>
              <w:pStyle w:val="style4098"/>
              <w:rPr/>
            </w:pPr>
          </w:p>
        </w:tc>
        <w:tc>
          <w:tcPr>
            <w:tcW w:w="0" w:type="auto"/>
            <w:tcBorders/>
          </w:tcPr>
          <w:p w14:paraId="321CC421">
            <w:pPr>
              <w:pStyle w:val="style4098"/>
              <w:rPr/>
            </w:pPr>
          </w:p>
        </w:tc>
        <w:tc>
          <w:tcPr>
            <w:tcW w:w="0" w:type="auto"/>
            <w:tcBorders/>
          </w:tcPr>
          <w:p w14:paraId="E407A83E">
            <w:pPr>
              <w:pStyle w:val="style4098"/>
              <w:jc w:val="left"/>
              <w:rPr/>
            </w:pPr>
            <w:r>
              <w:t>单节点验证</w:t>
            </w:r>
          </w:p>
        </w:tc>
        <w:tc>
          <w:tcPr>
            <w:tcW w:w="0" w:type="auto"/>
            <w:tcBorders/>
          </w:tcPr>
          <w:p w14:paraId="634CFDD4">
            <w:pPr>
              <w:pStyle w:val="style4098"/>
              <w:jc w:val="left"/>
              <w:rPr/>
            </w:pPr>
            <w:r>
              <w:t>功能/性能/稳定性基线</w:t>
            </w:r>
          </w:p>
        </w:tc>
        <w:tc>
          <w:tcPr>
            <w:tcW w:w="0" w:type="auto"/>
            <w:tcBorders/>
          </w:tcPr>
          <w:p w14:paraId="884B2895">
            <w:pPr>
              <w:pStyle w:val="style4098"/>
              <w:jc w:val="left"/>
              <w:rPr/>
            </w:pPr>
            <w:r>
              <w:t>pytest 自动化测试, k6 负载测试</w:t>
            </w:r>
          </w:p>
        </w:tc>
        <w:tc>
          <w:tcPr>
            <w:tcW w:w="0" w:type="auto"/>
            <w:tcBorders/>
          </w:tcPr>
          <w:p w14:paraId="C12A6DC9">
            <w:pPr>
              <w:pStyle w:val="style4098"/>
              <w:rPr/>
            </w:pPr>
          </w:p>
        </w:tc>
      </w:tr>
      <w:tr w14:paraId="52A9D4AE">
        <w:tblPrEx/>
        <w:trPr/>
        <w:tc>
          <w:tcPr>
            <w:tcW w:w="0" w:type="auto"/>
            <w:tcBorders/>
          </w:tcPr>
          <w:p w14:paraId="27015215">
            <w:pPr>
              <w:pStyle w:val="style4098"/>
              <w:jc w:val="left"/>
              <w:rPr/>
            </w:pPr>
            <w:r>
              <w:rPr>
                <w:b/>
                <w:bCs/>
              </w:rPr>
              <w:t>Phase 2</w:t>
            </w:r>
          </w:p>
        </w:tc>
        <w:tc>
          <w:tcPr>
            <w:tcW w:w="0" w:type="auto"/>
            <w:tcBorders/>
          </w:tcPr>
          <w:p w14:paraId="7CD465AC">
            <w:pPr>
              <w:pStyle w:val="style4098"/>
              <w:jc w:val="left"/>
              <w:rPr/>
            </w:pPr>
            <w:r>
              <w:t>M4-M6</w:t>
            </w:r>
          </w:p>
        </w:tc>
        <w:tc>
          <w:tcPr>
            <w:tcW w:w="0" w:type="auto"/>
            <w:tcBorders/>
          </w:tcPr>
          <w:p w14:paraId="0B01A15B">
            <w:pPr>
              <w:pStyle w:val="style4098"/>
              <w:jc w:val="left"/>
              <w:rPr/>
            </w:pPr>
            <w:r>
              <w:t>Incus 集群集成</w:t>
            </w:r>
          </w:p>
        </w:tc>
        <w:tc>
          <w:tcPr>
            <w:tcW w:w="0" w:type="auto"/>
            <w:tcBorders/>
          </w:tcPr>
          <w:p w14:paraId="F14B059B">
            <w:pPr>
              <w:pStyle w:val="style4098"/>
              <w:jc w:val="left"/>
              <w:rPr/>
            </w:pPr>
            <w:r>
              <w:t>容器+VM 统一管理层</w:t>
            </w:r>
          </w:p>
        </w:tc>
        <w:tc>
          <w:tcPr>
            <w:tcW w:w="0" w:type="auto"/>
            <w:tcBorders/>
          </w:tcPr>
          <w:p w14:paraId="31591628">
            <w:pPr>
              <w:pStyle w:val="style4098"/>
              <w:jc w:val="left"/>
              <w:rPr/>
            </w:pPr>
            <w:r>
              <w:t>Incus 6.x [^Dim02-109^], Cowsql/dqlite [^Dim02-109^]</w:t>
            </w:r>
          </w:p>
        </w:tc>
        <w:tc>
          <w:tcPr>
            <w:tcW w:w="0" w:type="auto"/>
            <w:tcBorders/>
          </w:tcPr>
          <w:p w14:paraId="1EE4AB17">
            <w:pPr>
              <w:pStyle w:val="style4098"/>
              <w:jc w:val="center"/>
              <w:rPr/>
            </w:pPr>
            <w:r>
              <w:t>M6 集群就绪</w:t>
            </w:r>
          </w:p>
        </w:tc>
      </w:tr>
      <w:tr w14:paraId="2CD22444">
        <w:tblPrEx/>
        <w:trPr/>
        <w:tc>
          <w:tcPr>
            <w:tcW w:w="0" w:type="auto"/>
            <w:tcBorders/>
          </w:tcPr>
          <w:p w14:paraId="5EED4726">
            <w:pPr>
              <w:pStyle w:val="style4098"/>
              <w:rPr/>
            </w:pPr>
          </w:p>
        </w:tc>
        <w:tc>
          <w:tcPr>
            <w:tcW w:w="0" w:type="auto"/>
            <w:tcBorders/>
          </w:tcPr>
          <w:p w14:paraId="3576375C">
            <w:pPr>
              <w:pStyle w:val="style4098"/>
              <w:rPr/>
            </w:pPr>
          </w:p>
        </w:tc>
        <w:tc>
          <w:tcPr>
            <w:tcW w:w="0" w:type="auto"/>
            <w:tcBorders/>
          </w:tcPr>
          <w:p w14:paraId="438B0B5D">
            <w:pPr>
              <w:pStyle w:val="style4098"/>
              <w:jc w:val="left"/>
              <w:rPr/>
            </w:pPr>
            <w:r>
              <w:t>分布式数据库</w:t>
            </w:r>
          </w:p>
        </w:tc>
        <w:tc>
          <w:tcPr>
            <w:tcW w:w="0" w:type="auto"/>
            <w:tcBorders/>
          </w:tcPr>
          <w:p w14:paraId="58331312">
            <w:pPr>
              <w:pStyle w:val="style4098"/>
              <w:jc w:val="left"/>
              <w:rPr/>
            </w:pPr>
            <w:r>
              <w:t>集群状态强一致同步</w:t>
            </w:r>
          </w:p>
        </w:tc>
        <w:tc>
          <w:tcPr>
            <w:tcW w:w="0" w:type="auto"/>
            <w:tcBorders/>
          </w:tcPr>
          <w:p w14:paraId="6026D1A9">
            <w:pPr>
              <w:pStyle w:val="style4098"/>
              <w:jc w:val="left"/>
              <w:rPr/>
            </w:pPr>
            <w:r>
              <w:t>Cowsql (Raft 共识) [^Dim12-516^]</w:t>
            </w:r>
          </w:p>
        </w:tc>
        <w:tc>
          <w:tcPr>
            <w:tcW w:w="0" w:type="auto"/>
            <w:tcBorders/>
          </w:tcPr>
          <w:p w14:paraId="FA69E8A9">
            <w:pPr>
              <w:pStyle w:val="style4098"/>
              <w:rPr/>
            </w:pPr>
          </w:p>
        </w:tc>
      </w:tr>
      <w:tr w14:paraId="C693B741">
        <w:tblPrEx/>
        <w:trPr/>
        <w:tc>
          <w:tcPr>
            <w:tcW w:w="0" w:type="auto"/>
            <w:tcBorders/>
          </w:tcPr>
          <w:p w14:paraId="666671A4">
            <w:pPr>
              <w:pStyle w:val="style4098"/>
              <w:rPr/>
            </w:pPr>
          </w:p>
        </w:tc>
        <w:tc>
          <w:tcPr>
            <w:tcW w:w="0" w:type="auto"/>
            <w:tcBorders/>
          </w:tcPr>
          <w:p w14:paraId="21070422">
            <w:pPr>
              <w:pStyle w:val="style4098"/>
              <w:rPr/>
            </w:pPr>
          </w:p>
        </w:tc>
        <w:tc>
          <w:tcPr>
            <w:tcW w:w="0" w:type="auto"/>
            <w:tcBorders/>
          </w:tcPr>
          <w:p w14:paraId="2E2086A1">
            <w:pPr>
              <w:pStyle w:val="style4098"/>
              <w:jc w:val="left"/>
              <w:rPr/>
            </w:pPr>
            <w:r>
              <w:t>SDN 网络</w:t>
            </w:r>
          </w:p>
        </w:tc>
        <w:tc>
          <w:tcPr>
            <w:tcW w:w="0" w:type="auto"/>
            <w:tcBorders/>
          </w:tcPr>
          <w:p w14:paraId="87A112C9">
            <w:pPr>
              <w:pStyle w:val="style4098"/>
              <w:jc w:val="left"/>
              <w:rPr/>
            </w:pPr>
            <w:r>
              <w:t>多租户网络隔离</w:t>
            </w:r>
          </w:p>
        </w:tc>
        <w:tc>
          <w:tcPr>
            <w:tcW w:w="0" w:type="auto"/>
            <w:tcBorders/>
          </w:tcPr>
          <w:p w14:paraId="2E0ED5BA">
            <w:pPr>
              <w:pStyle w:val="style4098"/>
              <w:jc w:val="left"/>
              <w:rPr/>
            </w:pPr>
            <w:r>
              <w:t>OVN 24.03 [^Dim02-357^]</w:t>
            </w:r>
          </w:p>
        </w:tc>
        <w:tc>
          <w:tcPr>
            <w:tcW w:w="0" w:type="auto"/>
            <w:tcBorders/>
          </w:tcPr>
          <w:p w14:paraId="1CCD1698">
            <w:pPr>
              <w:pStyle w:val="style4098"/>
              <w:rPr/>
            </w:pPr>
          </w:p>
        </w:tc>
      </w:tr>
      <w:tr w14:paraId="63095C02">
        <w:tblPrEx/>
        <w:trPr/>
        <w:tc>
          <w:tcPr>
            <w:tcW w:w="0" w:type="auto"/>
            <w:tcBorders/>
          </w:tcPr>
          <w:p w14:paraId="36D5262D">
            <w:pPr>
              <w:pStyle w:val="style4098"/>
              <w:rPr/>
            </w:pPr>
          </w:p>
        </w:tc>
        <w:tc>
          <w:tcPr>
            <w:tcW w:w="0" w:type="auto"/>
            <w:tcBorders/>
          </w:tcPr>
          <w:p w14:paraId="54295E2C">
            <w:pPr>
              <w:pStyle w:val="style4098"/>
              <w:rPr/>
            </w:pPr>
          </w:p>
        </w:tc>
        <w:tc>
          <w:tcPr>
            <w:tcW w:w="0" w:type="auto"/>
            <w:tcBorders/>
          </w:tcPr>
          <w:p w14:paraId="20537660">
            <w:pPr>
              <w:pStyle w:val="style4098"/>
              <w:jc w:val="left"/>
              <w:rPr/>
            </w:pPr>
            <w:r>
              <w:t>基础 Web UI</w:t>
            </w:r>
          </w:p>
        </w:tc>
        <w:tc>
          <w:tcPr>
            <w:tcW w:w="0" w:type="auto"/>
            <w:tcBorders/>
          </w:tcPr>
          <w:p w14:paraId="B7C9ACB0">
            <w:pPr>
              <w:pStyle w:val="style4098"/>
              <w:jc w:val="left"/>
              <w:rPr/>
            </w:pPr>
            <w:r>
              <w:t>核心管理功能</w:t>
            </w:r>
          </w:p>
        </w:tc>
        <w:tc>
          <w:tcPr>
            <w:tcW w:w="0" w:type="auto"/>
            <w:tcBorders/>
          </w:tcPr>
          <w:p w14:paraId="AF155471">
            <w:pPr>
              <w:pStyle w:val="style4098"/>
              <w:jc w:val="left"/>
              <w:rPr/>
            </w:pPr>
            <w:r>
              <w:t>Vue 3 + Vite, noVNC</w:t>
            </w:r>
            <w:r>
              <w:t xml:space="preserve"> </w:t>
            </w:r>
            <w:r>
              <w:rPr/>
              <w:fldChar w:fldCharType="begin"/>
            </w:r>
            <w:r>
              <w:instrText>NOTEREF _Ref_Footnote_251 \h \f</w:instrText>
            </w:r>
            <w:r>
              <w:rPr/>
              <w:fldChar w:fldCharType="separate"/>
            </w:r>
            <w:r>
              <w:rPr>
                <w:vertAlign w:val="superscript"/>
              </w:rPr>
              <w:t>251</w:t>
            </w:r>
            <w:r>
              <w:rPr/>
              <w:fldChar w:fldCharType="end"/>
            </w:r>
          </w:p>
        </w:tc>
        <w:tc>
          <w:tcPr>
            <w:tcW w:w="0" w:type="auto"/>
            <w:tcBorders/>
          </w:tcPr>
          <w:p w14:paraId="8A32FEB2">
            <w:pPr>
              <w:pStyle w:val="style4098"/>
              <w:rPr/>
            </w:pPr>
          </w:p>
        </w:tc>
      </w:tr>
      <w:tr w14:paraId="262E5857">
        <w:tblPrEx/>
        <w:trPr/>
        <w:tc>
          <w:tcPr>
            <w:tcW w:w="0" w:type="auto"/>
            <w:tcBorders/>
          </w:tcPr>
          <w:p w14:paraId="3F3FFD44">
            <w:pPr>
              <w:pStyle w:val="style4098"/>
              <w:rPr/>
            </w:pPr>
          </w:p>
        </w:tc>
        <w:tc>
          <w:tcPr>
            <w:tcW w:w="0" w:type="auto"/>
            <w:tcBorders/>
          </w:tcPr>
          <w:p w14:paraId="5BE69554">
            <w:pPr>
              <w:pStyle w:val="style4098"/>
              <w:rPr/>
            </w:pPr>
          </w:p>
        </w:tc>
        <w:tc>
          <w:tcPr>
            <w:tcW w:w="0" w:type="auto"/>
            <w:tcBorders/>
          </w:tcPr>
          <w:p w14:paraId="21E7C312">
            <w:pPr>
              <w:pStyle w:val="style4098"/>
              <w:jc w:val="left"/>
              <w:rPr/>
            </w:pPr>
            <w:r>
              <w:t>迁移能力</w:t>
            </w:r>
          </w:p>
        </w:tc>
        <w:tc>
          <w:tcPr>
            <w:tcW w:w="0" w:type="auto"/>
            <w:tcBorders/>
          </w:tcPr>
          <w:p w14:paraId="763191EF">
            <w:pPr>
              <w:pStyle w:val="style4098"/>
              <w:jc w:val="left"/>
              <w:rPr/>
            </w:pPr>
            <w:r>
              <w:t>容器/VM 跨节点迁移</w:t>
            </w:r>
          </w:p>
        </w:tc>
        <w:tc>
          <w:tcPr>
            <w:tcW w:w="0" w:type="auto"/>
            <w:tcBorders/>
          </w:tcPr>
          <w:p w14:paraId="F006A319">
            <w:pPr>
              <w:pStyle w:val="style4098"/>
              <w:jc w:val="left"/>
              <w:rPr/>
            </w:pPr>
            <w:r>
              <w:t>Incus live migration</w:t>
            </w:r>
          </w:p>
        </w:tc>
        <w:tc>
          <w:tcPr>
            <w:tcW w:w="0" w:type="auto"/>
            <w:tcBorders/>
          </w:tcPr>
          <w:p w14:paraId="20089EDB">
            <w:pPr>
              <w:pStyle w:val="style4098"/>
              <w:rPr/>
            </w:pPr>
          </w:p>
        </w:tc>
      </w:tr>
      <w:tr w14:paraId="D6C62235">
        <w:tblPrEx/>
        <w:trPr/>
        <w:tc>
          <w:tcPr>
            <w:tcW w:w="0" w:type="auto"/>
            <w:tcBorders/>
          </w:tcPr>
          <w:p w14:paraId="B4457538">
            <w:pPr>
              <w:pStyle w:val="style4098"/>
              <w:jc w:val="left"/>
              <w:rPr/>
            </w:pPr>
            <w:r>
              <w:rPr>
                <w:b/>
                <w:bCs/>
              </w:rPr>
              <w:t>Phase 3</w:t>
            </w:r>
          </w:p>
        </w:tc>
        <w:tc>
          <w:tcPr>
            <w:tcW w:w="0" w:type="auto"/>
            <w:tcBorders/>
          </w:tcPr>
          <w:p w14:paraId="8A5C3A6B">
            <w:pPr>
              <w:pStyle w:val="style4098"/>
              <w:jc w:val="left"/>
              <w:rPr/>
            </w:pPr>
            <w:r>
              <w:t>M7-M9</w:t>
            </w:r>
          </w:p>
        </w:tc>
        <w:tc>
          <w:tcPr>
            <w:tcW w:w="0" w:type="auto"/>
            <w:tcBorders/>
          </w:tcPr>
          <w:p w14:paraId="5ACD2618">
            <w:pPr>
              <w:pStyle w:val="style4098"/>
              <w:jc w:val="left"/>
              <w:rPr/>
            </w:pPr>
            <w:r>
              <w:t>RBAC + LDAP</w:t>
            </w:r>
          </w:p>
        </w:tc>
        <w:tc>
          <w:tcPr>
            <w:tcW w:w="0" w:type="auto"/>
            <w:tcBorders/>
          </w:tcPr>
          <w:p w14:paraId="F9ABC128">
            <w:pPr>
              <w:pStyle w:val="style4098"/>
              <w:jc w:val="left"/>
              <w:rPr/>
            </w:pPr>
            <w:r>
              <w:t>多租户权限与认证</w:t>
            </w:r>
          </w:p>
        </w:tc>
        <w:tc>
          <w:tcPr>
            <w:tcW w:w="0" w:type="auto"/>
            <w:tcBorders/>
          </w:tcPr>
          <w:p w14:paraId="E9E96FD5">
            <w:pPr>
              <w:pStyle w:val="style4098"/>
              <w:jc w:val="left"/>
              <w:rPr/>
            </w:pPr>
            <w:r>
              <w:t>K8s RBAC 扩展, Keycloak/OAuth2</w:t>
            </w:r>
          </w:p>
        </w:tc>
        <w:tc>
          <w:tcPr>
            <w:tcW w:w="0" w:type="auto"/>
            <w:tcBorders/>
          </w:tcPr>
          <w:p w14:paraId="ACEA5612">
            <w:pPr>
              <w:pStyle w:val="style4098"/>
              <w:jc w:val="center"/>
              <w:rPr/>
            </w:pPr>
            <w:r>
              <w:t>M9 企业就绪</w:t>
            </w:r>
          </w:p>
        </w:tc>
      </w:tr>
      <w:tr w14:paraId="ABA91978">
        <w:tblPrEx/>
        <w:trPr/>
        <w:tc>
          <w:tcPr>
            <w:tcW w:w="0" w:type="auto"/>
            <w:tcBorders/>
          </w:tcPr>
          <w:p w14:paraId="D704613C">
            <w:pPr>
              <w:pStyle w:val="style4098"/>
              <w:rPr/>
            </w:pPr>
          </w:p>
        </w:tc>
        <w:tc>
          <w:tcPr>
            <w:tcW w:w="0" w:type="auto"/>
            <w:tcBorders/>
          </w:tcPr>
          <w:p w14:paraId="92F0D97F">
            <w:pPr>
              <w:pStyle w:val="style4098"/>
              <w:rPr/>
            </w:pPr>
          </w:p>
        </w:tc>
        <w:tc>
          <w:tcPr>
            <w:tcW w:w="0" w:type="auto"/>
            <w:tcBorders/>
          </w:tcPr>
          <w:p w14:paraId="DD0F8595">
            <w:pPr>
              <w:pStyle w:val="style4098"/>
              <w:jc w:val="left"/>
              <w:rPr/>
            </w:pPr>
            <w:r>
              <w:t>HA 故障转移</w:t>
            </w:r>
          </w:p>
        </w:tc>
        <w:tc>
          <w:tcPr>
            <w:tcW w:w="0" w:type="auto"/>
            <w:tcBorders/>
          </w:tcPr>
          <w:p w14:paraId="38CFCD3D">
            <w:pPr>
              <w:pStyle w:val="style4098"/>
              <w:jc w:val="left"/>
              <w:rPr/>
            </w:pPr>
            <w:r>
              <w:t>VM 级自动故障转移</w:t>
            </w:r>
          </w:p>
        </w:tc>
        <w:tc>
          <w:tcPr>
            <w:tcW w:w="0" w:type="auto"/>
            <w:tcBorders/>
          </w:tcPr>
          <w:p w14:paraId="186693AA">
            <w:pPr>
              <w:pStyle w:val="style4098"/>
              <w:jc w:val="left"/>
              <w:rPr/>
            </w:pPr>
            <w:r>
              <w:t>Pacemaker + Corosync [^Dim12-490^], STONITH [^Dim12-517^]</w:t>
            </w:r>
          </w:p>
        </w:tc>
        <w:tc>
          <w:tcPr>
            <w:tcW w:w="0" w:type="auto"/>
            <w:tcBorders/>
          </w:tcPr>
          <w:p w14:paraId="2DD25512">
            <w:pPr>
              <w:pStyle w:val="style4098"/>
              <w:rPr/>
            </w:pPr>
          </w:p>
        </w:tc>
      </w:tr>
      <w:tr w14:paraId="0B5EFF80">
        <w:tblPrEx/>
        <w:trPr/>
        <w:tc>
          <w:tcPr>
            <w:tcW w:w="0" w:type="auto"/>
            <w:tcBorders/>
          </w:tcPr>
          <w:p w14:paraId="C8127833">
            <w:pPr>
              <w:pStyle w:val="style4098"/>
              <w:rPr/>
            </w:pPr>
          </w:p>
        </w:tc>
        <w:tc>
          <w:tcPr>
            <w:tcW w:w="0" w:type="auto"/>
            <w:tcBorders/>
          </w:tcPr>
          <w:p w14:paraId="FE4CA489">
            <w:pPr>
              <w:pStyle w:val="style4098"/>
              <w:rPr/>
            </w:pPr>
          </w:p>
        </w:tc>
        <w:tc>
          <w:tcPr>
            <w:tcW w:w="0" w:type="auto"/>
            <w:tcBorders/>
          </w:tcPr>
          <w:p w14:paraId="BB2DACB1">
            <w:pPr>
              <w:pStyle w:val="style4098"/>
              <w:jc w:val="left"/>
              <w:rPr/>
            </w:pPr>
            <w:r>
              <w:t>备份系统</w:t>
            </w:r>
          </w:p>
        </w:tc>
        <w:tc>
          <w:tcPr>
            <w:tcW w:w="0" w:type="auto"/>
            <w:tcBorders/>
          </w:tcPr>
          <w:p w14:paraId="046425BE">
            <w:pPr>
              <w:pStyle w:val="style4098"/>
              <w:jc w:val="left"/>
              <w:rPr/>
            </w:pPr>
            <w:r>
              <w:t>增量备份与恢复</w:t>
            </w:r>
          </w:p>
        </w:tc>
        <w:tc>
          <w:tcPr>
            <w:tcW w:w="0" w:type="auto"/>
            <w:tcBorders/>
          </w:tcPr>
          <w:p w14:paraId="8AD774D3">
            <w:pPr>
              <w:pStyle w:val="style4098"/>
              <w:jc w:val="left"/>
              <w:rPr/>
            </w:pPr>
            <w:r>
              <w:t>restic 0.16 + 自研调度器</w:t>
            </w:r>
          </w:p>
        </w:tc>
        <w:tc>
          <w:tcPr>
            <w:tcW w:w="0" w:type="auto"/>
            <w:tcBorders/>
          </w:tcPr>
          <w:p w14:paraId="AA4BDBDD">
            <w:pPr>
              <w:pStyle w:val="style4098"/>
              <w:rPr/>
            </w:pPr>
          </w:p>
        </w:tc>
      </w:tr>
      <w:tr w14:paraId="483B538B">
        <w:tblPrEx/>
        <w:trPr/>
        <w:tc>
          <w:tcPr>
            <w:tcW w:w="0" w:type="auto"/>
            <w:tcBorders/>
          </w:tcPr>
          <w:p w14:paraId="08ACAB8D">
            <w:pPr>
              <w:pStyle w:val="style4098"/>
              <w:rPr/>
            </w:pPr>
          </w:p>
        </w:tc>
        <w:tc>
          <w:tcPr>
            <w:tcW w:w="0" w:type="auto"/>
            <w:tcBorders/>
          </w:tcPr>
          <w:p w14:paraId="7DEDD705">
            <w:pPr>
              <w:pStyle w:val="style4098"/>
              <w:rPr/>
            </w:pPr>
          </w:p>
        </w:tc>
        <w:tc>
          <w:tcPr>
            <w:tcW w:w="0" w:type="auto"/>
            <w:tcBorders/>
          </w:tcPr>
          <w:p w14:paraId="76220980">
            <w:pPr>
              <w:pStyle w:val="style4098"/>
              <w:jc w:val="left"/>
              <w:rPr/>
            </w:pPr>
            <w:r>
              <w:t>IaC 集成</w:t>
            </w:r>
          </w:p>
        </w:tc>
        <w:tc>
          <w:tcPr>
            <w:tcW w:w="0" w:type="auto"/>
            <w:tcBorders/>
          </w:tcPr>
          <w:p w14:paraId="FE1F9E51">
            <w:pPr>
              <w:pStyle w:val="style4098"/>
              <w:jc w:val="left"/>
              <w:rPr/>
            </w:pPr>
            <w:r>
              <w:t>基础设施即代码</w:t>
            </w:r>
          </w:p>
        </w:tc>
        <w:tc>
          <w:tcPr>
            <w:tcW w:w="0" w:type="auto"/>
            <w:tcBorders/>
          </w:tcPr>
          <w:p w14:paraId="B9CB2DBB">
            <w:pPr>
              <w:pStyle w:val="style4098"/>
              <w:jc w:val="left"/>
              <w:rPr/>
            </w:pPr>
            <w:r>
              <w:t>Terraform Provider (Incus SDK)</w:t>
            </w:r>
            <w:r>
              <w:t xml:space="preserve"> </w:t>
            </w:r>
            <w:r>
              <w:rPr/>
              <w:fldChar w:fldCharType="begin"/>
            </w:r>
            <w:r>
              <w:instrText>NOTEREF _Ref_Footnote_254 \h \f</w:instrText>
            </w:r>
            <w:r>
              <w:rPr/>
              <w:fldChar w:fldCharType="separate"/>
            </w:r>
            <w:r>
              <w:rPr>
                <w:vertAlign w:val="superscript"/>
              </w:rPr>
              <w:t>254</w:t>
            </w:r>
            <w:r>
              <w:rPr/>
              <w:fldChar w:fldCharType="end"/>
            </w:r>
          </w:p>
        </w:tc>
        <w:tc>
          <w:tcPr>
            <w:tcW w:w="0" w:type="auto"/>
            <w:tcBorders/>
          </w:tcPr>
          <w:p w14:paraId="4A82F10D">
            <w:pPr>
              <w:pStyle w:val="style4098"/>
              <w:rPr/>
            </w:pPr>
          </w:p>
        </w:tc>
      </w:tr>
      <w:tr w14:paraId="F44B473F">
        <w:tblPrEx/>
        <w:trPr/>
        <w:tc>
          <w:tcPr>
            <w:tcW w:w="0" w:type="auto"/>
            <w:tcBorders/>
          </w:tcPr>
          <w:p w14:paraId="5836DBB4">
            <w:pPr>
              <w:pStyle w:val="style4098"/>
              <w:rPr/>
            </w:pPr>
          </w:p>
        </w:tc>
        <w:tc>
          <w:tcPr>
            <w:tcW w:w="0" w:type="auto"/>
            <w:tcBorders/>
          </w:tcPr>
          <w:p w14:paraId="E4233D72">
            <w:pPr>
              <w:pStyle w:val="style4098"/>
              <w:rPr/>
            </w:pPr>
          </w:p>
        </w:tc>
        <w:tc>
          <w:tcPr>
            <w:tcW w:w="0" w:type="auto"/>
            <w:tcBorders/>
          </w:tcPr>
          <w:p w14:paraId="0AC50ACC">
            <w:pPr>
              <w:pStyle w:val="style4098"/>
              <w:jc w:val="left"/>
              <w:rPr/>
            </w:pPr>
            <w:r>
              <w:t>监控告警</w:t>
            </w:r>
          </w:p>
        </w:tc>
        <w:tc>
          <w:tcPr>
            <w:tcW w:w="0" w:type="auto"/>
            <w:tcBorders/>
          </w:tcPr>
          <w:p w14:paraId="019C6B34">
            <w:pPr>
              <w:pStyle w:val="style4098"/>
              <w:jc w:val="left"/>
              <w:rPr/>
            </w:pPr>
            <w:r>
              <w:t>企业级可观测性</w:t>
            </w:r>
          </w:p>
        </w:tc>
        <w:tc>
          <w:tcPr>
            <w:tcW w:w="0" w:type="auto"/>
            <w:tcBorders/>
          </w:tcPr>
          <w:p w14:paraId="74D26BE3">
            <w:pPr>
              <w:pStyle w:val="style4098"/>
              <w:jc w:val="left"/>
              <w:rPr/>
            </w:pPr>
            <w:r>
              <w:t>Prometheus + Grafana + Alertmanager</w:t>
            </w:r>
            <w:r>
              <w:t xml:space="preserve"> </w:t>
            </w:r>
            <w:r>
              <w:rPr/>
              <w:fldChar w:fldCharType="begin"/>
            </w:r>
            <w:r>
              <w:instrText>NOTEREF _Ref_Footnote_36 \h \f</w:instrText>
            </w:r>
            <w:r>
              <w:rPr/>
              <w:fldChar w:fldCharType="separate"/>
            </w:r>
            <w:r>
              <w:rPr>
                <w:vertAlign w:val="superscript"/>
              </w:rPr>
              <w:t>36</w:t>
            </w:r>
            <w:r>
              <w:rPr/>
              <w:fldChar w:fldCharType="end"/>
            </w:r>
          </w:p>
        </w:tc>
        <w:tc>
          <w:tcPr>
            <w:tcW w:w="0" w:type="auto"/>
            <w:tcBorders/>
          </w:tcPr>
          <w:p w14:paraId="2D530655">
            <w:pPr>
              <w:pStyle w:val="style4098"/>
              <w:rPr/>
            </w:pPr>
          </w:p>
        </w:tc>
      </w:tr>
      <w:tr w14:paraId="FD5E47C4">
        <w:tblPrEx/>
        <w:trPr/>
        <w:tc>
          <w:tcPr>
            <w:tcW w:w="0" w:type="auto"/>
            <w:tcBorders/>
          </w:tcPr>
          <w:p w14:paraId="BF94672C">
            <w:pPr>
              <w:pStyle w:val="style4098"/>
              <w:jc w:val="left"/>
              <w:rPr/>
            </w:pPr>
            <w:r>
              <w:rPr>
                <w:b/>
                <w:bCs/>
              </w:rPr>
              <w:t>Phase 4</w:t>
            </w:r>
          </w:p>
        </w:tc>
        <w:tc>
          <w:tcPr>
            <w:tcW w:w="0" w:type="auto"/>
            <w:tcBorders/>
          </w:tcPr>
          <w:p w14:paraId="0FFB9871">
            <w:pPr>
              <w:pStyle w:val="style4098"/>
              <w:jc w:val="left"/>
              <w:rPr/>
            </w:pPr>
            <w:r>
              <w:t>M10-M12</w:t>
            </w:r>
          </w:p>
        </w:tc>
        <w:tc>
          <w:tcPr>
            <w:tcW w:w="0" w:type="auto"/>
            <w:tcBorders/>
          </w:tcPr>
          <w:p w14:paraId="CDD9F16E">
            <w:pPr>
              <w:pStyle w:val="style4098"/>
              <w:jc w:val="left"/>
              <w:rPr/>
            </w:pPr>
            <w:r>
              <w:t>MSHV 加速器</w:t>
            </w:r>
          </w:p>
        </w:tc>
        <w:tc>
          <w:tcPr>
            <w:tcW w:w="0" w:type="auto"/>
            <w:tcBorders/>
          </w:tcPr>
          <w:p w14:paraId="345B9AFA">
            <w:pPr>
              <w:pStyle w:val="style4098"/>
              <w:jc w:val="left"/>
              <w:rPr/>
            </w:pPr>
            <w:r>
              <w:t>Windows 宿主混合虚拟化</w:t>
            </w:r>
          </w:p>
        </w:tc>
        <w:tc>
          <w:tcPr>
            <w:tcW w:w="0" w:type="auto"/>
            <w:tcBorders/>
          </w:tcPr>
          <w:p w14:paraId="7AC3BA6D">
            <w:pPr>
              <w:pStyle w:val="style4098"/>
              <w:jc w:val="left"/>
              <w:rPr/>
            </w:pPr>
            <w:r>
              <w:t>QEMU 10.2+</w:t>
            </w:r>
            <w:r>
              <w:t xml:space="preserve"> </w:t>
            </w:r>
            <w:r>
              <w:rPr>
                <w:rStyle w:val="style4120"/>
              </w:rPr>
              <w:t>-accel mshv</w:t>
            </w:r>
            <w:r>
              <w:t xml:space="preserve"> </w:t>
            </w:r>
            <w:r>
              <w:t>[^Dim04-212^]</w:t>
            </w:r>
          </w:p>
        </w:tc>
        <w:tc>
          <w:tcPr>
            <w:tcW w:w="0" w:type="auto"/>
            <w:tcBorders/>
          </w:tcPr>
          <w:p w14:paraId="AAB5DA87">
            <w:pPr>
              <w:pStyle w:val="style4098"/>
              <w:jc w:val="center"/>
              <w:rPr/>
            </w:pPr>
            <w:r>
              <w:t>M12 GA</w:t>
            </w:r>
          </w:p>
        </w:tc>
      </w:tr>
      <w:tr w14:paraId="B5F29563">
        <w:tblPrEx/>
        <w:trPr/>
        <w:tc>
          <w:tcPr>
            <w:tcW w:w="0" w:type="auto"/>
            <w:tcBorders/>
          </w:tcPr>
          <w:p w14:paraId="6EEE4DE8">
            <w:pPr>
              <w:pStyle w:val="style4098"/>
              <w:rPr/>
            </w:pPr>
          </w:p>
        </w:tc>
        <w:tc>
          <w:tcPr>
            <w:tcW w:w="0" w:type="auto"/>
            <w:tcBorders/>
          </w:tcPr>
          <w:p w14:paraId="F8005F95">
            <w:pPr>
              <w:pStyle w:val="style4098"/>
              <w:rPr/>
            </w:pPr>
          </w:p>
        </w:tc>
        <w:tc>
          <w:tcPr>
            <w:tcW w:w="0" w:type="auto"/>
            <w:tcBorders/>
          </w:tcPr>
          <w:p w14:paraId="64BB74A6">
            <w:pPr>
              <w:pStyle w:val="style4098"/>
              <w:jc w:val="left"/>
              <w:rPr/>
            </w:pPr>
            <w:r>
              <w:t>TEE 机密计算</w:t>
            </w:r>
          </w:p>
        </w:tc>
        <w:tc>
          <w:tcPr>
            <w:tcW w:w="0" w:type="auto"/>
            <w:tcBorders/>
          </w:tcPr>
          <w:p w14:paraId="14BD95C1">
            <w:pPr>
              <w:pStyle w:val="style4098"/>
              <w:jc w:val="left"/>
              <w:rPr/>
            </w:pPr>
            <w:r>
              <w:t>硬件级安全隔离</w:t>
            </w:r>
          </w:p>
        </w:tc>
        <w:tc>
          <w:tcPr>
            <w:tcW w:w="0" w:type="auto"/>
            <w:tcBorders/>
          </w:tcPr>
          <w:p w14:paraId="F6C68728">
            <w:pPr>
              <w:pStyle w:val="style4098"/>
              <w:jc w:val="left"/>
              <w:rPr/>
            </w:pPr>
            <w:r>
              <w:t>CoCo + Intel TDX/AMD SEV [^Dim03-102^]</w:t>
            </w:r>
          </w:p>
        </w:tc>
        <w:tc>
          <w:tcPr>
            <w:tcW w:w="0" w:type="auto"/>
            <w:tcBorders/>
          </w:tcPr>
          <w:p w14:paraId="657EABD0">
            <w:pPr>
              <w:pStyle w:val="style4098"/>
              <w:rPr/>
            </w:pPr>
          </w:p>
        </w:tc>
      </w:tr>
      <w:tr w14:paraId="6444424D">
        <w:tblPrEx/>
        <w:trPr/>
        <w:tc>
          <w:tcPr>
            <w:tcW w:w="0" w:type="auto"/>
            <w:tcBorders/>
          </w:tcPr>
          <w:p w14:paraId="99BBC661">
            <w:pPr>
              <w:pStyle w:val="style4098"/>
              <w:rPr/>
            </w:pPr>
          </w:p>
        </w:tc>
        <w:tc>
          <w:tcPr>
            <w:tcW w:w="0" w:type="auto"/>
            <w:tcBorders/>
          </w:tcPr>
          <w:p w14:paraId="2008FA2F">
            <w:pPr>
              <w:pStyle w:val="style4098"/>
              <w:rPr/>
            </w:pPr>
          </w:p>
        </w:tc>
        <w:tc>
          <w:tcPr>
            <w:tcW w:w="0" w:type="auto"/>
            <w:tcBorders/>
          </w:tcPr>
          <w:p w14:paraId="63069E9B">
            <w:pPr>
              <w:pStyle w:val="style4098"/>
              <w:jc w:val="left"/>
              <w:rPr/>
            </w:pPr>
            <w:r>
              <w:t>GPU 直通</w:t>
            </w:r>
          </w:p>
        </w:tc>
        <w:tc>
          <w:tcPr>
            <w:tcW w:w="0" w:type="auto"/>
            <w:tcBorders/>
          </w:tcPr>
          <w:p w14:paraId="8C1ADEDD">
            <w:pPr>
              <w:pStyle w:val="style4098"/>
              <w:jc w:val="left"/>
              <w:rPr/>
            </w:pPr>
            <w:r>
              <w:t>AI 工作负载加速</w:t>
            </w:r>
          </w:p>
        </w:tc>
        <w:tc>
          <w:tcPr>
            <w:tcW w:w="0" w:type="auto"/>
            <w:tcBorders/>
          </w:tcPr>
          <w:p w14:paraId="D2F5B27D">
            <w:pPr>
              <w:pStyle w:val="style4098"/>
              <w:jc w:val="left"/>
              <w:rPr/>
            </w:pPr>
            <w:r>
              <w:t>VFIO + PCIe 直通 [^Dim01-192^]</w:t>
            </w:r>
          </w:p>
        </w:tc>
        <w:tc>
          <w:tcPr>
            <w:tcW w:w="0" w:type="auto"/>
            <w:tcBorders/>
          </w:tcPr>
          <w:p w14:paraId="0A8EF861">
            <w:pPr>
              <w:pStyle w:val="style4098"/>
              <w:rPr/>
            </w:pPr>
          </w:p>
        </w:tc>
      </w:tr>
      <w:tr w14:paraId="94397D4D">
        <w:tblPrEx/>
        <w:trPr/>
        <w:tc>
          <w:tcPr>
            <w:tcW w:w="0" w:type="auto"/>
            <w:tcBorders/>
          </w:tcPr>
          <w:p w14:paraId="F825F625">
            <w:pPr>
              <w:pStyle w:val="style4098"/>
              <w:rPr/>
            </w:pPr>
          </w:p>
        </w:tc>
        <w:tc>
          <w:tcPr>
            <w:tcW w:w="0" w:type="auto"/>
            <w:tcBorders/>
          </w:tcPr>
          <w:p w14:paraId="2406AED2">
            <w:pPr>
              <w:pStyle w:val="style4098"/>
              <w:rPr/>
            </w:pPr>
          </w:p>
        </w:tc>
        <w:tc>
          <w:tcPr>
            <w:tcW w:w="0" w:type="auto"/>
            <w:tcBorders/>
          </w:tcPr>
          <w:p w14:paraId="7C4DA2D3">
            <w:pPr>
              <w:pStyle w:val="style4098"/>
              <w:jc w:val="left"/>
              <w:rPr/>
            </w:pPr>
            <w:r>
              <w:t>多区域架构</w:t>
            </w:r>
          </w:p>
        </w:tc>
        <w:tc>
          <w:tcPr>
            <w:tcW w:w="0" w:type="auto"/>
            <w:tcBorders/>
          </w:tcPr>
          <w:p w14:paraId="205E7646">
            <w:pPr>
              <w:pStyle w:val="style4098"/>
              <w:jc w:val="left"/>
              <w:rPr/>
            </w:pPr>
            <w:r>
              <w:t>跨地域集群管理</w:t>
            </w:r>
          </w:p>
        </w:tc>
        <w:tc>
          <w:tcPr>
            <w:tcW w:w="0" w:type="auto"/>
            <w:tcBorders/>
          </w:tcPr>
          <w:p w14:paraId="879F6F5C">
            <w:pPr>
              <w:pStyle w:val="style4098"/>
              <w:jc w:val="left"/>
              <w:rPr/>
            </w:pPr>
            <w:r>
              <w:t>KubeFed/Cluster API [^Dim12-449^]</w:t>
            </w:r>
          </w:p>
        </w:tc>
        <w:tc>
          <w:tcPr>
            <w:tcW w:w="0" w:type="auto"/>
            <w:tcBorders/>
          </w:tcPr>
          <w:p w14:paraId="C53DA713">
            <w:pPr>
              <w:pStyle w:val="style4098"/>
              <w:rPr/>
            </w:pPr>
          </w:p>
        </w:tc>
      </w:tr>
    </w:tbl>
    <w:p w14:paraId="A168F1AB">
      <w:pPr>
        <w:pStyle w:val="style66"/>
        <w:rPr/>
      </w:pPr>
      <w:r>
        <w:rPr>
          <w:b/>
          <w:bCs/>
        </w:rPr>
        <w:t>Phase 1（M1-M3）核心运行时</w:t>
      </w:r>
      <w:r>
        <w:t xml:space="preserve"> </w:t>
      </w:r>
      <w:r>
        <w:t>阶段的首要目标是证明技术栈的可行性。三个运行时（CubeSandbox、Kata、Incus）通过 containerd Shim v2 统一集成，验证 RuntimeClass 调度、资源隔离和网络互通。此阶段的关键技术决策是确认 CubeSandbox 对 Cloud Hypervisor 的定制范围——定制越小，上游同步升级成本越低 [^Dim01-122^]。网络层部署 Cilium CNI 替代 kube-proxy，验证 eBPF 基础功能；存储层以 ZFS 本地存储池为主，验证 CoW 快照克隆性能。M3 里程碑交付单节点 MVP，支持 MicroVM 快速启动和基础容器生命周期管理。</w:t>
      </w:r>
    </w:p>
    <w:p w14:paraId="622CDA61">
      <w:pPr>
        <w:pStyle w:val="style66"/>
        <w:rPr/>
      </w:pPr>
      <w:r>
        <w:rPr>
          <w:b/>
          <w:bCs/>
        </w:rPr>
        <w:t>Phase 2（M4-M6）集群与 Incus</w:t>
      </w:r>
      <w:r>
        <w:t xml:space="preserve"> </w:t>
      </w:r>
      <w:r>
        <w:t>阶段将系统从单节点扩展到集群。Incus 集群使用 Cowsql（dqlite 分支）作为分布式数据库，基于 Raft 共识实现集群配置强一致 [^Dim02-109^] [^Dim12-516^]。Cowsql 适用于 3-50 节点规模，与本方案的目标部署规模高度匹配 [洞察#10^]。OVN SDN 提供逻辑网络抽象和多租户 VNI 隔离 [^Dim02-357^]，替代 PVE 的 VLAN/VXLAN 方案。Web UI 在此阶段启动开发，优先实现仪表盘和实例管理功能，因 PVE 对标分析显示 Web UI 是最大的用户体验差距 [^Dim11-1182^]。M6 里程碑交付集群就绪版本，支持 3+ 节点高可用部署。</w:t>
      </w:r>
    </w:p>
    <w:p w14:paraId="18E7A1F3">
      <w:pPr>
        <w:pStyle w:val="style66"/>
        <w:rPr/>
      </w:pPr>
      <w:r>
        <w:rPr>
          <w:b/>
          <w:bCs/>
        </w:rPr>
        <w:t>Phase 3（M7-M9）企业特性</w:t>
      </w:r>
      <w:r>
        <w:t xml:space="preserve"> </w:t>
      </w:r>
      <w:r>
        <w:t>阶段聚焦生产部署所需的治理能力。RBAC 系统基于 Kubernetes RBAC 扩展，叠加 Incus Project 级别的资源隔离，实现”集群-项目-实例”三级权限模型。HA 故障转移引擎借鉴 PVE 的 pve-ha-manager 设计</w:t>
      </w:r>
      <w:r>
        <w:t xml:space="preserve"> </w:t>
      </w:r>
      <w:r>
        <w:rPr/>
        <w:fldChar w:fldCharType="begin"/>
      </w:r>
      <w:r>
        <w:instrText>NOTEREF _Ref_Footnote_31 \h \f</w:instrText>
      </w:r>
      <w:r>
        <w:rPr/>
        <w:fldChar w:fldCharType="separate"/>
      </w:r>
      <w:r>
        <w:rPr>
          <w:vertAlign w:val="superscript"/>
        </w:rPr>
        <w:t>31</w:t>
      </w:r>
      <w:r>
        <w:rPr/>
        <w:fldChar w:fldCharType="end"/>
      </w:r>
      <w:r>
        <w:t>，结合 Pacemaker + Corosync 实现 VM 级自动故障转移，配置 STONITH（Shoot The Other Node In The Head）机制防止脑裂 [^Dim12-517^]。备份系统先集成 restic 实现增量备份，M9 里程碑不要求达到 PBS 级别的全局去重，但需具备可扩展的架构基础。M9 里程碑交付企业就绪版本，满足等保 2.0 合规要求。</w:t>
      </w:r>
    </w:p>
    <w:p w14:paraId="C6683008">
      <w:pPr>
        <w:pStyle w:val="style66"/>
        <w:rPr/>
      </w:pPr>
      <w:r>
        <w:rPr>
          <w:b/>
          <w:bCs/>
        </w:rPr>
        <w:t>Phase 4（M10-M12）Hyper-V 与高级特性</w:t>
      </w:r>
      <w:r>
        <w:t xml:space="preserve"> </w:t>
      </w:r>
      <w:r>
        <w:t>阶段实现差异化竞争优势。MSHV 加速器通过 QEMU 10.2 的</w:t>
      </w:r>
      <w:r>
        <w:t xml:space="preserve"> </w:t>
      </w:r>
      <w:r>
        <w:rPr>
          <w:rStyle w:val="style4120"/>
        </w:rPr>
        <w:t>-accel mshv</w:t>
      </w:r>
      <w:r>
        <w:t xml:space="preserve"> </w:t>
      </w:r>
      <w:r>
        <w:t>选项使 Linux VMM 直接利用 Hyper-V 能力，相比传统嵌套虚拟化提升 20-40% 性能 [^Dim04-212^] [^Dim05-102^]。此功能的关键依赖是 libvirt 对 MSHV 的支持补丁——补丁进度需在进入 Phase 4 前持续跟踪，若未就绪则启用备用方案（传统嵌套虚拟化，10-15% 开销可接受）。TEE 机密计算通过 Confidential Containers（CoCo）项目集成 Intel TDX/AMD SEV，将可信计算基（Trusted Computing Base, TCB）缩减到最小 [^Dim09-113^]。GPU 直通基于 VFIO 实现 PCIe 设备透传，支撑 AI 工作负载加速。M12 里程碑交付 GA 版本，覆盖”Windows + Linux + AI Agent”三大工作负载场景。</w:t>
      </w:r>
    </w:p>
    <w:bookmarkStart w:id="148" w:name="风险与缓解策略"/>
    <w:bookmarkEnd w:id="147"/>
    <w:p w14:paraId="5E15D3CE">
      <w:pPr>
        <w:pStyle w:val="style4103"/>
        <w:rPr/>
      </w:pPr>
      <w:r>
        <w:t>9.3 风险与缓解策略</w:t>
      </w:r>
    </w:p>
    <w:bookmarkStart w:id="149" w:name="技术风险"/>
    <w:p w14:paraId="B7F721B9">
      <w:pPr>
        <w:pStyle w:val="style4104"/>
        <w:rPr/>
      </w:pPr>
      <w:r>
        <w:t>9.3.1 技术风险</w:t>
      </w:r>
    </w:p>
    <w:p w14:paraId="86373799">
      <w:pPr>
        <w:pStyle w:val="style4097"/>
        <w:rPr/>
      </w:pPr>
      <w:r>
        <w:t>技术风险主要来源于核心组件的生产就绪状态和组件间交互复杂度：</w:t>
      </w:r>
    </w:p>
    <w:p w14:paraId="6EBD6FCA">
      <w:pPr>
        <w:pStyle w:val="style66"/>
        <w:rPr/>
      </w:pPr>
      <w:r>
        <w:rPr>
          <w:b/>
          <w:bCs/>
        </w:rPr>
        <w:t>CubeSandbox 生态早期风险</w:t>
      </w:r>
      <w:r>
        <w:t>。CubeSandbox 计划于 2026 年 4 月开源，当前 GPU 直通仅为 GitHub Discussion 阶段的设计提案 [^Dim01-192^]，无实测性能数据。缓解策略为：保持 Kata Containers 作为功能完备的后备运行时——Kata 支持 Cloud Hypervisor/Firecracker/Dragonball 多后端，GPU 和 TEE 支持已通过生产验证 [^Dim03-32^] [^Dim03-102^]。监控指标为 CubeSandbox GitHub 仓库的 Release 频率和 Issue 响应时间。</w:t>
      </w:r>
    </w:p>
    <w:p w14:paraId="E95479EB">
      <w:pPr>
        <w:pStyle w:val="style66"/>
        <w:rPr/>
      </w:pPr>
      <w:r>
        <w:rPr>
          <w:b/>
          <w:bCs/>
        </w:rPr>
        <w:t>MSHV 生产就绪时间不确定</w:t>
      </w:r>
      <w:r>
        <w:t>。Microsoft 在 QEMU 10.2 中引入的 MSHV 加速器虽技术方向明确，但 libvirt 支持补丁仍在进行中，生产就绪时间表不确定 [^Dim04-212^]。缓解策略为分阶段路径：Phase 1-2 使用传统嵌套虚拟化（KVM on Hyper-V，10-15% 开销），Phase 3-4 评估 MSHV 成熟度后切换。备用方案为持续使用嵌套虚拟化，性能开销在多数企业场景可接受。</w:t>
      </w:r>
    </w:p>
    <w:p w14:paraId="EDA924F2">
      <w:pPr>
        <w:pStyle w:val="style66"/>
        <w:rPr/>
      </w:pPr>
      <w:r>
        <w:rPr>
          <w:b/>
          <w:bCs/>
        </w:rPr>
        <w:t>eBPF 三层冲突风险</w:t>
      </w:r>
      <w:r>
        <w:t>。OVN 基础设施层 + Cilium 容器网络层 + CubeVS MicroVM 网络层各自加载 eBPF 程序到同一内核，存在 BPF Map 资源竞争和验证器单线程瓶颈 [洞察#12^]。缓解策略为：设计 eBPF 资源配额机制，为三个组件分别分配 Map 条目上限；建立加载顺序规范（基础设施 → 容器 → MicroVM）避免并发冲突；准备降级方案（CubeVS 冲突时降级到标准 TAP + iptables）。监控指标为 BPF Map 使用率、Verifier 时间和 eBPF 加载失败率。</w:t>
      </w:r>
    </w:p>
    <w:p w14:paraId="2BB9BCCC">
      <w:pPr>
        <w:pStyle w:val="style66"/>
        <w:rPr/>
      </w:pPr>
      <w:r>
        <w:rPr>
          <w:b/>
          <w:bCs/>
        </w:rPr>
        <w:t>Ceph 运维复杂度风险</w:t>
      </w:r>
      <w:r>
        <w:t>。Ceph RBD 虽为集群存储首选方案，但生产集群运维需要专业团队，故障排查复杂度高 [^Dim08-211^]。缓解策略为集成 Rook Operator 实现自动化部署和运维，降低操作门槛。监控指标为 Ceph MON 仲裁状态、OSD 利用率、PG 状态。</w:t>
      </w:r>
    </w:p>
    <w:bookmarkStart w:id="150" w:name="生态风险"/>
    <w:bookmarkEnd w:id="149"/>
    <w:p w14:paraId="35056324">
      <w:pPr>
        <w:pStyle w:val="style4104"/>
        <w:rPr/>
      </w:pPr>
      <w:r>
        <w:t>9.3.2 生态风险</w:t>
      </w:r>
    </w:p>
    <w:p w14:paraId="23CC8DA6">
      <w:pPr>
        <w:pStyle w:val="style4097"/>
        <w:rPr/>
      </w:pPr>
      <w:r>
        <w:t>生态风险来源于社区规模和人才供给：</w:t>
      </w:r>
    </w:p>
    <w:p w14:paraId="A653E410">
      <w:pPr>
        <w:pStyle w:val="style66"/>
        <w:rPr/>
      </w:pPr>
      <w:r>
        <w:rPr>
          <w:b/>
          <w:bCs/>
        </w:rPr>
        <w:t>Incus 社区规模相对较小</w:t>
      </w:r>
      <w:r>
        <w:t>。Incus 从 LXD 分叉后由 Linux Containers 社区维护，社区规模不及 Docker/Kubernetes [^Dim02-119^]。缓解策略为积极参与社区贡献（Patch、Issue、文档），建立内部维护能力以备社区支持不足时的自主演进。监控指标为 Incus 邮件列表活跃度、GitHub PR 合并频率。</w:t>
      </w:r>
    </w:p>
    <w:p w14:paraId="2FB05B01">
      <w:pPr>
        <w:pStyle w:val="style66"/>
        <w:rPr/>
      </w:pPr>
      <w:r>
        <w:rPr>
          <w:b/>
          <w:bCs/>
        </w:rPr>
        <w:t>Cloud Hypervisor 定制升级兼容性</w:t>
      </w:r>
      <w:r>
        <w:t>。CubeSandbox 对 Cloud Hypervisor 的定制化修改可能影响上游版本同步 [^Dim01-122^]。缓解策略为建立自动化上游同步流程（CI/CD Pipeline 定期 rebase），最小化定制范围——仅保留 CubeSandbox 特有的资源池预置和 CoW 快照逻辑，通用功能尽量推送到上游。</w:t>
      </w:r>
    </w:p>
    <w:p w14:paraId="5743E188">
      <w:pPr>
        <w:pStyle w:val="style66"/>
        <w:rPr/>
      </w:pPr>
      <w:r>
        <w:rPr>
          <w:b/>
          <w:bCs/>
        </w:rPr>
        <w:t>Rust VMM 人才稀缺</w:t>
      </w:r>
      <w:r>
        <w:t>。全栈 Rust 设计（API + Hypervisor + Shim）对开发团队的 Rust 能力要求较高，市场上具备 VMM 开发经验的 Rust 工程师供给有限 [^Dim01-6^]。缓解策略为内部培养（提供 Rust + rust-vmm 培训资源），与 rust-vmm 社区建立联系获取技术支持。</w:t>
      </w:r>
    </w:p>
    <w:bookmarkStart w:id="151" w:name="缓解措施矩阵"/>
    <w:bookmarkEnd w:id="150"/>
    <w:p w14:paraId="61182C19">
      <w:pPr>
        <w:pStyle w:val="style4104"/>
        <w:rPr/>
      </w:pPr>
      <w:r>
        <w:t>9.3.3 缓解措施矩阵</w:t>
      </w:r>
    </w:p>
    <w:p w14:paraId="BA5D3FFE">
      <w:pPr>
        <w:pStyle w:val="style4097"/>
        <w:rPr/>
      </w:pPr>
      <w:r>
        <w:rPr>
          <w:b/>
          <w:bCs/>
        </w:rPr>
        <w:t>表 9-3 风险缓解措施矩阵</w:t>
      </w:r>
    </w:p>
    <w:tbl>
      <w:tblPr>
        <w:tblStyle w:val="style4111"/>
        <w:tblW w:w="5000" w:type="pct"/>
        <w:tblLook w:val="0020" w:firstRow="1" w:lastRow="0" w:firstColumn="0" w:lastColumn="0" w:noHBand="0" w:noVBand="0"/>
      </w:tblPr>
      <w:tblGrid>
        <w:gridCol w:w="1887"/>
        <w:gridCol w:w="489"/>
        <w:gridCol w:w="991"/>
        <w:gridCol w:w="1626"/>
        <w:gridCol w:w="1610"/>
        <w:gridCol w:w="1315"/>
      </w:tblGrid>
      <w:tr w14:paraId="804642F3">
        <w:trPr>
          <w:tblHeader/>
        </w:trPr>
        <w:tc>
          <w:tcPr>
            <w:tcW w:w="0" w:type="auto"/>
            <w:tcBorders/>
          </w:tcPr>
          <w:p w14:paraId="EECD656D">
            <w:pPr>
              <w:pStyle w:val="style4098"/>
              <w:jc w:val="left"/>
              <w:rPr/>
            </w:pPr>
            <w:r>
              <w:t>风险项</w:t>
            </w:r>
          </w:p>
        </w:tc>
        <w:tc>
          <w:tcPr>
            <w:tcW w:w="0" w:type="auto"/>
            <w:tcBorders/>
          </w:tcPr>
          <w:p w14:paraId="6B154A65">
            <w:pPr>
              <w:pStyle w:val="style4098"/>
              <w:jc w:val="center"/>
              <w:rPr/>
            </w:pPr>
            <w:r>
              <w:t>等级</w:t>
            </w:r>
          </w:p>
        </w:tc>
        <w:tc>
          <w:tcPr>
            <w:tcW w:w="0" w:type="auto"/>
            <w:tcBorders/>
          </w:tcPr>
          <w:p w14:paraId="8F1562E3">
            <w:pPr>
              <w:pStyle w:val="style4098"/>
              <w:jc w:val="left"/>
              <w:rPr/>
            </w:pPr>
            <w:r>
              <w:t>影响范围</w:t>
            </w:r>
          </w:p>
        </w:tc>
        <w:tc>
          <w:tcPr>
            <w:tcW w:w="0" w:type="auto"/>
            <w:tcBorders/>
          </w:tcPr>
          <w:p w14:paraId="F2793818">
            <w:pPr>
              <w:pStyle w:val="style4098"/>
              <w:jc w:val="left"/>
              <w:rPr/>
            </w:pPr>
            <w:r>
              <w:t>缓解策略</w:t>
            </w:r>
          </w:p>
        </w:tc>
        <w:tc>
          <w:tcPr>
            <w:tcW w:w="0" w:type="auto"/>
            <w:tcBorders/>
          </w:tcPr>
          <w:p w14:paraId="CDCE807A">
            <w:pPr>
              <w:pStyle w:val="style4098"/>
              <w:jc w:val="left"/>
              <w:rPr/>
            </w:pPr>
            <w:r>
              <w:t>备用方案</w:t>
            </w:r>
          </w:p>
        </w:tc>
        <w:tc>
          <w:tcPr>
            <w:tcW w:w="0" w:type="auto"/>
            <w:tcBorders/>
          </w:tcPr>
          <w:p w14:paraId="9228F759">
            <w:pPr>
              <w:pStyle w:val="style4098"/>
              <w:jc w:val="left"/>
              <w:rPr/>
            </w:pPr>
            <w:r>
              <w:t>监控指标</w:t>
            </w:r>
          </w:p>
        </w:tc>
      </w:tr>
      <w:tr w14:paraId="62F41960">
        <w:tblPrEx/>
        <w:trPr/>
        <w:tc>
          <w:tcPr>
            <w:tcW w:w="0" w:type="auto"/>
            <w:tcBorders/>
          </w:tcPr>
          <w:p w14:paraId="6D47E7ED">
            <w:pPr>
              <w:pStyle w:val="style4098"/>
              <w:jc w:val="left"/>
              <w:rPr/>
            </w:pPr>
            <w:r>
              <w:t>CubeSandbox 生态早期</w:t>
            </w:r>
          </w:p>
        </w:tc>
        <w:tc>
          <w:tcPr>
            <w:tcW w:w="0" w:type="auto"/>
            <w:tcBorders/>
          </w:tcPr>
          <w:p w14:paraId="A734BBB6">
            <w:pPr>
              <w:pStyle w:val="style4098"/>
              <w:jc w:val="center"/>
              <w:rPr/>
            </w:pPr>
            <w:r>
              <w:t>中</w:t>
            </w:r>
          </w:p>
        </w:tc>
        <w:tc>
          <w:tcPr>
            <w:tcW w:w="0" w:type="auto"/>
            <w:tcBorders/>
          </w:tcPr>
          <w:p w14:paraId="3D1B7178">
            <w:pPr>
              <w:pStyle w:val="style4098"/>
              <w:jc w:val="left"/>
              <w:rPr/>
            </w:pPr>
            <w:r>
              <w:t>运行时功能</w:t>
            </w:r>
          </w:p>
        </w:tc>
        <w:tc>
          <w:tcPr>
            <w:tcW w:w="0" w:type="auto"/>
            <w:tcBorders/>
          </w:tcPr>
          <w:p w14:paraId="D12BB0D6">
            <w:pPr>
              <w:pStyle w:val="style4098"/>
              <w:jc w:val="left"/>
              <w:rPr/>
            </w:pPr>
            <w:r>
              <w:t>Kata 作为后备运行时；跟踪开源进度</w:t>
            </w:r>
          </w:p>
        </w:tc>
        <w:tc>
          <w:tcPr>
            <w:tcW w:w="0" w:type="auto"/>
            <w:tcBorders/>
          </w:tcPr>
          <w:p w14:paraId="3B64BB75">
            <w:pPr>
              <w:pStyle w:val="style4098"/>
              <w:jc w:val="left"/>
              <w:rPr/>
            </w:pPr>
            <w:r>
              <w:t>全面切换到 Kata Cloud HV 后端</w:t>
            </w:r>
          </w:p>
        </w:tc>
        <w:tc>
          <w:tcPr>
            <w:tcW w:w="0" w:type="auto"/>
            <w:tcBorders/>
          </w:tcPr>
          <w:p w14:paraId="C5781BF3">
            <w:pPr>
              <w:pStyle w:val="style4098"/>
              <w:jc w:val="left"/>
              <w:rPr/>
            </w:pPr>
            <w:r>
              <w:t>Release 频率, Issue RTT</w:t>
            </w:r>
          </w:p>
        </w:tc>
      </w:tr>
      <w:tr w14:paraId="E56B11E0">
        <w:tblPrEx/>
        <w:trPr/>
        <w:tc>
          <w:tcPr>
            <w:tcW w:w="0" w:type="auto"/>
            <w:tcBorders/>
          </w:tcPr>
          <w:p w14:paraId="7E4C124C">
            <w:pPr>
              <w:pStyle w:val="style4098"/>
              <w:jc w:val="left"/>
              <w:rPr/>
            </w:pPr>
            <w:r>
              <w:t>MSHV 生产就绪不确定</w:t>
            </w:r>
          </w:p>
        </w:tc>
        <w:tc>
          <w:tcPr>
            <w:tcW w:w="0" w:type="auto"/>
            <w:tcBorders/>
          </w:tcPr>
          <w:p w14:paraId="D7EF7133">
            <w:pPr>
              <w:pStyle w:val="style4098"/>
              <w:jc w:val="center"/>
              <w:rPr/>
            </w:pPr>
            <w:r>
              <w:t>中</w:t>
            </w:r>
          </w:p>
        </w:tc>
        <w:tc>
          <w:tcPr>
            <w:tcW w:w="0" w:type="auto"/>
            <w:tcBorders/>
          </w:tcPr>
          <w:p w14:paraId="94C89565">
            <w:pPr>
              <w:pStyle w:val="style4098"/>
              <w:jc w:val="left"/>
              <w:rPr/>
            </w:pPr>
            <w:r>
              <w:t>Hyper-V 场景</w:t>
            </w:r>
          </w:p>
        </w:tc>
        <w:tc>
          <w:tcPr>
            <w:tcW w:w="0" w:type="auto"/>
            <w:tcBorders/>
          </w:tcPr>
          <w:p w14:paraId="30A2980B">
            <w:pPr>
              <w:pStyle w:val="style4098"/>
              <w:jc w:val="left"/>
              <w:rPr/>
            </w:pPr>
            <w:r>
              <w:t>Phase 1-2 使用嵌套虚拟化</w:t>
            </w:r>
          </w:p>
        </w:tc>
        <w:tc>
          <w:tcPr>
            <w:tcW w:w="0" w:type="auto"/>
            <w:tcBorders/>
          </w:tcPr>
          <w:p w14:paraId="7603C5C3">
            <w:pPr>
              <w:pStyle w:val="style4098"/>
              <w:jc w:val="left"/>
              <w:rPr/>
            </w:pPr>
            <w:r>
              <w:t>持续使用嵌套虚拟化 (15% 开销)</w:t>
            </w:r>
          </w:p>
        </w:tc>
        <w:tc>
          <w:tcPr>
            <w:tcW w:w="0" w:type="auto"/>
            <w:tcBorders/>
          </w:tcPr>
          <w:p w14:paraId="E3382DC5">
            <w:pPr>
              <w:pStyle w:val="style4098"/>
              <w:jc w:val="left"/>
              <w:rPr/>
            </w:pPr>
            <w:r>
              <w:t>libvirt 补丁状态</w:t>
            </w:r>
          </w:p>
        </w:tc>
      </w:tr>
      <w:tr w14:paraId="3E7C1FF4">
        <w:tblPrEx/>
        <w:trPr/>
        <w:tc>
          <w:tcPr>
            <w:tcW w:w="0" w:type="auto"/>
            <w:tcBorders/>
          </w:tcPr>
          <w:p w14:paraId="93BE55A4">
            <w:pPr>
              <w:pStyle w:val="style4098"/>
              <w:jc w:val="left"/>
              <w:rPr/>
            </w:pPr>
            <w:r>
              <w:t>eBPF 三层冲突</w:t>
            </w:r>
          </w:p>
        </w:tc>
        <w:tc>
          <w:tcPr>
            <w:tcW w:w="0" w:type="auto"/>
            <w:tcBorders/>
          </w:tcPr>
          <w:p w14:paraId="CB82BED7">
            <w:pPr>
              <w:pStyle w:val="style4098"/>
              <w:jc w:val="center"/>
              <w:rPr/>
            </w:pPr>
            <w:r>
              <w:t>中</w:t>
            </w:r>
          </w:p>
        </w:tc>
        <w:tc>
          <w:tcPr>
            <w:tcW w:w="0" w:type="auto"/>
            <w:tcBorders/>
          </w:tcPr>
          <w:p w14:paraId="DE12ECB8">
            <w:pPr>
              <w:pStyle w:val="style4098"/>
              <w:jc w:val="left"/>
              <w:rPr/>
            </w:pPr>
            <w:r>
              <w:t>网络稳定性</w:t>
            </w:r>
          </w:p>
        </w:tc>
        <w:tc>
          <w:tcPr>
            <w:tcW w:w="0" w:type="auto"/>
            <w:tcBorders/>
          </w:tcPr>
          <w:p w14:paraId="31C8F826">
            <w:pPr>
              <w:pStyle w:val="style4098"/>
              <w:jc w:val="left"/>
              <w:rPr/>
            </w:pPr>
            <w:r>
              <w:t>eBPF 资源配额 + 加载顺序规范</w:t>
            </w:r>
          </w:p>
        </w:tc>
        <w:tc>
          <w:tcPr>
            <w:tcW w:w="0" w:type="auto"/>
            <w:tcBorders/>
          </w:tcPr>
          <w:p w14:paraId="EB12C00E">
            <w:pPr>
              <w:pStyle w:val="style4098"/>
              <w:jc w:val="left"/>
              <w:rPr/>
            </w:pPr>
            <w:r>
              <w:t>CubeVS 降级到 TAP + iptables</w:t>
            </w:r>
          </w:p>
        </w:tc>
        <w:tc>
          <w:tcPr>
            <w:tcW w:w="0" w:type="auto"/>
            <w:tcBorders/>
          </w:tcPr>
          <w:p w14:paraId="80F181B6">
            <w:pPr>
              <w:pStyle w:val="style4098"/>
              <w:jc w:val="left"/>
              <w:rPr/>
            </w:pPr>
            <w:r>
              <w:t>BPF Map 使用率</w:t>
            </w:r>
          </w:p>
        </w:tc>
      </w:tr>
      <w:tr w14:paraId="6C77A6D5">
        <w:tblPrEx/>
        <w:trPr/>
        <w:tc>
          <w:tcPr>
            <w:tcW w:w="0" w:type="auto"/>
            <w:tcBorders/>
          </w:tcPr>
          <w:p w14:paraId="B1435E26">
            <w:pPr>
              <w:pStyle w:val="style4098"/>
              <w:jc w:val="left"/>
              <w:rPr/>
            </w:pPr>
            <w:r>
              <w:t>Ceph 运维复杂度</w:t>
            </w:r>
          </w:p>
        </w:tc>
        <w:tc>
          <w:tcPr>
            <w:tcW w:w="0" w:type="auto"/>
            <w:tcBorders/>
          </w:tcPr>
          <w:p w14:paraId="0377A2AD">
            <w:pPr>
              <w:pStyle w:val="style4098"/>
              <w:jc w:val="center"/>
              <w:rPr/>
            </w:pPr>
            <w:r>
              <w:t>中</w:t>
            </w:r>
          </w:p>
        </w:tc>
        <w:tc>
          <w:tcPr>
            <w:tcW w:w="0" w:type="auto"/>
            <w:tcBorders/>
          </w:tcPr>
          <w:p w14:paraId="83A451CA">
            <w:pPr>
              <w:pStyle w:val="style4098"/>
              <w:jc w:val="left"/>
              <w:rPr/>
            </w:pPr>
            <w:r>
              <w:t>存储可靠性</w:t>
            </w:r>
          </w:p>
        </w:tc>
        <w:tc>
          <w:tcPr>
            <w:tcW w:w="0" w:type="auto"/>
            <w:tcBorders/>
          </w:tcPr>
          <w:p w14:paraId="91A299B2">
            <w:pPr>
              <w:pStyle w:val="style4098"/>
              <w:jc w:val="left"/>
              <w:rPr/>
            </w:pPr>
            <w:r>
              <w:t>Rook Operator 自动化运维</w:t>
            </w:r>
          </w:p>
        </w:tc>
        <w:tc>
          <w:tcPr>
            <w:tcW w:w="0" w:type="auto"/>
            <w:tcBorders/>
          </w:tcPr>
          <w:p w14:paraId="24851432">
            <w:pPr>
              <w:pStyle w:val="style4098"/>
              <w:jc w:val="left"/>
              <w:rPr/>
            </w:pPr>
            <w:r>
              <w:t>Longhorn 替代 Ceph (简化运维)</w:t>
            </w:r>
          </w:p>
        </w:tc>
        <w:tc>
          <w:tcPr>
            <w:tcW w:w="0" w:type="auto"/>
            <w:tcBorders/>
          </w:tcPr>
          <w:p w14:paraId="0E262A0E">
            <w:pPr>
              <w:pStyle w:val="style4098"/>
              <w:jc w:val="left"/>
              <w:rPr/>
            </w:pPr>
            <w:r>
              <w:t>MON 仲裁, OSD 健康</w:t>
            </w:r>
          </w:p>
        </w:tc>
      </w:tr>
      <w:tr w14:paraId="07B0CF6A">
        <w:tblPrEx/>
        <w:trPr/>
        <w:tc>
          <w:tcPr>
            <w:tcW w:w="0" w:type="auto"/>
            <w:tcBorders/>
          </w:tcPr>
          <w:p w14:paraId="79E3A571">
            <w:pPr>
              <w:pStyle w:val="style4098"/>
              <w:jc w:val="left"/>
              <w:rPr/>
            </w:pPr>
            <w:r>
              <w:t>Incus 社区规模</w:t>
            </w:r>
          </w:p>
        </w:tc>
        <w:tc>
          <w:tcPr>
            <w:tcW w:w="0" w:type="auto"/>
            <w:tcBorders/>
          </w:tcPr>
          <w:p w14:paraId="5529855C">
            <w:pPr>
              <w:pStyle w:val="style4098"/>
              <w:jc w:val="center"/>
              <w:rPr/>
            </w:pPr>
            <w:r>
              <w:t>中</w:t>
            </w:r>
          </w:p>
        </w:tc>
        <w:tc>
          <w:tcPr>
            <w:tcW w:w="0" w:type="auto"/>
            <w:tcBorders/>
          </w:tcPr>
          <w:p w14:paraId="FD112DFB">
            <w:pPr>
              <w:pStyle w:val="style4098"/>
              <w:jc w:val="left"/>
              <w:rPr/>
            </w:pPr>
            <w:r>
              <w:t>长期维护</w:t>
            </w:r>
          </w:p>
        </w:tc>
        <w:tc>
          <w:tcPr>
            <w:tcW w:w="0" w:type="auto"/>
            <w:tcBorders/>
          </w:tcPr>
          <w:p w14:paraId="438A3FE7">
            <w:pPr>
              <w:pStyle w:val="style4098"/>
              <w:jc w:val="left"/>
              <w:rPr/>
            </w:pPr>
            <w:r>
              <w:t>积极参与社区贡献</w:t>
            </w:r>
          </w:p>
        </w:tc>
        <w:tc>
          <w:tcPr>
            <w:tcW w:w="0" w:type="auto"/>
            <w:tcBorders/>
          </w:tcPr>
          <w:p w14:paraId="94163230">
            <w:pPr>
              <w:pStyle w:val="style4098"/>
              <w:jc w:val="left"/>
              <w:rPr/>
            </w:pPr>
            <w:r>
              <w:t>建立内部维护能力</w:t>
            </w:r>
          </w:p>
        </w:tc>
        <w:tc>
          <w:tcPr>
            <w:tcW w:w="0" w:type="auto"/>
            <w:tcBorders/>
          </w:tcPr>
          <w:p w14:paraId="D342B5D1">
            <w:pPr>
              <w:pStyle w:val="style4098"/>
              <w:jc w:val="left"/>
              <w:rPr/>
            </w:pPr>
            <w:r>
              <w:t>邮件列表活跃度</w:t>
            </w:r>
          </w:p>
        </w:tc>
      </w:tr>
      <w:tr w14:paraId="556D6AEF">
        <w:tblPrEx/>
        <w:trPr/>
        <w:tc>
          <w:tcPr>
            <w:tcW w:w="0" w:type="auto"/>
            <w:tcBorders/>
          </w:tcPr>
          <w:p w14:paraId="9D0A16C3">
            <w:pPr>
              <w:pStyle w:val="style4098"/>
              <w:jc w:val="left"/>
              <w:rPr/>
            </w:pPr>
            <w:r>
              <w:t>CH 定制升级兼容性</w:t>
            </w:r>
          </w:p>
        </w:tc>
        <w:tc>
          <w:tcPr>
            <w:tcW w:w="0" w:type="auto"/>
            <w:tcBorders/>
          </w:tcPr>
          <w:p w14:paraId="7D517CA1">
            <w:pPr>
              <w:pStyle w:val="style4098"/>
              <w:jc w:val="center"/>
              <w:rPr/>
            </w:pPr>
            <w:r>
              <w:t>中</w:t>
            </w:r>
          </w:p>
        </w:tc>
        <w:tc>
          <w:tcPr>
            <w:tcW w:w="0" w:type="auto"/>
            <w:tcBorders/>
          </w:tcPr>
          <w:p w14:paraId="3EFBE02D">
            <w:pPr>
              <w:pStyle w:val="style4098"/>
              <w:jc w:val="left"/>
              <w:rPr/>
            </w:pPr>
            <w:r>
              <w:t>VMM 演进</w:t>
            </w:r>
          </w:p>
        </w:tc>
        <w:tc>
          <w:tcPr>
            <w:tcW w:w="0" w:type="auto"/>
            <w:tcBorders/>
          </w:tcPr>
          <w:p w14:paraId="174A0F93">
            <w:pPr>
              <w:pStyle w:val="style4098"/>
              <w:jc w:val="left"/>
              <w:rPr/>
            </w:pPr>
            <w:r>
              <w:t>自动化上游同步, 最小化定制</w:t>
            </w:r>
          </w:p>
        </w:tc>
        <w:tc>
          <w:tcPr>
            <w:tcW w:w="0" w:type="auto"/>
            <w:tcBorders/>
          </w:tcPr>
          <w:p w14:paraId="3180F8A7">
            <w:pPr>
              <w:pStyle w:val="style4098"/>
              <w:jc w:val="left"/>
              <w:rPr/>
            </w:pPr>
            <w:r>
              <w:t>维护独立 Fork</w:t>
            </w:r>
          </w:p>
        </w:tc>
        <w:tc>
          <w:tcPr>
            <w:tcW w:w="0" w:type="auto"/>
            <w:tcBorders/>
          </w:tcPr>
          <w:p w14:paraId="DF2D7845">
            <w:pPr>
              <w:pStyle w:val="style4098"/>
              <w:jc w:val="left"/>
              <w:rPr/>
            </w:pPr>
            <w:r>
              <w:t>上游同步周期</w:t>
            </w:r>
          </w:p>
        </w:tc>
      </w:tr>
      <w:tr w14:paraId="DA53143B">
        <w:tblPrEx/>
        <w:trPr/>
        <w:tc>
          <w:tcPr>
            <w:tcW w:w="0" w:type="auto"/>
            <w:tcBorders/>
          </w:tcPr>
          <w:p w14:paraId="A6477AB8">
            <w:pPr>
              <w:pStyle w:val="style4098"/>
              <w:jc w:val="left"/>
              <w:rPr/>
            </w:pPr>
            <w:r>
              <w:t>Rust VMM 人才稀缺</w:t>
            </w:r>
          </w:p>
        </w:tc>
        <w:tc>
          <w:tcPr>
            <w:tcW w:w="0" w:type="auto"/>
            <w:tcBorders/>
          </w:tcPr>
          <w:p w14:paraId="5ADE1626">
            <w:pPr>
              <w:pStyle w:val="style4098"/>
              <w:jc w:val="center"/>
              <w:rPr/>
            </w:pPr>
            <w:r>
              <w:t>低</w:t>
            </w:r>
          </w:p>
        </w:tc>
        <w:tc>
          <w:tcPr>
            <w:tcW w:w="0" w:type="auto"/>
            <w:tcBorders/>
          </w:tcPr>
          <w:p w14:paraId="5EF6CB95">
            <w:pPr>
              <w:pStyle w:val="style4098"/>
              <w:jc w:val="left"/>
              <w:rPr/>
            </w:pPr>
            <w:r>
              <w:t>研发速度</w:t>
            </w:r>
          </w:p>
        </w:tc>
        <w:tc>
          <w:tcPr>
            <w:tcW w:w="0" w:type="auto"/>
            <w:tcBorders/>
          </w:tcPr>
          <w:p w14:paraId="A282507F">
            <w:pPr>
              <w:pStyle w:val="style4098"/>
              <w:jc w:val="left"/>
              <w:rPr/>
            </w:pPr>
            <w:r>
              <w:t>内部培养 + 社区合作</w:t>
            </w:r>
          </w:p>
        </w:tc>
        <w:tc>
          <w:tcPr>
            <w:tcW w:w="0" w:type="auto"/>
            <w:tcBorders/>
          </w:tcPr>
          <w:p w14:paraId="B3009877">
            <w:pPr>
              <w:pStyle w:val="style4098"/>
              <w:jc w:val="left"/>
              <w:rPr/>
            </w:pPr>
            <w:r>
              <w:t>招聘传统 C/Go 人才转型</w:t>
            </w:r>
          </w:p>
        </w:tc>
        <w:tc>
          <w:tcPr>
            <w:tcW w:w="0" w:type="auto"/>
            <w:tcBorders/>
          </w:tcPr>
          <w:p w14:paraId="CE61FCEC">
            <w:pPr>
              <w:pStyle w:val="style4098"/>
              <w:jc w:val="left"/>
              <w:rPr/>
            </w:pPr>
            <w:r>
              <w:t>团队 Rust 能力评估</w:t>
            </w:r>
          </w:p>
        </w:tc>
      </w:tr>
      <w:tr w14:paraId="F91D1425">
        <w:tblPrEx/>
        <w:trPr/>
        <w:tc>
          <w:tcPr>
            <w:tcW w:w="0" w:type="auto"/>
            <w:tcBorders/>
          </w:tcPr>
          <w:p w14:paraId="54791094">
            <w:pPr>
              <w:pStyle w:val="style4098"/>
              <w:jc w:val="left"/>
              <w:rPr/>
            </w:pPr>
            <w:r>
              <w:t>&lt;60ms 仅为单并发值</w:t>
            </w:r>
          </w:p>
        </w:tc>
        <w:tc>
          <w:tcPr>
            <w:tcW w:w="0" w:type="auto"/>
            <w:tcBorders/>
          </w:tcPr>
          <w:p w14:paraId="EC04633E">
            <w:pPr>
              <w:pStyle w:val="style4098"/>
              <w:jc w:val="center"/>
              <w:rPr/>
            </w:pPr>
            <w:r>
              <w:t>低</w:t>
            </w:r>
          </w:p>
        </w:tc>
        <w:tc>
          <w:tcPr>
            <w:tcW w:w="0" w:type="auto"/>
            <w:tcBorders/>
          </w:tcPr>
          <w:p w14:paraId="C0498E0B">
            <w:pPr>
              <w:pStyle w:val="style4098"/>
              <w:jc w:val="left"/>
              <w:rPr/>
            </w:pPr>
            <w:r>
              <w:t>性能承诺</w:t>
            </w:r>
          </w:p>
        </w:tc>
        <w:tc>
          <w:tcPr>
            <w:tcW w:w="0" w:type="auto"/>
            <w:tcBorders/>
          </w:tcPr>
          <w:p w14:paraId="620869DB">
            <w:pPr>
              <w:pStyle w:val="style4098"/>
              <w:jc w:val="left"/>
              <w:rPr/>
            </w:pPr>
            <w:r>
              <w:t>文档明确标注测试条件</w:t>
            </w:r>
          </w:p>
        </w:tc>
        <w:tc>
          <w:tcPr>
            <w:tcW w:w="0" w:type="auto"/>
            <w:tcBorders/>
          </w:tcPr>
          <w:p w14:paraId="65A0FA85">
            <w:pPr>
              <w:pStyle w:val="style4098"/>
              <w:jc w:val="left"/>
              <w:rPr/>
            </w:pPr>
            <w:r>
              <w:t>资源池动态扩缩容</w:t>
            </w:r>
          </w:p>
        </w:tc>
        <w:tc>
          <w:tcPr>
            <w:tcW w:w="0" w:type="auto"/>
            <w:tcBorders/>
          </w:tcPr>
          <w:p w14:paraId="EA506CAC">
            <w:pPr>
              <w:pStyle w:val="style4098"/>
              <w:jc w:val="left"/>
              <w:rPr/>
            </w:pPr>
            <w:r>
              <w:t>并发 P99 延迟</w:t>
            </w:r>
          </w:p>
        </w:tc>
      </w:tr>
    </w:tbl>
    <w:p w14:paraId="4E44C94E">
      <w:pPr>
        <w:pStyle w:val="style66"/>
        <w:rPr/>
      </w:pPr>
      <w:r>
        <w:t>风险矩阵的整体评估显示，本方案面临的风险等级以”中”为主，无不可控的高等级风险。所有中等风险均有明确的技术缓解策略和备用方案，且备用方案不会导致架构方向的根本性调整。最大不确定性来自 CubeSandbox 的开源生态演进和 MSHV 的生产就绪时间，两者均通过”成熟方案后备”策略有效对冲。研发资源分配建议遵循 40%（Web UI）+ 25%（集群 HA）+ 15%（存储）+ 10%（网络）+ 10%（企业特性）的配比 [^Dim11-1182^]，在 12 个月内达到 PVE 功能覆盖率的 80% 以上，同时保持容器安全性和云原生设计上的差异化优势。</w:t>
      </w:r>
    </w:p>
    <w:bookmarkEnd w:id="151"/>
    <w:bookmarkEnd w:id="148"/>
    <w:bookmarkEnd w:id="142"/>
    <w:bookmarkEnd w:id="6"/>
    <w:sectPr>
      <w:pgSz w:w="11906" w:h="16838"/>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2000500000000000000"/>
    <w:charset w:val="02"/>
    <w:family w:val="auto"/>
    <w:pitch w:val="variable"/>
    <w:sig w:usb0="00000000" w:usb1="00000000" w:usb2="00010000" w:usb3="00000000" w:csb0="80000000" w:csb1="00000000"/>
  </w:font>
  <w:font w:name="Times New Roman">
    <w:altName w:val="Times New Roman"/>
    <w:panose1 w:val="02020603050004020304"/>
    <w:charset w:val="00"/>
    <w:family w:val="auto"/>
    <w:pitch w:val="variable"/>
    <w:sig w:usb0="00000003" w:usb1="00000000" w:usb2="00000000" w:usb3="00000000" w:csb0="00000001" w:csb1="00000000"/>
  </w:font>
  <w:font w:name="Courier New">
    <w:altName w:val="Courier New"/>
    <w:panose1 w:val="02070309020002020404"/>
    <w:charset w:val="00"/>
    <w:family w:val="auto"/>
    <w:pitch w:val="variable"/>
    <w:sig w:usb0="00000003" w:usb1="00000000" w:usb2="00000000" w:usb3="00000000" w:csb0="00000001" w:csb1="00000000"/>
  </w:font>
  <w:font w:name="Wingdings">
    <w:altName w:val="Wingdings"/>
    <w:panose1 w:val="05020102010008080708"/>
    <w:charset w:val="02"/>
    <w:family w:val="auto"/>
    <w:pitch w:val="variable"/>
    <w:sig w:usb0="00000000" w:usb1="00000000" w:usb2="00010000" w:usb3="00000000" w:csb0="80000000" w:csb1="00000000"/>
  </w:font>
  <w:font w:name="Cambria">
    <w:altName w:val="Cambria"/>
    <w:panose1 w:val="02040503050004030204"/>
    <w:charset w:val="00"/>
    <w:family w:val="auto"/>
    <w:pitch w:val="variable"/>
    <w:sig w:usb0="00000003" w:usb1="00000000" w:usb2="00000000" w:usb3="00000000" w:csb0="00000001" w:csb1="00000000"/>
  </w:font>
  <w:font w:name="Calibri">
    <w:altName w:val="Calibri"/>
    <w:panose1 w:val="020f0502020002030204"/>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14:paraId="676FF9A0">
      <w:pPr>
        <w:pStyle w:val="style4110"/>
        <w:spacing w:before="0" w:after="0" w:lineRule="exact" w:line="200"/>
        <w:rPr/>
      </w:pPr>
      <w:bookmarkStart w:id="152" w:name="_Ref_Footnote_1"/>
      <w:r>
        <w:rPr>
          <w:rStyle w:val="style4122"/>
          <w:vertAlign w:val="superscript"/>
        </w:rPr>
        <w:footnoteRef/>
      </w:r>
      <w:r>
        <w:rPr>
          <w:sz w:val="18"/>
          <w:szCs w:val="18"/>
        </w:rPr>
        <w:t xml:space="preserve"> Viprasol Tech. https://viprasol.com/blog/saas-api-versioning/</w:t>
      </w:r>
      <w:bookmarkEnd w:id="152"/>
    </w:p>
    <w:bookmarkStart w:id="153" w:name="_Ref_Footnote_2"/>
  </w:footnote>
  <w:footnote w:id="2">
    <w:p w14:paraId="B4444FB1">
      <w:pPr>
        <w:pStyle w:val="style4110"/>
        <w:spacing w:before="0" w:after="0" w:lineRule="exact" w:line="200"/>
        <w:rPr/>
      </w:pPr>
      <w:r>
        <w:rPr>
          <w:rStyle w:val="style4122"/>
          <w:vertAlign w:val="superscript"/>
        </w:rPr>
        <w:footnoteRef/>
      </w:r>
      <w:r>
        <w:rPr>
          <w:sz w:val="18"/>
          <w:szCs w:val="18"/>
        </w:rPr>
        <w:t xml:space="preserve"> simplyblock. https://simplyblock.io/glossary/csi-snapshot-architecture/</w:t>
      </w:r>
      <w:bookmarkEnd w:id="153"/>
    </w:p>
    <w:bookmarkStart w:id="154" w:name="_Ref_Footnote_3"/>
  </w:footnote>
  <w:footnote w:id="3">
    <w:p w14:paraId="570264CF">
      <w:pPr>
        <w:pStyle w:val="style4110"/>
        <w:spacing w:before="0" w:after="0" w:lineRule="exact" w:line="200"/>
        <w:rPr/>
      </w:pPr>
      <w:r>
        <w:rPr>
          <w:rStyle w:val="style4122"/>
          <w:vertAlign w:val="superscript"/>
        </w:rPr>
        <w:footnoteRef/>
      </w:r>
      <w:r>
        <w:rPr>
          <w:sz w:val="18"/>
          <w:szCs w:val="18"/>
        </w:rPr>
        <w:t xml:space="preserve"> 腾讯云. https://cloud.tencent.com/developer/article/2668268</w:t>
      </w:r>
      <w:bookmarkEnd w:id="154"/>
    </w:p>
    <w:bookmarkStart w:id="155" w:name="_Ref_Footnote_4"/>
  </w:footnote>
  <w:footnote w:id="4">
    <w:p w14:paraId="F9A584FC">
      <w:pPr>
        <w:pStyle w:val="style4110"/>
        <w:spacing w:before="0" w:after="0" w:lineRule="exact" w:line="200"/>
        <w:rPr/>
      </w:pPr>
      <w:r>
        <w:rPr>
          <w:rStyle w:val="style4122"/>
          <w:vertAlign w:val="superscript"/>
        </w:rPr>
        <w:footnoteRef/>
      </w:r>
      <w:r>
        <w:rPr>
          <w:sz w:val="18"/>
          <w:szCs w:val="18"/>
        </w:rPr>
        <w:t xml:space="preserve"> oneuptime.com. https://oneuptime.com/blog/post/2026-03-20-harvester-vs-proxmox/view</w:t>
      </w:r>
      <w:bookmarkEnd w:id="155"/>
    </w:p>
    <w:bookmarkStart w:id="156" w:name="_Ref_Footnote_5"/>
  </w:footnote>
  <w:footnote w:id="5">
    <w:p w14:paraId="0BCEA1D1">
      <w:pPr>
        <w:pStyle w:val="style4110"/>
        <w:spacing w:before="0" w:after="0" w:lineRule="exact" w:line="200"/>
        <w:rPr/>
      </w:pPr>
      <w:r>
        <w:rPr>
          <w:rStyle w:val="style4122"/>
          <w:vertAlign w:val="superscript"/>
        </w:rPr>
        <w:footnoteRef/>
      </w:r>
      <w:r>
        <w:rPr>
          <w:sz w:val="18"/>
          <w:szCs w:val="18"/>
        </w:rPr>
        <w:t xml:space="preserve"> Bing. https://www.bing.com/ck/a?!=&amp;fclid=1190bc37-191c-6381-27e5-a9c518e362e1&amp;hsh=4&amp;ntb=1&amp;p=dee417cb1d609734bcb960d644b695e4f09eadd39053f2c94088d6d072f78b31JmltdHM9MTc0NzY5OTIwMA&amp;psq=Kata Containers startup time Dragonball&amp;ptn=3&amp;u=a1aHR0cHM6Ly9kZWVwd2lraS5jb20vb3BlbnNoaWZ0L2thdGEtY29udGFpbmVycw&amp;ver=2</w:t>
      </w:r>
      <w:bookmarkEnd w:id="156"/>
    </w:p>
    <w:bookmarkStart w:id="157" w:name="_Ref_Footnote_6"/>
  </w:footnote>
  <w:footnote w:id="6">
    <w:p w14:paraId="E6005D9F">
      <w:pPr>
        <w:pStyle w:val="style4110"/>
        <w:spacing w:before="0" w:after="0" w:lineRule="exact" w:line="200"/>
        <w:rPr/>
      </w:pPr>
      <w:r>
        <w:rPr>
          <w:rStyle w:val="style4122"/>
          <w:vertAlign w:val="superscript"/>
        </w:rPr>
        <w:footnoteRef/>
      </w:r>
      <w:r>
        <w:rPr>
          <w:sz w:val="18"/>
          <w:szCs w:val="18"/>
        </w:rPr>
        <w:t xml:space="preserve"> Github. https://github.com/MottainaiCI/simplestreams-builder</w:t>
      </w:r>
      <w:bookmarkEnd w:id="157"/>
    </w:p>
    <w:bookmarkStart w:id="158" w:name="_Ref_Footnote_7"/>
  </w:footnote>
  <w:footnote w:id="7">
    <w:p w14:paraId="4AA9EC4F">
      <w:pPr>
        <w:pStyle w:val="style4110"/>
        <w:spacing w:before="0" w:after="0" w:lineRule="exact" w:line="200"/>
        <w:rPr/>
      </w:pPr>
      <w:r>
        <w:rPr>
          <w:rStyle w:val="style4122"/>
          <w:vertAlign w:val="superscript"/>
        </w:rPr>
        <w:footnoteRef/>
      </w:r>
      <w:r>
        <w:rPr>
          <w:sz w:val="18"/>
          <w:szCs w:val="18"/>
        </w:rPr>
        <w:t xml:space="preserve"> Emir Beganović. https://emirb.github.io/blog/microvm-2026/</w:t>
      </w:r>
      <w:bookmarkEnd w:id="158"/>
    </w:p>
    <w:bookmarkStart w:id="159" w:name="_Ref_Footnote_8"/>
  </w:footnote>
  <w:footnote w:id="8">
    <w:p w14:paraId="E9D4CBA1">
      <w:pPr>
        <w:pStyle w:val="style4110"/>
        <w:spacing w:before="0" w:after="0" w:lineRule="exact" w:line="200"/>
        <w:rPr/>
      </w:pPr>
      <w:r>
        <w:rPr>
          <w:rStyle w:val="style4122"/>
          <w:vertAlign w:val="superscript"/>
        </w:rPr>
        <w:footnoteRef/>
      </w:r>
      <w:r>
        <w:rPr>
          <w:sz w:val="18"/>
          <w:szCs w:val="18"/>
        </w:rPr>
        <w:t xml:space="preserve"> kubernetes.recipes. https://kubernetes.recipes/recipes/observability/kubernetes-service-mesh-comparison/</w:t>
      </w:r>
      <w:bookmarkEnd w:id="159"/>
    </w:p>
    <w:bookmarkStart w:id="160" w:name="_Ref_Footnote_9"/>
  </w:footnote>
  <w:footnote w:id="9">
    <w:p w14:paraId="9E9B7F3D">
      <w:pPr>
        <w:pStyle w:val="style4110"/>
        <w:spacing w:before="0" w:after="0" w:lineRule="exact" w:line="200"/>
        <w:rPr/>
      </w:pPr>
      <w:r>
        <w:rPr>
          <w:rStyle w:val="style4122"/>
          <w:vertAlign w:val="superscript"/>
        </w:rPr>
        <w:footnoteRef/>
      </w:r>
      <w:r>
        <w:rPr>
          <w:sz w:val="18"/>
          <w:szCs w:val="18"/>
        </w:rPr>
        <w:t xml:space="preserve"> Bing. https://www.bing.com/ck/a?!=&amp;fclid=2cf57ea8-6ab4-6318-0a54-6b526b5e62ba&amp;hsh=4&amp;ntb=1&amp;p=2828c35afe28618ae1a9b8f3831d3846b6f862cb00a252da19c00c3b7a9d034fJmltdHM9MTc0ODMwNDAwMA&amp;ptn=3&amp;u=a1aHR0cHM6Ly9kZXYudG8vbWFnZXNod2FyYW5zZWthci9leHBsb3JpbmctdGhlLWNuY2YtbGFuZHNjYXBlLWEtY29tcHJlaGVuc2l2ZS1vdmVydmlldy1vZi1jbG91ZC1uYXRpdmUtdGVjaG5vbG9naWVzLTJlNmc&amp;ver=2</w:t>
      </w:r>
      <w:bookmarkEnd w:id="160"/>
    </w:p>
    <w:bookmarkStart w:id="161" w:name="_Ref_Footnote_10"/>
  </w:footnote>
  <w:footnote w:id="10">
    <w:p w14:paraId="53628895">
      <w:pPr>
        <w:pStyle w:val="style4110"/>
        <w:spacing w:before="0" w:after="0" w:lineRule="exact" w:line="200"/>
        <w:rPr/>
      </w:pPr>
      <w:r>
        <w:rPr>
          <w:rStyle w:val="style4122"/>
          <w:vertAlign w:val="superscript"/>
        </w:rPr>
        <w:footnoteRef/>
      </w:r>
      <w:r>
        <w:rPr>
          <w:sz w:val="18"/>
          <w:szCs w:val="18"/>
        </w:rPr>
        <w:t xml:space="preserve"> ricardof.dev. https://blog.ricardof.dev/sharing-mount-unprivileged-lxc-proxmox</w:t>
      </w:r>
      <w:bookmarkEnd w:id="161"/>
    </w:p>
    <w:bookmarkStart w:id="162" w:name="_Ref_Footnote_11"/>
  </w:footnote>
  <w:footnote w:id="11">
    <w:p w14:paraId="57058282">
      <w:pPr>
        <w:pStyle w:val="style4110"/>
        <w:spacing w:before="0" w:after="0" w:lineRule="exact" w:line="200"/>
        <w:rPr/>
      </w:pPr>
      <w:r>
        <w:rPr>
          <w:rStyle w:val="style4122"/>
          <w:vertAlign w:val="superscript"/>
        </w:rPr>
        <w:footnoteRef/>
      </w:r>
      <w:r>
        <w:rPr>
          <w:sz w:val="18"/>
          <w:szCs w:val="18"/>
        </w:rPr>
        <w:t xml:space="preserve"> 博客园. http://cnblogs.com/Thenext/p/18835358</w:t>
      </w:r>
      <w:bookmarkEnd w:id="162"/>
    </w:p>
    <w:bookmarkStart w:id="163" w:name="_Ref_Footnote_12"/>
  </w:footnote>
  <w:footnote w:id="12">
    <w:p w14:paraId="98B85190">
      <w:pPr>
        <w:pStyle w:val="style4110"/>
        <w:spacing w:before="0" w:after="0" w:lineRule="exact" w:line="200"/>
        <w:rPr/>
      </w:pPr>
      <w:r>
        <w:rPr>
          <w:rStyle w:val="style4122"/>
          <w:vertAlign w:val="superscript"/>
        </w:rPr>
        <w:footnoteRef/>
      </w:r>
      <w:r>
        <w:rPr>
          <w:sz w:val="18"/>
          <w:szCs w:val="18"/>
        </w:rPr>
        <w:t xml:space="preserve"> oneuptime.com. https://oneuptime.com/blog/post/2026-03-31-rook-ec-performance-tradeoffs/view</w:t>
      </w:r>
      <w:bookmarkEnd w:id="163"/>
    </w:p>
    <w:bookmarkStart w:id="164" w:name="_Ref_Footnote_13"/>
  </w:footnote>
  <w:footnote w:id="13">
    <w:p w14:paraId="768BC7B0">
      <w:pPr>
        <w:pStyle w:val="style4110"/>
        <w:spacing w:before="0" w:after="0" w:lineRule="exact" w:line="200"/>
        <w:rPr/>
      </w:pPr>
      <w:r>
        <w:rPr>
          <w:rStyle w:val="style4122"/>
          <w:vertAlign w:val="superscript"/>
        </w:rPr>
        <w:footnoteRef/>
      </w:r>
      <w:r>
        <w:rPr>
          <w:sz w:val="18"/>
          <w:szCs w:val="18"/>
        </w:rPr>
        <w:t xml:space="preserve"> CSDN博客. https://blog.csdn.net/weixin_26850469/article/details/157494684</w:t>
      </w:r>
      <w:bookmarkEnd w:id="164"/>
    </w:p>
    <w:bookmarkStart w:id="165" w:name="_Ref_Footnote_14"/>
  </w:footnote>
  <w:footnote w:id="14">
    <w:p w14:paraId="AE804AB7">
      <w:pPr>
        <w:pStyle w:val="style4110"/>
        <w:spacing w:before="0" w:after="0" w:lineRule="exact" w:line="200"/>
        <w:rPr/>
      </w:pPr>
      <w:r>
        <w:rPr>
          <w:rStyle w:val="style4122"/>
          <w:vertAlign w:val="superscript"/>
        </w:rPr>
        <w:footnoteRef/>
      </w:r>
      <w:r>
        <w:rPr>
          <w:sz w:val="18"/>
          <w:szCs w:val="18"/>
        </w:rPr>
        <w:t xml:space="preserve"> Github. https://github.com/TencentCloud/CubeSandbox/blob/master/docs/architecture/overview.md</w:t>
      </w:r>
      <w:bookmarkEnd w:id="165"/>
    </w:p>
    <w:bookmarkStart w:id="166" w:name="_Ref_Footnote_15"/>
  </w:footnote>
  <w:footnote w:id="15">
    <w:p w14:paraId="17611878">
      <w:pPr>
        <w:pStyle w:val="style4110"/>
        <w:spacing w:before="0" w:after="0" w:lineRule="exact" w:line="200"/>
        <w:rPr/>
      </w:pPr>
      <w:r>
        <w:rPr>
          <w:rStyle w:val="style4122"/>
          <w:vertAlign w:val="superscript"/>
        </w:rPr>
        <w:footnoteRef/>
      </w:r>
      <w:r>
        <w:rPr>
          <w:sz w:val="18"/>
          <w:szCs w:val="18"/>
        </w:rPr>
        <w:t xml:space="preserve"> HackingNote. https://www.hackingnote.com/en/versus/kata-containers-vs-kubevirt/</w:t>
      </w:r>
      <w:bookmarkEnd w:id="166"/>
    </w:p>
    <w:bookmarkStart w:id="167" w:name="_Ref_Footnote_16"/>
  </w:footnote>
  <w:footnote w:id="16">
    <w:p w14:paraId="EBFBCCFD">
      <w:pPr>
        <w:pStyle w:val="style4110"/>
        <w:spacing w:before="0" w:after="0" w:lineRule="exact" w:line="200"/>
        <w:rPr/>
      </w:pPr>
      <w:r>
        <w:rPr>
          <w:rStyle w:val="style4122"/>
          <w:vertAlign w:val="superscript"/>
        </w:rPr>
        <w:footnoteRef/>
      </w:r>
      <w:r>
        <w:rPr>
          <w:sz w:val="18"/>
          <w:szCs w:val="18"/>
        </w:rPr>
        <w:t xml:space="preserve"> Kubernetes. https://kubernetes.io/docs/reference/scheduling/config/</w:t>
      </w:r>
      <w:bookmarkEnd w:id="167"/>
    </w:p>
    <w:bookmarkStart w:id="168" w:name="_Ref_Footnote_17"/>
  </w:footnote>
  <w:footnote w:id="17">
    <w:p w14:paraId="06B6BE85">
      <w:pPr>
        <w:pStyle w:val="style4110"/>
        <w:spacing w:before="0" w:after="0" w:lineRule="exact" w:line="200"/>
        <w:rPr/>
      </w:pPr>
      <w:r>
        <w:rPr>
          <w:rStyle w:val="style4122"/>
          <w:vertAlign w:val="superscript"/>
        </w:rPr>
        <w:footnoteRef/>
      </w:r>
      <w:r>
        <w:rPr>
          <w:sz w:val="18"/>
          <w:szCs w:val="18"/>
        </w:rPr>
        <w:t xml:space="preserve"> huihoo.com. https://docs.huihoo.com/redhat/rhel7/pdf/Red_Hat_Enterprise_Linux-7-Virtualization_Deployment_and_Administration_Guide-en-US.pdf</w:t>
      </w:r>
      <w:bookmarkEnd w:id="168"/>
    </w:p>
    <w:bookmarkStart w:id="169" w:name="_Ref_Footnote_18"/>
  </w:footnote>
  <w:footnote w:id="18">
    <w:p w14:paraId="AA0F21A8">
      <w:pPr>
        <w:pStyle w:val="style4110"/>
        <w:spacing w:before="0" w:after="0" w:lineRule="exact" w:line="200"/>
        <w:rPr/>
      </w:pPr>
      <w:r>
        <w:rPr>
          <w:rStyle w:val="style4122"/>
          <w:vertAlign w:val="superscript"/>
        </w:rPr>
        <w:footnoteRef/>
      </w:r>
      <w:r>
        <w:rPr>
          <w:sz w:val="18"/>
          <w:szCs w:val="18"/>
        </w:rPr>
        <w:t xml:space="preserve"> https://vidhyasagarthakur.engineer/blog/api-versioning-and-schema-evolution-url-vs-header-versioning-backward-compatibility-migration-strategies-and-contract-testing</w:t>
      </w:r>
      <w:bookmarkEnd w:id="169"/>
    </w:p>
    <w:bookmarkStart w:id="170" w:name="_Ref_Footnote_19"/>
  </w:footnote>
  <w:footnote w:id="19">
    <w:p w14:paraId="2F8C4291">
      <w:pPr>
        <w:pStyle w:val="style4110"/>
        <w:spacing w:before="0" w:after="0" w:lineRule="exact" w:line="200"/>
        <w:rPr/>
      </w:pPr>
      <w:r>
        <w:rPr>
          <w:rStyle w:val="style4122"/>
          <w:vertAlign w:val="superscript"/>
        </w:rPr>
        <w:footnoteRef/>
      </w:r>
      <w:r>
        <w:rPr>
          <w:sz w:val="18"/>
          <w:szCs w:val="18"/>
        </w:rPr>
        <w:t xml:space="preserve"> Github. https://github.com/cloud-hypervisor/cloud-hypervisor</w:t>
      </w:r>
      <w:bookmarkEnd w:id="170"/>
    </w:p>
    <w:bookmarkStart w:id="171" w:name="_Ref_Footnote_20"/>
  </w:footnote>
  <w:footnote w:id="20">
    <w:p w14:paraId="589B34BA">
      <w:pPr>
        <w:pStyle w:val="style4110"/>
        <w:spacing w:before="0" w:after="0" w:lineRule="exact" w:line="200"/>
        <w:rPr/>
      </w:pPr>
      <w:r>
        <w:rPr>
          <w:rStyle w:val="style4122"/>
          <w:vertAlign w:val="superscript"/>
        </w:rPr>
        <w:footnoteRef/>
      </w:r>
      <w:r>
        <w:rPr>
          <w:sz w:val="18"/>
          <w:szCs w:val="18"/>
        </w:rPr>
        <w:t xml:space="preserve"> QEMU. https://www.qemu.org/2020/11/04/osv-virtio-fs/</w:t>
      </w:r>
      <w:bookmarkEnd w:id="171"/>
    </w:p>
    <w:bookmarkStart w:id="172" w:name="_Ref_Footnote_21"/>
  </w:footnote>
  <w:footnote w:id="21">
    <w:p w14:paraId="B11C0C08">
      <w:pPr>
        <w:pStyle w:val="style4110"/>
        <w:spacing w:before="0" w:after="0" w:lineRule="exact" w:line="200"/>
        <w:rPr/>
      </w:pPr>
      <w:r>
        <w:rPr>
          <w:rStyle w:val="style4122"/>
          <w:vertAlign w:val="superscript"/>
        </w:rPr>
        <w:footnoteRef/>
      </w:r>
      <w:r>
        <w:rPr>
          <w:sz w:val="18"/>
          <w:szCs w:val="18"/>
        </w:rPr>
        <w:t xml:space="preserve"> Collabnix. https://collabnix.com/exploring-the-cloud-native-ecosystem-a-beginners-guide-to-the-cncf-landscape/</w:t>
      </w:r>
      <w:bookmarkEnd w:id="172"/>
    </w:p>
    <w:bookmarkStart w:id="173" w:name="_Ref_Footnote_22"/>
  </w:footnote>
  <w:footnote w:id="22">
    <w:p w14:paraId="56D305A4">
      <w:pPr>
        <w:pStyle w:val="style4110"/>
        <w:spacing w:before="0" w:after="0" w:lineRule="exact" w:line="200"/>
        <w:rPr/>
      </w:pPr>
      <w:r>
        <w:rPr>
          <w:rStyle w:val="style4122"/>
          <w:vertAlign w:val="superscript"/>
        </w:rPr>
        <w:footnoteRef/>
      </w:r>
      <w:r>
        <w:rPr>
          <w:sz w:val="18"/>
          <w:szCs w:val="18"/>
        </w:rPr>
        <w:t xml:space="preserve"> suhaib.in. https://notes.suhaib.in/docs/tech/latest/breaking-the-kernel-barrier-how-xdp-and-ebpf-are-redefining-high-performance-networking/</w:t>
      </w:r>
      <w:bookmarkEnd w:id="173"/>
    </w:p>
    <w:bookmarkStart w:id="174" w:name="_Ref_Footnote_23"/>
  </w:footnote>
  <w:footnote w:id="23">
    <w:p w14:paraId="2465CA6F">
      <w:pPr>
        <w:pStyle w:val="style4110"/>
        <w:spacing w:before="0" w:after="0" w:lineRule="exact" w:line="200"/>
        <w:rPr/>
      </w:pPr>
      <w:r>
        <w:rPr>
          <w:rStyle w:val="style4122"/>
          <w:vertAlign w:val="superscript"/>
        </w:rPr>
        <w:footnoteRef/>
      </w:r>
      <w:r>
        <w:rPr>
          <w:sz w:val="18"/>
          <w:szCs w:val="18"/>
        </w:rPr>
        <w:t xml:space="preserve"> windowsforum.com. https://windowsforum.com/threads/linux-6-19-adds-hyper-v-depth-l1vh-mshv-confidential-vmbus-ramdax.393056/</w:t>
      </w:r>
      <w:bookmarkEnd w:id="174"/>
    </w:p>
    <w:bookmarkStart w:id="175" w:name="_Ref_Footnote_24"/>
  </w:footnote>
  <w:footnote w:id="24">
    <w:p w14:paraId="F6AE9F08">
      <w:pPr>
        <w:pStyle w:val="style4110"/>
        <w:spacing w:before="0" w:after="0" w:lineRule="exact" w:line="200"/>
        <w:rPr/>
      </w:pPr>
      <w:r>
        <w:rPr>
          <w:rStyle w:val="style4122"/>
          <w:vertAlign w:val="superscript"/>
        </w:rPr>
        <w:footnoteRef/>
      </w:r>
      <w:r>
        <w:rPr>
          <w:sz w:val="18"/>
          <w:szCs w:val="18"/>
        </w:rPr>
        <w:t xml:space="preserve"> Github. https://github.com/TencentCloud/CubeSandbox/blob/master/docs/guide/quickstart.md</w:t>
      </w:r>
      <w:bookmarkEnd w:id="175"/>
    </w:p>
    <w:bookmarkStart w:id="176" w:name="_Ref_Footnote_25"/>
  </w:footnote>
  <w:footnote w:id="25">
    <w:p w14:paraId="5AB87DE2">
      <w:pPr>
        <w:pStyle w:val="style4110"/>
        <w:spacing w:before="0" w:after="0" w:lineRule="exact" w:line="200"/>
        <w:rPr/>
      </w:pPr>
      <w:r>
        <w:rPr>
          <w:rStyle w:val="style4122"/>
          <w:vertAlign w:val="superscript"/>
        </w:rPr>
        <w:footnoteRef/>
      </w:r>
      <w:r>
        <w:rPr>
          <w:sz w:val="18"/>
          <w:szCs w:val="18"/>
        </w:rPr>
        <w:t xml:space="preserve"> oneuptime.com. https://oneuptime.com/blog/post/2026-02-09-custom-schedulers-specialized/view</w:t>
      </w:r>
      <w:bookmarkEnd w:id="176"/>
    </w:p>
    <w:bookmarkStart w:id="177" w:name="_Ref_Footnote_26"/>
  </w:footnote>
  <w:footnote w:id="26">
    <w:p w14:paraId="1005BD3F">
      <w:pPr>
        <w:pStyle w:val="style4110"/>
        <w:spacing w:before="0" w:after="0" w:lineRule="exact" w:line="200"/>
        <w:rPr/>
      </w:pPr>
      <w:r>
        <w:rPr>
          <w:rStyle w:val="style4122"/>
          <w:vertAlign w:val="superscript"/>
        </w:rPr>
        <w:footnoteRef/>
      </w:r>
      <w:r>
        <w:rPr>
          <w:sz w:val="18"/>
          <w:szCs w:val="18"/>
        </w:rPr>
        <w:t xml:space="preserve"> Github. https://github.com/wnz27/kata-containers-learn/blob/main/docs/hypervisors.md</w:t>
      </w:r>
      <w:bookmarkEnd w:id="177"/>
    </w:p>
    <w:bookmarkStart w:id="178" w:name="_Ref_Footnote_27"/>
  </w:footnote>
  <w:footnote w:id="27">
    <w:p w14:paraId="EDF02467">
      <w:pPr>
        <w:pStyle w:val="style4110"/>
        <w:spacing w:before="0" w:after="0" w:lineRule="exact" w:line="200"/>
        <w:rPr/>
      </w:pPr>
      <w:r>
        <w:rPr>
          <w:rStyle w:val="style4122"/>
          <w:vertAlign w:val="superscript"/>
        </w:rPr>
        <w:footnoteRef/>
      </w:r>
      <w:r>
        <w:rPr>
          <w:sz w:val="18"/>
          <w:szCs w:val="18"/>
        </w:rPr>
        <w:t xml:space="preserve"> Northflank. https://northflank.com/blog/kata-containers-vs-firecracker-vs-gvisor</w:t>
      </w:r>
      <w:bookmarkEnd w:id="178"/>
    </w:p>
    <w:bookmarkStart w:id="179" w:name="_Ref_Footnote_28"/>
  </w:footnote>
  <w:footnote w:id="28">
    <w:p w14:paraId="8546EBA3">
      <w:pPr>
        <w:pStyle w:val="style4110"/>
        <w:spacing w:before="0" w:after="0" w:lineRule="exact" w:line="200"/>
        <w:rPr/>
      </w:pPr>
      <w:r>
        <w:rPr>
          <w:rStyle w:val="style4122"/>
          <w:vertAlign w:val="superscript"/>
        </w:rPr>
        <w:footnoteRef/>
      </w:r>
      <w:r>
        <w:rPr>
          <w:sz w:val="18"/>
          <w:szCs w:val="18"/>
        </w:rPr>
        <w:t xml:space="preserve"> Tech Edu ByteTech Edu Byte. https://www.techedubyte.com/mshv-accelerator-qemu-10-2-hyper-v-guest-vm-performance/</w:t>
      </w:r>
      <w:bookmarkEnd w:id="179"/>
    </w:p>
    <w:bookmarkStart w:id="180" w:name="_Ref_Footnote_29"/>
  </w:footnote>
  <w:footnote w:id="29">
    <w:p w14:paraId="9CCF11E6">
      <w:pPr>
        <w:pStyle w:val="style4110"/>
        <w:spacing w:before="0" w:after="0" w:lineRule="exact" w:line="200"/>
        <w:rPr/>
      </w:pPr>
      <w:r>
        <w:rPr>
          <w:rStyle w:val="style4122"/>
          <w:vertAlign w:val="superscript"/>
        </w:rPr>
        <w:footnoteRef/>
      </w:r>
      <w:r>
        <w:rPr>
          <w:sz w:val="18"/>
          <w:szCs w:val="18"/>
        </w:rPr>
        <w:t xml:space="preserve"> The Any Stack Architect. https://www.anystackarchitect.com/proxmox-ve-cluster-design-fundamentals-for-v9-1/</w:t>
      </w:r>
      <w:bookmarkEnd w:id="180"/>
    </w:p>
    <w:bookmarkStart w:id="181" w:name="_Ref_Footnote_30"/>
  </w:footnote>
  <w:footnote w:id="30">
    <w:p w14:paraId="9303CD41">
      <w:pPr>
        <w:pStyle w:val="style4110"/>
        <w:spacing w:before="0" w:after="0" w:lineRule="exact" w:line="200"/>
        <w:rPr/>
      </w:pPr>
      <w:r>
        <w:rPr>
          <w:rStyle w:val="style4122"/>
          <w:vertAlign w:val="superscript"/>
        </w:rPr>
        <w:footnoteRef/>
      </w:r>
      <w:r>
        <w:rPr>
          <w:sz w:val="18"/>
          <w:szCs w:val="18"/>
        </w:rPr>
        <w:t xml:space="preserve"> Dev Genius. https://blog.devgenius.io/understanding-the-proxmox-architecture-from-esxi-to-proxmox-ve-8-4-0d41d300365a</w:t>
      </w:r>
      <w:bookmarkEnd w:id="181"/>
    </w:p>
    <w:bookmarkStart w:id="182" w:name="_Ref_Footnote_31"/>
  </w:footnote>
  <w:footnote w:id="31">
    <w:p w14:paraId="EC42D8A3">
      <w:pPr>
        <w:pStyle w:val="style4110"/>
        <w:spacing w:before="0" w:after="0" w:lineRule="exact" w:line="200"/>
        <w:rPr/>
      </w:pPr>
      <w:r>
        <w:rPr>
          <w:rStyle w:val="style4122"/>
          <w:vertAlign w:val="superscript"/>
        </w:rPr>
        <w:footnoteRef/>
      </w:r>
      <w:r>
        <w:rPr>
          <w:sz w:val="18"/>
          <w:szCs w:val="18"/>
        </w:rPr>
        <w:t xml:space="preserve"> Nuface Blog. https://www.nuface.tw/building-a-proxmox-cluster-and-high-availability-ha-architecture/</w:t>
      </w:r>
      <w:bookmarkEnd w:id="182"/>
    </w:p>
    <w:bookmarkStart w:id="183" w:name="_Ref_Footnote_32"/>
  </w:footnote>
  <w:footnote w:id="32">
    <w:p w14:paraId="9912E947">
      <w:pPr>
        <w:pStyle w:val="style4110"/>
        <w:spacing w:before="0" w:after="0" w:lineRule="exact" w:line="200"/>
        <w:rPr/>
      </w:pPr>
      <w:r>
        <w:rPr>
          <w:rStyle w:val="style4122"/>
          <w:vertAlign w:val="superscript"/>
        </w:rPr>
        <w:footnoteRef/>
      </w:r>
      <w:r>
        <w:rPr>
          <w:sz w:val="18"/>
          <w:szCs w:val="18"/>
        </w:rPr>
        <w:t xml:space="preserve"> devleader.ca. https://www.devleader.ca/2026/06/04/api-versioning-in-aspnet-core-url-header-and-query-string-strategies</w:t>
      </w:r>
      <w:bookmarkEnd w:id="183"/>
    </w:p>
    <w:bookmarkStart w:id="184" w:name="_Ref_Footnote_33"/>
  </w:footnote>
  <w:footnote w:id="33">
    <w:p w14:paraId="BA40330C">
      <w:pPr>
        <w:pStyle w:val="style4110"/>
        <w:spacing w:before="0" w:after="0" w:lineRule="exact" w:line="200"/>
        <w:rPr/>
      </w:pPr>
      <w:r>
        <w:rPr>
          <w:rStyle w:val="style4122"/>
          <w:vertAlign w:val="superscript"/>
        </w:rPr>
        <w:footnoteRef/>
      </w:r>
      <w:r>
        <w:rPr>
          <w:sz w:val="18"/>
          <w:szCs w:val="18"/>
        </w:rPr>
        <w:t xml:space="preserve"> CSDN博客. https://blog.csdn.net/gitblog_01041/article/details/150957254</w:t>
      </w:r>
      <w:bookmarkEnd w:id="184"/>
    </w:p>
    <w:bookmarkStart w:id="185" w:name="_Ref_Footnote_34"/>
  </w:footnote>
  <w:footnote w:id="34">
    <w:p w14:paraId="B8578EE3">
      <w:pPr>
        <w:pStyle w:val="style4110"/>
        <w:spacing w:before="0" w:after="0" w:lineRule="exact" w:line="200"/>
        <w:rPr/>
      </w:pPr>
      <w:r>
        <w:rPr>
          <w:rStyle w:val="style4122"/>
          <w:vertAlign w:val="superscript"/>
        </w:rPr>
        <w:footnoteRef/>
      </w:r>
      <w:r>
        <w:rPr>
          <w:sz w:val="18"/>
          <w:szCs w:val="18"/>
        </w:rPr>
        <w:t xml:space="preserve"> jsonic.io. https://jsonic.io/guides/json-api-versioning</w:t>
      </w:r>
      <w:bookmarkEnd w:id="185"/>
    </w:p>
    <w:bookmarkStart w:id="186" w:name="_Ref_Footnote_35"/>
  </w:footnote>
  <w:footnote w:id="35">
    <w:p w14:paraId="37569113">
      <w:pPr>
        <w:pStyle w:val="style4110"/>
        <w:spacing w:before="0" w:after="0" w:lineRule="exact" w:line="200"/>
        <w:rPr/>
      </w:pPr>
      <w:r>
        <w:rPr>
          <w:rStyle w:val="style4122"/>
          <w:vertAlign w:val="superscript"/>
        </w:rPr>
        <w:footnoteRef/>
      </w:r>
      <w:r>
        <w:rPr>
          <w:sz w:val="18"/>
          <w:szCs w:val="18"/>
        </w:rPr>
        <w:t xml:space="preserve"> hoop.dev. https://hoop.dev/blog/master-rbac-and-ldap-for-efficient-access-control</w:t>
      </w:r>
      <w:bookmarkEnd w:id="186"/>
    </w:p>
    <w:bookmarkStart w:id="187" w:name="_Ref_Footnote_36"/>
  </w:footnote>
  <w:footnote w:id="36">
    <w:p w14:paraId="0E8B8FFC">
      <w:pPr>
        <w:pStyle w:val="style4110"/>
        <w:spacing w:before="0" w:after="0" w:lineRule="exact" w:line="200"/>
        <w:rPr/>
      </w:pPr>
      <w:r>
        <w:rPr>
          <w:rStyle w:val="style4122"/>
          <w:vertAlign w:val="superscript"/>
        </w:rPr>
        <w:footnoteRef/>
      </w:r>
      <w:r>
        <w:rPr>
          <w:sz w:val="18"/>
          <w:szCs w:val="18"/>
        </w:rPr>
        <w:t xml:space="preserve"> Proxmox Support Forum. https://forum.proxmox.com/threads/helped-required-proxmox-pve-pbs-log-shipping-siem-integration.180261/</w:t>
      </w:r>
      <w:bookmarkEnd w:id="187"/>
    </w:p>
    <w:bookmarkStart w:id="188" w:name="_Ref_Footnote_37"/>
  </w:footnote>
  <w:footnote w:id="37">
    <w:p w14:paraId="92C90974">
      <w:pPr>
        <w:pStyle w:val="style4110"/>
        <w:spacing w:before="0" w:after="0" w:lineRule="exact" w:line="200"/>
        <w:rPr/>
      </w:pPr>
      <w:r>
        <w:rPr>
          <w:rStyle w:val="style4122"/>
          <w:vertAlign w:val="superscript"/>
        </w:rPr>
        <w:footnoteRef/>
      </w:r>
      <w:r>
        <w:rPr>
          <w:sz w:val="18"/>
          <w:szCs w:val="18"/>
        </w:rPr>
        <w:t xml:space="preserve"> idroot. https://idroot.us/install-incus-opensuse/</w:t>
      </w:r>
      <w:bookmarkEnd w:id="188"/>
    </w:p>
    <w:bookmarkStart w:id="189" w:name="_Ref_Footnote_38"/>
  </w:footnote>
  <w:footnote w:id="38">
    <w:p w14:paraId="567D3230">
      <w:pPr>
        <w:pStyle w:val="style4110"/>
        <w:spacing w:before="0" w:after="0" w:lineRule="exact" w:line="200"/>
        <w:rPr/>
      </w:pPr>
      <w:r>
        <w:rPr>
          <w:rStyle w:val="style4122"/>
          <w:vertAlign w:val="superscript"/>
        </w:rPr>
        <w:footnoteRef/>
      </w:r>
      <w:r>
        <w:rPr>
          <w:sz w:val="18"/>
          <w:szCs w:val="18"/>
        </w:rPr>
        <w:t xml:space="preserve"> Github. https://github.com/cloud-hypervisor/cloud-hypervisor/blob/main/docs/device_model.md</w:t>
      </w:r>
      <w:bookmarkEnd w:id="189"/>
    </w:p>
    <w:bookmarkStart w:id="190" w:name="_Ref_Footnote_39"/>
  </w:footnote>
  <w:footnote w:id="39">
    <w:p w14:paraId="87C9723D">
      <w:pPr>
        <w:pStyle w:val="style4110"/>
        <w:spacing w:before="0" w:after="0" w:lineRule="exact" w:line="200"/>
        <w:rPr/>
      </w:pPr>
      <w:r>
        <w:rPr>
          <w:rStyle w:val="style4122"/>
          <w:vertAlign w:val="superscript"/>
        </w:rPr>
        <w:footnoteRef/>
      </w:r>
      <w:r>
        <w:rPr>
          <w:sz w:val="18"/>
          <w:szCs w:val="18"/>
        </w:rPr>
        <w:t xml:space="preserve"> 博客园. https://www.cnblogs.com/tlnshuju/p/19261737</w:t>
      </w:r>
      <w:bookmarkEnd w:id="190"/>
    </w:p>
    <w:bookmarkStart w:id="191" w:name="_Ref_Footnote_40"/>
  </w:footnote>
  <w:footnote w:id="40">
    <w:p w14:paraId="42E976F0">
      <w:pPr>
        <w:pStyle w:val="style4110"/>
        <w:spacing w:before="0" w:after="0" w:lineRule="exact" w:line="200"/>
        <w:rPr/>
      </w:pPr>
      <w:r>
        <w:rPr>
          <w:rStyle w:val="style4122"/>
          <w:vertAlign w:val="superscript"/>
        </w:rPr>
        <w:footnoteRef/>
      </w:r>
      <w:r>
        <w:rPr>
          <w:sz w:val="18"/>
          <w:szCs w:val="18"/>
        </w:rPr>
        <w:t xml:space="preserve"> Calico Documentation. https://docs.tigera.io/calico/latest/networking/configuring/vxlan-ipip</w:t>
      </w:r>
      <w:bookmarkEnd w:id="191"/>
    </w:p>
    <w:bookmarkStart w:id="192" w:name="_Ref_Footnote_41"/>
  </w:footnote>
  <w:footnote w:id="41">
    <w:p w14:paraId="2B8D779A">
      <w:pPr>
        <w:pStyle w:val="style4110"/>
        <w:spacing w:before="0" w:after="0" w:lineRule="exact" w:line="200"/>
        <w:rPr/>
      </w:pPr>
      <w:r>
        <w:rPr>
          <w:rStyle w:val="style4122"/>
          <w:vertAlign w:val="superscript"/>
        </w:rPr>
        <w:footnoteRef/>
      </w:r>
      <w:r>
        <w:rPr>
          <w:sz w:val="18"/>
          <w:szCs w:val="18"/>
        </w:rPr>
        <w:t xml:space="preserve"> Northflank. https://northflank.com/blog/guide-to-cloud-hypervisor</w:t>
      </w:r>
      <w:bookmarkEnd w:id="192"/>
    </w:p>
    <w:bookmarkStart w:id="193" w:name="_Ref_Footnote_42"/>
  </w:footnote>
  <w:footnote w:id="42">
    <w:p w14:paraId="87A186B4">
      <w:pPr>
        <w:pStyle w:val="style4110"/>
        <w:spacing w:before="0" w:after="0" w:lineRule="exact" w:line="200"/>
        <w:rPr/>
      </w:pPr>
      <w:r>
        <w:rPr>
          <w:rStyle w:val="style4122"/>
          <w:vertAlign w:val="superscript"/>
        </w:rPr>
        <w:footnoteRef/>
      </w:r>
      <w:r>
        <w:rPr>
          <w:sz w:val="18"/>
          <w:szCs w:val="18"/>
        </w:rPr>
        <w:t xml:space="preserve"> Support Tools. https://support.tools/kubevirt-vm-in-my-pod/</w:t>
      </w:r>
      <w:bookmarkEnd w:id="193"/>
    </w:p>
    <w:bookmarkStart w:id="194" w:name="_Ref_Footnote_43"/>
  </w:footnote>
  <w:footnote w:id="43">
    <w:p w14:paraId="F6C6CFD0">
      <w:pPr>
        <w:pStyle w:val="style4110"/>
        <w:spacing w:before="0" w:after="0" w:lineRule="exact" w:line="200"/>
        <w:rPr/>
      </w:pPr>
      <w:r>
        <w:rPr>
          <w:rStyle w:val="style4122"/>
          <w:vertAlign w:val="superscript"/>
        </w:rPr>
        <w:footnoteRef/>
      </w:r>
      <w:r>
        <w:rPr>
          <w:sz w:val="18"/>
          <w:szCs w:val="18"/>
        </w:rPr>
        <w:t xml:space="preserve"> 天翼云. https://www.ctyun.cn/developer/article/411480762572869</w:t>
      </w:r>
      <w:bookmarkEnd w:id="194"/>
    </w:p>
    <w:bookmarkStart w:id="195" w:name="_Ref_Footnote_44"/>
  </w:footnote>
  <w:footnote w:id="44">
    <w:p w14:paraId="677E2341">
      <w:pPr>
        <w:pStyle w:val="style4110"/>
        <w:spacing w:before="0" w:after="0" w:lineRule="exact" w:line="200"/>
        <w:rPr/>
      </w:pPr>
      <w:r>
        <w:rPr>
          <w:rStyle w:val="style4122"/>
          <w:vertAlign w:val="superscript"/>
        </w:rPr>
        <w:footnoteRef/>
      </w:r>
      <w:r>
        <w:rPr>
          <w:sz w:val="18"/>
          <w:szCs w:val="18"/>
        </w:rPr>
        <w:t xml:space="preserve"> simplyblock. https://simplyblock.io/glossary/what-is-nvme-of/</w:t>
      </w:r>
      <w:bookmarkEnd w:id="195"/>
    </w:p>
    <w:bookmarkStart w:id="196" w:name="_Ref_Footnote_45"/>
  </w:footnote>
  <w:footnote w:id="45">
    <w:p w14:paraId="E95FA890">
      <w:pPr>
        <w:pStyle w:val="style4110"/>
        <w:spacing w:before="0" w:after="0" w:lineRule="exact" w:line="200"/>
        <w:rPr/>
      </w:pPr>
      <w:r>
        <w:rPr>
          <w:rStyle w:val="style4122"/>
          <w:vertAlign w:val="superscript"/>
        </w:rPr>
        <w:footnoteRef/>
      </w:r>
      <w:r>
        <w:rPr>
          <w:sz w:val="18"/>
          <w:szCs w:val="18"/>
        </w:rPr>
        <w:t xml:space="preserve"> 英方软件. https://www.info2soft.com/blogs/vm-live-migration-hyper-v.html</w:t>
      </w:r>
      <w:bookmarkEnd w:id="196"/>
    </w:p>
    <w:bookmarkStart w:id="197" w:name="_Ref_Footnote_46"/>
  </w:footnote>
  <w:footnote w:id="46">
    <w:p w14:paraId="AA258B5B">
      <w:pPr>
        <w:pStyle w:val="style4110"/>
        <w:spacing w:before="0" w:after="0" w:lineRule="exact" w:line="200"/>
        <w:rPr/>
      </w:pPr>
      <w:r>
        <w:rPr>
          <w:rStyle w:val="style4122"/>
          <w:vertAlign w:val="superscript"/>
        </w:rPr>
        <w:footnoteRef/>
      </w:r>
      <w:r>
        <w:rPr>
          <w:sz w:val="18"/>
          <w:szCs w:val="18"/>
        </w:rPr>
        <w:t xml:space="preserve"> Apidog. https://apidog.com/blog/what-is-cubesandbox-for-ai-agents/</w:t>
      </w:r>
      <w:bookmarkEnd w:id="197"/>
    </w:p>
    <w:bookmarkStart w:id="198" w:name="_Ref_Footnote_47"/>
  </w:footnote>
  <w:footnote w:id="47">
    <w:p w14:paraId="479C3137">
      <w:pPr>
        <w:pStyle w:val="style4110"/>
        <w:spacing w:before="0" w:after="0" w:lineRule="exact" w:line="200"/>
        <w:rPr/>
      </w:pPr>
      <w:r>
        <w:rPr>
          <w:rStyle w:val="style4122"/>
          <w:vertAlign w:val="superscript"/>
        </w:rPr>
        <w:footnoteRef/>
      </w:r>
      <w:r>
        <w:rPr>
          <w:sz w:val="18"/>
          <w:szCs w:val="18"/>
        </w:rPr>
        <w:t xml:space="preserve"> End Machine Learning Workflows with Kubeflow. https://kubezilla.io/boost-performance-ebpf-xdp-packet-processing/</w:t>
      </w:r>
      <w:bookmarkEnd w:id="198"/>
    </w:p>
    <w:bookmarkStart w:id="199" w:name="_Ref_Footnote_48"/>
  </w:footnote>
  <w:footnote w:id="48">
    <w:p w14:paraId="5D0298F4">
      <w:pPr>
        <w:pStyle w:val="style4110"/>
        <w:spacing w:before="0" w:after="0" w:lineRule="exact" w:line="200"/>
        <w:rPr/>
      </w:pPr>
      <w:r>
        <w:rPr>
          <w:rStyle w:val="style4122"/>
          <w:vertAlign w:val="superscript"/>
        </w:rPr>
        <w:footnoteRef/>
      </w:r>
      <w:r>
        <w:rPr>
          <w:sz w:val="18"/>
          <w:szCs w:val="18"/>
        </w:rPr>
        <w:t xml:space="preserve"> Jimmy Song 的个人博客. https://jimmysong.io/book/kubernetes-handbook/networking/calico/</w:t>
      </w:r>
      <w:bookmarkEnd w:id="199"/>
    </w:p>
    <w:bookmarkStart w:id="200" w:name="_Ref_Footnote_49"/>
  </w:footnote>
  <w:footnote w:id="49">
    <w:p w14:paraId="A72714E3">
      <w:pPr>
        <w:pStyle w:val="style4110"/>
        <w:spacing w:before="0" w:after="0" w:lineRule="exact" w:line="200"/>
        <w:rPr/>
      </w:pPr>
      <w:r>
        <w:rPr>
          <w:rStyle w:val="style4122"/>
          <w:vertAlign w:val="superscript"/>
        </w:rPr>
        <w:footnoteRef/>
      </w:r>
      <w:r>
        <w:rPr>
          <w:sz w:val="18"/>
          <w:szCs w:val="18"/>
        </w:rPr>
        <w:t xml:space="preserve"> CSDN博客. https://blog.csdn.net/gitblog_00912/article/details/152402737</w:t>
      </w:r>
      <w:bookmarkEnd w:id="200"/>
    </w:p>
    <w:bookmarkStart w:id="201" w:name="_Ref_Footnote_50"/>
  </w:footnote>
  <w:footnote w:id="50">
    <w:p w14:paraId="8ED139E6">
      <w:pPr>
        <w:pStyle w:val="style4110"/>
        <w:spacing w:before="0" w:after="0" w:lineRule="exact" w:line="200"/>
        <w:rPr/>
      </w:pPr>
      <w:r>
        <w:rPr>
          <w:rStyle w:val="style4122"/>
          <w:vertAlign w:val="superscript"/>
        </w:rPr>
        <w:footnoteRef/>
      </w:r>
      <w:r>
        <w:rPr>
          <w:sz w:val="18"/>
          <w:szCs w:val="18"/>
        </w:rPr>
        <w:t xml:space="preserve"> oneuptime.com. https://oneuptime.com/blog/post/2026-03-02-how-to-configure-lvm-thin-provisioning-on-ubuntu/view</w:t>
      </w:r>
      <w:bookmarkEnd w:id="201"/>
    </w:p>
    <w:bookmarkStart w:id="202" w:name="_Ref_Footnote_51"/>
  </w:footnote>
  <w:footnote w:id="51">
    <w:p w14:paraId="82772874">
      <w:pPr>
        <w:pStyle w:val="style4110"/>
        <w:spacing w:before="0" w:after="0" w:lineRule="exact" w:line="200"/>
        <w:rPr/>
      </w:pPr>
      <w:r>
        <w:rPr>
          <w:rStyle w:val="style4122"/>
          <w:vertAlign w:val="superscript"/>
        </w:rPr>
        <w:footnoteRef/>
      </w:r>
      <w:r>
        <w:rPr>
          <w:sz w:val="18"/>
          <w:szCs w:val="18"/>
        </w:rPr>
        <w:t xml:space="preserve"> OpenNebula. https://opennebula.io/blog/newsletter/newsletter-june-2025/</w:t>
      </w:r>
      <w:bookmarkEnd w:id="202"/>
    </w:p>
    <w:bookmarkStart w:id="203" w:name="_Ref_Footnote_52"/>
  </w:footnote>
  <w:footnote w:id="52">
    <w:p w14:paraId="B301DD4A">
      <w:pPr>
        <w:pStyle w:val="style4110"/>
        <w:spacing w:before="0" w:after="0" w:lineRule="exact" w:line="200"/>
        <w:rPr/>
      </w:pPr>
      <w:r>
        <w:rPr>
          <w:rStyle w:val="style4122"/>
          <w:vertAlign w:val="superscript"/>
        </w:rPr>
        <w:footnoteRef/>
      </w:r>
      <w:r>
        <w:rPr>
          <w:sz w:val="18"/>
          <w:szCs w:val="18"/>
        </w:rPr>
        <w:t xml:space="preserve"> BDRSuite. https://www.bdrsuite.com/blog/what-are-hyper-v-containers-and-why-do-you-need-them/</w:t>
      </w:r>
      <w:bookmarkEnd w:id="203"/>
    </w:p>
    <w:bookmarkStart w:id="204" w:name="_Ref_Footnote_53"/>
  </w:footnote>
  <w:footnote w:id="53">
    <w:p w14:paraId="3008BA3B">
      <w:pPr>
        <w:pStyle w:val="style4110"/>
        <w:spacing w:before="0" w:after="0" w:lineRule="exact" w:line="200"/>
        <w:rPr/>
      </w:pPr>
      <w:r>
        <w:rPr>
          <w:rStyle w:val="style4122"/>
          <w:vertAlign w:val="superscript"/>
        </w:rPr>
        <w:footnoteRef/>
      </w:r>
      <w:r>
        <w:rPr>
          <w:sz w:val="18"/>
          <w:szCs w:val="18"/>
        </w:rPr>
        <w:t xml:space="preserve"> 博客园. https://www.cnblogs.com/rincloud/p/17336615.html</w:t>
      </w:r>
      <w:bookmarkEnd w:id="204"/>
    </w:p>
    <w:bookmarkStart w:id="205" w:name="_Ref_Footnote_54"/>
  </w:footnote>
  <w:footnote w:id="54">
    <w:p w14:paraId="BA4D1D5C">
      <w:pPr>
        <w:pStyle w:val="style4110"/>
        <w:spacing w:before="0" w:after="0" w:lineRule="exact" w:line="200"/>
        <w:rPr/>
      </w:pPr>
      <w:r>
        <w:rPr>
          <w:rStyle w:val="style4122"/>
          <w:vertAlign w:val="superscript"/>
        </w:rPr>
        <w:footnoteRef/>
      </w:r>
      <w:r>
        <w:rPr>
          <w:sz w:val="18"/>
          <w:szCs w:val="18"/>
        </w:rPr>
        <w:t xml:space="preserve"> aicoolies. https://aicoolies.com/comparisons/cilium-vs-istio</w:t>
      </w:r>
      <w:bookmarkEnd w:id="205"/>
    </w:p>
    <w:bookmarkStart w:id="206" w:name="_Ref_Footnote_55"/>
  </w:footnote>
  <w:footnote w:id="55">
    <w:p w14:paraId="577071CC">
      <w:pPr>
        <w:pStyle w:val="style4110"/>
        <w:spacing w:before="0" w:after="0" w:lineRule="exact" w:line="200"/>
        <w:rPr/>
      </w:pPr>
      <w:r>
        <w:rPr>
          <w:rStyle w:val="style4122"/>
          <w:vertAlign w:val="superscript"/>
        </w:rPr>
        <w:footnoteRef/>
      </w:r>
      <w:r>
        <w:rPr>
          <w:sz w:val="18"/>
          <w:szCs w:val="18"/>
        </w:rPr>
        <w:t xml:space="preserve"> Github. https://github.com/tencentcloud/CubeSandbox</w:t>
      </w:r>
      <w:bookmarkEnd w:id="206"/>
    </w:p>
    <w:bookmarkStart w:id="207" w:name="_Ref_Footnote_56"/>
  </w:footnote>
  <w:footnote w:id="56">
    <w:p w14:paraId="254DA1F4">
      <w:pPr>
        <w:pStyle w:val="style4110"/>
        <w:spacing w:before="0" w:after="0" w:lineRule="exact" w:line="200"/>
        <w:rPr/>
      </w:pPr>
      <w:r>
        <w:rPr>
          <w:rStyle w:val="style4122"/>
          <w:vertAlign w:val="superscript"/>
        </w:rPr>
        <w:footnoteRef/>
      </w:r>
      <w:r>
        <w:rPr>
          <w:sz w:val="18"/>
          <w:szCs w:val="18"/>
        </w:rPr>
        <w:t xml:space="preserve"> summer-ospp.ac.cn. https://gitlab.summer-ospp.ac.cn/summer2022/22ccc0035/-/tree/main/docs/design/architecture</w:t>
      </w:r>
      <w:bookmarkEnd w:id="207"/>
    </w:p>
    <w:bookmarkStart w:id="208" w:name="_Ref_Footnote_57"/>
  </w:footnote>
  <w:footnote w:id="57">
    <w:p w14:paraId="4C9FF151">
      <w:pPr>
        <w:pStyle w:val="style4110"/>
        <w:spacing w:before="0" w:after="0" w:lineRule="exact" w:line="200"/>
        <w:rPr/>
      </w:pPr>
      <w:r>
        <w:rPr>
          <w:rStyle w:val="style4122"/>
          <w:vertAlign w:val="superscript"/>
        </w:rPr>
        <w:footnoteRef/>
      </w:r>
      <w:r>
        <w:rPr>
          <w:sz w:val="18"/>
          <w:szCs w:val="18"/>
        </w:rPr>
        <w:t xml:space="preserve"> Github. https://github.com/TencentCloud/CubeSandbox/blob/master/docs/guide/pvm-deploy.md</w:t>
      </w:r>
      <w:bookmarkEnd w:id="208"/>
    </w:p>
    <w:bookmarkStart w:id="209" w:name="_Ref_Footnote_58"/>
  </w:footnote>
  <w:footnote w:id="58">
    <w:p w14:paraId="FF37FF36">
      <w:pPr>
        <w:pStyle w:val="style4110"/>
        <w:spacing w:before="0" w:after="0" w:lineRule="exact" w:line="200"/>
        <w:rPr/>
      </w:pPr>
      <w:r>
        <w:rPr>
          <w:rStyle w:val="style4122"/>
          <w:vertAlign w:val="superscript"/>
        </w:rPr>
        <w:footnoteRef/>
      </w:r>
      <w:r>
        <w:rPr>
          <w:sz w:val="18"/>
          <w:szCs w:val="18"/>
        </w:rPr>
        <w:t xml:space="preserve"> simplyblock. https://simplyblock.io/glossary/csi-snapshot-controller/</w:t>
      </w:r>
      <w:bookmarkEnd w:id="209"/>
    </w:p>
    <w:bookmarkStart w:id="210" w:name="_Ref_Footnote_59"/>
  </w:footnote>
  <w:footnote w:id="59">
    <w:p w14:paraId="F3B44CAF">
      <w:pPr>
        <w:pStyle w:val="style4110"/>
        <w:spacing w:before="0" w:after="0" w:lineRule="exact" w:line="200"/>
        <w:rPr/>
      </w:pPr>
      <w:r>
        <w:rPr>
          <w:rStyle w:val="style4122"/>
          <w:vertAlign w:val="superscript"/>
        </w:rPr>
        <w:footnoteRef/>
      </w:r>
      <w:r>
        <w:rPr>
          <w:sz w:val="18"/>
          <w:szCs w:val="18"/>
        </w:rPr>
        <w:t xml:space="preserve"> EIN Presswire. http://www.einpresswire.com/article/862162492/non-volatile-memory-express-nvme-over-fabrics-switch-industry-analysis-report-2025-key-trends-and-forecast-insights</w:t>
      </w:r>
      <w:bookmarkEnd w:id="210"/>
    </w:p>
    <w:bookmarkStart w:id="211" w:name="_Ref_Footnote_60"/>
  </w:footnote>
  <w:footnote w:id="60">
    <w:p w14:paraId="78C822AC">
      <w:pPr>
        <w:pStyle w:val="style4110"/>
        <w:spacing w:before="0" w:after="0" w:lineRule="exact" w:line="200"/>
        <w:rPr/>
      </w:pPr>
      <w:r>
        <w:rPr>
          <w:rStyle w:val="style4122"/>
          <w:vertAlign w:val="superscript"/>
        </w:rPr>
        <w:footnoteRef/>
      </w:r>
      <w:r>
        <w:rPr>
          <w:sz w:val="18"/>
          <w:szCs w:val="18"/>
        </w:rPr>
        <w:t xml:space="preserve"> Github. https://github.com/TencentCloud/CubeSandbox/discussions/174</w:t>
      </w:r>
      <w:bookmarkEnd w:id="211"/>
    </w:p>
    <w:bookmarkStart w:id="212" w:name="_Ref_Footnote_61"/>
  </w:footnote>
  <w:footnote w:id="61">
    <w:p w14:paraId="7EB898AD">
      <w:pPr>
        <w:pStyle w:val="style4110"/>
        <w:spacing w:before="0" w:after="0" w:lineRule="exact" w:line="200"/>
        <w:rPr/>
      </w:pPr>
      <w:r>
        <w:rPr>
          <w:rStyle w:val="style4122"/>
          <w:vertAlign w:val="superscript"/>
        </w:rPr>
        <w:footnoteRef/>
      </w:r>
      <w:r>
        <w:rPr>
          <w:sz w:val="18"/>
          <w:szCs w:val="18"/>
        </w:rPr>
        <w:t xml:space="preserve"> OmniClaw. https://omnirun.io/claw/blog/openclaw-firecracker-microvm</w:t>
      </w:r>
      <w:bookmarkEnd w:id="212"/>
    </w:p>
    <w:bookmarkStart w:id="213" w:name="_Ref_Footnote_62"/>
  </w:footnote>
  <w:footnote w:id="62">
    <w:p w14:paraId="2AD64FFC">
      <w:pPr>
        <w:pStyle w:val="style4110"/>
        <w:spacing w:before="0" w:after="0" w:lineRule="exact" w:line="200"/>
        <w:rPr/>
      </w:pPr>
      <w:r>
        <w:rPr>
          <w:rStyle w:val="style4122"/>
          <w:vertAlign w:val="superscript"/>
        </w:rPr>
        <w:footnoteRef/>
      </w:r>
      <w:r>
        <w:rPr>
          <w:sz w:val="18"/>
          <w:szCs w:val="18"/>
        </w:rPr>
        <w:t xml:space="preserve"> arXiv.org. https://arxiv.org/html/2605.22781v1</w:t>
      </w:r>
      <w:bookmarkEnd w:id="213"/>
    </w:p>
    <w:bookmarkStart w:id="214" w:name="_Ref_Footnote_63"/>
  </w:footnote>
  <w:footnote w:id="63">
    <w:p w14:paraId="B98F8D6C">
      <w:pPr>
        <w:pStyle w:val="style4110"/>
        <w:spacing w:before="0" w:after="0" w:lineRule="exact" w:line="200"/>
        <w:rPr/>
      </w:pPr>
      <w:r>
        <w:rPr>
          <w:rStyle w:val="style4122"/>
          <w:vertAlign w:val="superscript"/>
        </w:rPr>
        <w:footnoteRef/>
      </w:r>
      <w:r>
        <w:rPr>
          <w:sz w:val="18"/>
          <w:szCs w:val="18"/>
        </w:rPr>
        <w:t xml:space="preserve"> Lib.rs. https://lib.rs/crates/containerd-shim</w:t>
      </w:r>
      <w:bookmarkEnd w:id="214"/>
    </w:p>
    <w:bookmarkStart w:id="215" w:name="_Ref_Footnote_64"/>
  </w:footnote>
  <w:footnote w:id="64">
    <w:p w14:paraId="4F3D057A">
      <w:pPr>
        <w:pStyle w:val="style4110"/>
        <w:spacing w:before="0" w:after="0" w:lineRule="exact" w:line="200"/>
        <w:rPr/>
      </w:pPr>
      <w:r>
        <w:rPr>
          <w:rStyle w:val="style4122"/>
          <w:vertAlign w:val="superscript"/>
        </w:rPr>
        <w:footnoteRef/>
      </w:r>
      <w:r>
        <w:rPr>
          <w:sz w:val="18"/>
          <w:szCs w:val="18"/>
        </w:rPr>
        <w:t xml:space="preserve"> Github. https://github.com/kata-containers/kata-containers/issues/5800</w:t>
      </w:r>
      <w:bookmarkEnd w:id="215"/>
    </w:p>
    <w:bookmarkStart w:id="216" w:name="_Ref_Footnote_65"/>
  </w:footnote>
  <w:footnote w:id="65">
    <w:p w14:paraId="08EE44D4">
      <w:pPr>
        <w:pStyle w:val="style4110"/>
        <w:spacing w:before="0" w:after="0" w:lineRule="exact" w:line="200"/>
        <w:rPr/>
      </w:pPr>
      <w:r>
        <w:rPr>
          <w:rStyle w:val="style4122"/>
          <w:vertAlign w:val="superscript"/>
        </w:rPr>
        <w:footnoteRef/>
      </w:r>
      <w:r>
        <w:rPr>
          <w:sz w:val="18"/>
          <w:szCs w:val="18"/>
        </w:rPr>
        <w:t xml:space="preserve"> RootedN00b Blog. https://blog.rootedn00b.tech/nested-virtualization-proxmox-hyper-v</w:t>
      </w:r>
      <w:bookmarkEnd w:id="216"/>
    </w:p>
    <w:bookmarkStart w:id="217" w:name="_Ref_Footnote_66"/>
  </w:footnote>
  <w:footnote w:id="66">
    <w:p w14:paraId="DC943B64">
      <w:pPr>
        <w:pStyle w:val="style4110"/>
        <w:spacing w:before="0" w:after="0" w:lineRule="exact" w:line="200"/>
        <w:rPr/>
      </w:pPr>
      <w:r>
        <w:rPr>
          <w:rStyle w:val="style4122"/>
          <w:vertAlign w:val="superscript"/>
        </w:rPr>
        <w:footnoteRef/>
      </w:r>
      <w:r>
        <w:rPr>
          <w:sz w:val="18"/>
          <w:szCs w:val="18"/>
        </w:rPr>
        <w:t xml:space="preserve"> oneuptime.com. https://oneuptime.com/blog/post/2026-01-30-microsegmentation-policies/view</w:t>
      </w:r>
      <w:bookmarkEnd w:id="217"/>
    </w:p>
    <w:bookmarkStart w:id="218" w:name="_Ref_Footnote_67"/>
  </w:footnote>
  <w:footnote w:id="67">
    <w:p w14:paraId="719178D2">
      <w:pPr>
        <w:pStyle w:val="style4110"/>
        <w:spacing w:before="0" w:after="0" w:lineRule="exact" w:line="200"/>
        <w:rPr/>
      </w:pPr>
      <w:r>
        <w:rPr>
          <w:rStyle w:val="style4122"/>
          <w:vertAlign w:val="superscript"/>
        </w:rPr>
        <w:footnoteRef/>
      </w:r>
      <w:r>
        <w:rPr>
          <w:sz w:val="18"/>
          <w:szCs w:val="18"/>
        </w:rPr>
        <w:t xml:space="preserve"> oneuptime.com. https://oneuptime.com/blog/post/2026-03-31-rook-how-to-configure-rbd-image-features-layering-fast-diff-objec/view</w:t>
      </w:r>
      <w:bookmarkEnd w:id="218"/>
    </w:p>
    <w:bookmarkStart w:id="219" w:name="_Ref_Footnote_68"/>
  </w:footnote>
  <w:footnote w:id="68">
    <w:p w14:paraId="FECCCD62">
      <w:pPr>
        <w:pStyle w:val="style4110"/>
        <w:spacing w:before="0" w:after="0" w:lineRule="exact" w:line="200"/>
        <w:rPr/>
      </w:pPr>
      <w:r>
        <w:rPr>
          <w:rStyle w:val="style4122"/>
          <w:vertAlign w:val="superscript"/>
        </w:rPr>
        <w:footnoteRef/>
      </w:r>
      <w:r>
        <w:rPr>
          <w:sz w:val="18"/>
          <w:szCs w:val="18"/>
        </w:rPr>
        <w:t xml:space="preserve"> oneuptime.com. https://oneuptime.com/blog/post/2026-03-13-calico-l2-fabric-overview/view</w:t>
      </w:r>
      <w:bookmarkEnd w:id="219"/>
    </w:p>
    <w:bookmarkStart w:id="220" w:name="_Ref_Footnote_69"/>
  </w:footnote>
  <w:footnote w:id="69">
    <w:p w14:paraId="872A2AD1">
      <w:pPr>
        <w:pStyle w:val="style4110"/>
        <w:spacing w:before="0" w:after="0" w:lineRule="exact" w:line="200"/>
        <w:rPr/>
      </w:pPr>
      <w:r>
        <w:rPr>
          <w:rStyle w:val="style4122"/>
          <w:vertAlign w:val="superscript"/>
        </w:rPr>
        <w:footnoteRef/>
      </w:r>
      <w:r>
        <w:rPr>
          <w:sz w:val="18"/>
          <w:szCs w:val="18"/>
        </w:rPr>
        <w:t xml:space="preserve"> Bing. https://www.bing.com/ck/a?!=&amp;fclid=0e2508fc-a738-6d5c-3961-1d00a6bd6cae&amp;hsh=4&amp;ntb=1&amp;p=3bfebb89cdced7d32be2f086f08d6eb98dcb790f05dbb914b092ca1844b4a8cfJmltdHM9MTc0ODQ3NjgwMA&amp;ptn=3&amp;u=a1aHR0cHM6Ly9kb2NzLnRpZ2VyYS5pby9jYWxpY28vbGF0ZXN0L25ldHdvcmtpbmcvY29uZmlndXJpbmcvdnhsYW4taXBpcA&amp;ver=2</w:t>
      </w:r>
      <w:bookmarkEnd w:id="220"/>
    </w:p>
    <w:bookmarkStart w:id="221" w:name="_Ref_Footnote_70"/>
  </w:footnote>
  <w:footnote w:id="70">
    <w:p w14:paraId="5A91D5D9">
      <w:pPr>
        <w:pStyle w:val="style4110"/>
        <w:spacing w:before="0" w:after="0" w:lineRule="exact" w:line="200"/>
        <w:rPr/>
      </w:pPr>
      <w:r>
        <w:rPr>
          <w:rStyle w:val="style4122"/>
          <w:vertAlign w:val="superscript"/>
        </w:rPr>
        <w:footnoteRef/>
      </w:r>
      <w:r>
        <w:rPr>
          <w:sz w:val="18"/>
          <w:szCs w:val="18"/>
        </w:rPr>
        <w:t xml:space="preserve"> wifitalents.com. https://wifitalents.com/best/privat-cloud-software/</w:t>
      </w:r>
      <w:bookmarkEnd w:id="221"/>
    </w:p>
    <w:bookmarkStart w:id="222" w:name="_Ref_Footnote_71"/>
  </w:footnote>
  <w:footnote w:id="71">
    <w:p w14:paraId="4E6D07B2">
      <w:pPr>
        <w:pStyle w:val="style4110"/>
        <w:spacing w:before="0" w:after="0" w:lineRule="exact" w:line="200"/>
        <w:rPr/>
      </w:pPr>
      <w:r>
        <w:rPr>
          <w:rStyle w:val="style4122"/>
          <w:vertAlign w:val="superscript"/>
        </w:rPr>
        <w:footnoteRef/>
      </w:r>
      <w:r>
        <w:rPr>
          <w:sz w:val="18"/>
          <w:szCs w:val="18"/>
        </w:rPr>
        <w:t xml:space="preserve"> Xebia. https://xebia.com/blog/deep-dive-into-windows-server-containers-and-docker-part-3-underlying-implementation-of-hyper-v-containers/</w:t>
      </w:r>
      <w:bookmarkEnd w:id="222"/>
    </w:p>
    <w:bookmarkStart w:id="223" w:name="_Ref_Footnote_72"/>
  </w:footnote>
  <w:footnote w:id="72">
    <w:p w14:paraId="C34BEE38">
      <w:pPr>
        <w:pStyle w:val="style4110"/>
        <w:spacing w:before="0" w:after="0" w:lineRule="exact" w:line="200"/>
        <w:rPr/>
      </w:pPr>
      <w:r>
        <w:rPr>
          <w:rStyle w:val="style4122"/>
          <w:vertAlign w:val="superscript"/>
        </w:rPr>
        <w:footnoteRef/>
      </w:r>
      <w:r>
        <w:rPr>
          <w:sz w:val="18"/>
          <w:szCs w:val="18"/>
        </w:rPr>
        <w:t xml:space="preserve"> simplyblock. https://simplyblock.io/glossary/spdk/</w:t>
      </w:r>
      <w:bookmarkEnd w:id="223"/>
    </w:p>
    <w:bookmarkStart w:id="224" w:name="_Ref_Footnote_73"/>
  </w:footnote>
  <w:footnote w:id="73">
    <w:p w14:paraId="F8A2432F">
      <w:pPr>
        <w:pStyle w:val="style4110"/>
        <w:spacing w:before="0" w:after="0" w:lineRule="exact" w:line="200"/>
        <w:rPr/>
      </w:pPr>
      <w:r>
        <w:rPr>
          <w:rStyle w:val="style4122"/>
          <w:vertAlign w:val="superscript"/>
        </w:rPr>
        <w:footnoteRef/>
      </w:r>
      <w:r>
        <w:rPr>
          <w:sz w:val="18"/>
          <w:szCs w:val="18"/>
        </w:rPr>
        <w:t xml:space="preserve"> Experts Exchange. https://www.experts-exchange.com/questions/29233739/Nested-Virtualization-Hyper-V-Docker-in-Windows-VM-over-KVM.html</w:t>
      </w:r>
      <w:bookmarkEnd w:id="224"/>
    </w:p>
    <w:bookmarkStart w:id="225" w:name="_Ref_Footnote_74"/>
  </w:footnote>
  <w:footnote w:id="74">
    <w:p w14:paraId="167C722B">
      <w:pPr>
        <w:pStyle w:val="style4110"/>
        <w:spacing w:before="0" w:after="0" w:lineRule="exact" w:line="200"/>
        <w:rPr/>
      </w:pPr>
      <w:r>
        <w:rPr>
          <w:rStyle w:val="style4122"/>
          <w:vertAlign w:val="superscript"/>
        </w:rPr>
        <w:footnoteRef/>
      </w:r>
      <w:r>
        <w:rPr>
          <w:sz w:val="18"/>
          <w:szCs w:val="18"/>
        </w:rPr>
        <w:t xml:space="preserve"> End Machine Learning Workflows with Kubeflow. https://kubezilla.io/cilium-service-mesh-unleash-sidecar-less-power/</w:t>
      </w:r>
      <w:bookmarkEnd w:id="225"/>
    </w:p>
    <w:bookmarkStart w:id="226" w:name="_Ref_Footnote_75"/>
  </w:footnote>
  <w:footnote w:id="75">
    <w:p w14:paraId="A6B7AFA8">
      <w:pPr>
        <w:pStyle w:val="style4110"/>
        <w:spacing w:before="0" w:after="0" w:lineRule="exact" w:line="200"/>
        <w:rPr/>
      </w:pPr>
      <w:r>
        <w:rPr>
          <w:rStyle w:val="style4122"/>
          <w:vertAlign w:val="superscript"/>
        </w:rPr>
        <w:footnoteRef/>
      </w:r>
      <w:r>
        <w:rPr>
          <w:sz w:val="18"/>
          <w:szCs w:val="18"/>
        </w:rPr>
        <w:t xml:space="preserve"> Calsoft Inc. https://www.calsoftinc.com/blog/virtual-machines-or-containers-which-is-better-in-nfv-infrastructure</w:t>
      </w:r>
      <w:bookmarkEnd w:id="226"/>
    </w:p>
    <w:bookmarkStart w:id="227" w:name="_Ref_Footnote_76"/>
  </w:footnote>
  <w:footnote w:id="76">
    <w:p w14:paraId="5E1618A3">
      <w:pPr>
        <w:pStyle w:val="style4110"/>
        <w:spacing w:before="0" w:after="0" w:lineRule="exact" w:line="200"/>
        <w:rPr/>
      </w:pPr>
      <w:r>
        <w:rPr>
          <w:rStyle w:val="style4122"/>
          <w:vertAlign w:val="superscript"/>
        </w:rPr>
        <w:footnoteRef/>
      </w:r>
      <w:r>
        <w:rPr>
          <w:sz w:val="18"/>
          <w:szCs w:val="18"/>
        </w:rPr>
        <w:t xml:space="preserve"> 數位通國際. https://www.easpnet.com/blog/hybrid-and-multi-cloud/</w:t>
      </w:r>
      <w:bookmarkEnd w:id="227"/>
    </w:p>
    <w:bookmarkStart w:id="228" w:name="_Ref_Footnote_77"/>
  </w:footnote>
  <w:footnote w:id="77">
    <w:p w14:paraId="9686CF93">
      <w:pPr>
        <w:pStyle w:val="style4110"/>
        <w:spacing w:before="0" w:after="0" w:lineRule="exact" w:line="200"/>
        <w:rPr/>
      </w:pPr>
      <w:r>
        <w:rPr>
          <w:rStyle w:val="style4122"/>
          <w:vertAlign w:val="superscript"/>
        </w:rPr>
        <w:footnoteRef/>
      </w:r>
      <w:r>
        <w:rPr>
          <w:sz w:val="18"/>
          <w:szCs w:val="18"/>
        </w:rPr>
        <w:t xml:space="preserve"> 博客园. https://www.cnblogs.com/wgwyanfs/p/19660860</w:t>
      </w:r>
      <w:bookmarkEnd w:id="228"/>
    </w:p>
    <w:bookmarkStart w:id="229" w:name="_Ref_Footnote_78"/>
  </w:footnote>
  <w:footnote w:id="78">
    <w:p w14:paraId="B4AE7E83">
      <w:pPr>
        <w:pStyle w:val="style4110"/>
        <w:spacing w:before="0" w:after="0" w:lineRule="exact" w:line="200"/>
        <w:rPr/>
      </w:pPr>
      <w:r>
        <w:rPr>
          <w:rStyle w:val="style4122"/>
          <w:vertAlign w:val="superscript"/>
        </w:rPr>
        <w:footnoteRef/>
      </w:r>
      <w:r>
        <w:rPr>
          <w:sz w:val="18"/>
          <w:szCs w:val="18"/>
        </w:rPr>
        <w:t xml:space="preserve"> 书栈网. https://www.bookstack.cn/read/calico-3.27-en/72f04d6250e42595.md</w:t>
      </w:r>
      <w:bookmarkEnd w:id="229"/>
    </w:p>
    <w:bookmarkStart w:id="230" w:name="_Ref_Footnote_79"/>
  </w:footnote>
  <w:footnote w:id="79">
    <w:p w14:paraId="CC27EF00">
      <w:pPr>
        <w:pStyle w:val="style4110"/>
        <w:spacing w:before="0" w:after="0" w:lineRule="exact" w:line="200"/>
        <w:rPr/>
      </w:pPr>
      <w:r>
        <w:rPr>
          <w:rStyle w:val="style4122"/>
          <w:vertAlign w:val="superscript"/>
        </w:rPr>
        <w:footnoteRef/>
      </w:r>
      <w:r>
        <w:rPr>
          <w:sz w:val="18"/>
          <w:szCs w:val="18"/>
        </w:rPr>
        <w:t xml:space="preserve"> Github. https://github.com/TencentCloud/CubeSandbox/blob/master/docs/guide/templates.md</w:t>
      </w:r>
      <w:bookmarkEnd w:id="230"/>
    </w:p>
    <w:bookmarkStart w:id="231" w:name="_Ref_Footnote_80"/>
  </w:footnote>
  <w:footnote w:id="80">
    <w:p w14:paraId="8459019F">
      <w:pPr>
        <w:pStyle w:val="style4110"/>
        <w:spacing w:before="0" w:after="0" w:lineRule="exact" w:line="200"/>
        <w:rPr/>
      </w:pPr>
      <w:r>
        <w:rPr>
          <w:rStyle w:val="style4122"/>
          <w:vertAlign w:val="superscript"/>
        </w:rPr>
        <w:footnoteRef/>
      </w:r>
      <w:r>
        <w:rPr>
          <w:sz w:val="18"/>
          <w:szCs w:val="18"/>
        </w:rPr>
        <w:t xml:space="preserve"> IEEE Xplore. https://ieeexplore.ieee.org/document/10010246/</w:t>
      </w:r>
      <w:bookmarkEnd w:id="231"/>
    </w:p>
    <w:bookmarkStart w:id="232" w:name="_Ref_Footnote_81"/>
  </w:footnote>
  <w:footnote w:id="81">
    <w:p w14:paraId="26858B13">
      <w:pPr>
        <w:pStyle w:val="style4110"/>
        <w:spacing w:before="0" w:after="0" w:lineRule="exact" w:line="200"/>
        <w:rPr/>
      </w:pPr>
      <w:r>
        <w:rPr>
          <w:rStyle w:val="style4122"/>
          <w:vertAlign w:val="superscript"/>
        </w:rPr>
        <w:footnoteRef/>
      </w:r>
      <w:r>
        <w:rPr>
          <w:sz w:val="18"/>
          <w:szCs w:val="18"/>
        </w:rPr>
        <w:t xml:space="preserve"> pyshine.com. https://pyshine.com/CubeSandbox-Secure-Sandbox-for-AI-Agents/</w:t>
      </w:r>
      <w:bookmarkEnd w:id="232"/>
    </w:p>
    <w:bookmarkStart w:id="233" w:name="_Ref_Footnote_82"/>
  </w:footnote>
  <w:footnote w:id="82">
    <w:p w14:paraId="CF5218B0">
      <w:pPr>
        <w:pStyle w:val="style4110"/>
        <w:spacing w:before="0" w:after="0" w:lineRule="exact" w:line="200"/>
        <w:rPr/>
      </w:pPr>
      <w:r>
        <w:rPr>
          <w:rStyle w:val="style4122"/>
          <w:vertAlign w:val="superscript"/>
        </w:rPr>
        <w:footnoteRef/>
      </w:r>
      <w:r>
        <w:rPr>
          <w:sz w:val="18"/>
          <w:szCs w:val="18"/>
        </w:rPr>
        <w:t xml:space="preserve"> AccuKnox. https://accuknox.com/solutions/microsegmentation</w:t>
      </w:r>
      <w:bookmarkEnd w:id="233"/>
    </w:p>
    <w:bookmarkStart w:id="234" w:name="_Ref_Footnote_83"/>
  </w:footnote>
  <w:footnote w:id="83">
    <w:p w14:paraId="F3DF63D0">
      <w:pPr>
        <w:pStyle w:val="style4110"/>
        <w:spacing w:before="0" w:after="0" w:lineRule="exact" w:line="200"/>
        <w:rPr/>
      </w:pPr>
      <w:r>
        <w:rPr>
          <w:rStyle w:val="style4122"/>
          <w:vertAlign w:val="superscript"/>
        </w:rPr>
        <w:footnoteRef/>
      </w:r>
      <w:r>
        <w:rPr>
          <w:sz w:val="18"/>
          <w:szCs w:val="18"/>
        </w:rPr>
        <w:t xml:space="preserve"> Reintech. https://reintech.io/blog/kubernetes-service-mesh-comparison-2026-istio-linkerd-cilium</w:t>
      </w:r>
      <w:bookmarkEnd w:id="234"/>
    </w:p>
    <w:bookmarkStart w:id="235" w:name="_Ref_Footnote_84"/>
  </w:footnote>
  <w:footnote w:id="84">
    <w:p w14:paraId="F2B507F1">
      <w:pPr>
        <w:pStyle w:val="style4110"/>
        <w:spacing w:before="0" w:after="0" w:lineRule="exact" w:line="200"/>
        <w:rPr/>
      </w:pPr>
      <w:r>
        <w:rPr>
          <w:rStyle w:val="style4122"/>
          <w:vertAlign w:val="superscript"/>
        </w:rPr>
        <w:footnoteRef/>
      </w:r>
      <w:r>
        <w:rPr>
          <w:sz w:val="18"/>
          <w:szCs w:val="18"/>
        </w:rPr>
        <w:t xml:space="preserve"> codelit.io. https://codelit.io/blog/kubernetes-service-mesh-comparison</w:t>
      </w:r>
      <w:bookmarkEnd w:id="235"/>
    </w:p>
    <w:bookmarkStart w:id="236" w:name="_Ref_Footnote_85"/>
  </w:footnote>
  <w:footnote w:id="85">
    <w:p w14:paraId="2604B3A2">
      <w:pPr>
        <w:pStyle w:val="style4110"/>
        <w:spacing w:before="0" w:after="0" w:lineRule="exact" w:line="200"/>
        <w:rPr/>
      </w:pPr>
      <w:r>
        <w:rPr>
          <w:rStyle w:val="style4122"/>
          <w:vertAlign w:val="superscript"/>
        </w:rPr>
        <w:footnoteRef/>
      </w:r>
      <w:r>
        <w:rPr>
          <w:sz w:val="18"/>
          <w:szCs w:val="18"/>
        </w:rPr>
        <w:t xml:space="preserve"> P1 Security. https://www.p1sec.com/blog/network-virtualization-and-automation-kubernetes-in-mobile-networks</w:t>
      </w:r>
      <w:bookmarkEnd w:id="236"/>
    </w:p>
    <w:bookmarkStart w:id="237" w:name="_Ref_Footnote_86"/>
  </w:footnote>
  <w:footnote w:id="86">
    <w:p w14:paraId="3554B5D1">
      <w:pPr>
        <w:pStyle w:val="style4110"/>
        <w:spacing w:before="0" w:after="0" w:lineRule="exact" w:line="200"/>
        <w:rPr/>
      </w:pPr>
      <w:r>
        <w:rPr>
          <w:rStyle w:val="style4122"/>
          <w:vertAlign w:val="superscript"/>
        </w:rPr>
        <w:footnoteRef/>
      </w:r>
      <w:r>
        <w:rPr>
          <w:sz w:val="18"/>
          <w:szCs w:val="18"/>
        </w:rPr>
        <w:t xml:space="preserve"> Toxigon. https://toxigon.com/understanding-container-security-in-2024</w:t>
      </w:r>
      <w:bookmarkEnd w:id="237"/>
    </w:p>
    <w:bookmarkStart w:id="238" w:name="_Ref_Footnote_87"/>
  </w:footnote>
  <w:footnote w:id="87">
    <w:p w14:paraId="41F8C748">
      <w:pPr>
        <w:pStyle w:val="style4110"/>
        <w:spacing w:before="0" w:after="0" w:lineRule="exact" w:line="200"/>
        <w:rPr/>
      </w:pPr>
      <w:r>
        <w:rPr>
          <w:rStyle w:val="style4122"/>
          <w:vertAlign w:val="superscript"/>
        </w:rPr>
        <w:footnoteRef/>
      </w:r>
      <w:r>
        <w:rPr>
          <w:sz w:val="18"/>
          <w:szCs w:val="18"/>
        </w:rPr>
        <w:t xml:space="preserve"> simplyblock. https://simplyblock.io/glossary/spdk-for-nvme-over-fabrics/</w:t>
      </w:r>
      <w:bookmarkEnd w:id="238"/>
    </w:p>
    <w:bookmarkStart w:id="239" w:name="_Ref_Footnote_88"/>
  </w:footnote>
  <w:footnote w:id="88">
    <w:p w14:paraId="33E59689">
      <w:pPr>
        <w:pStyle w:val="style4110"/>
        <w:spacing w:before="0" w:after="0" w:lineRule="exact" w:line="200"/>
        <w:rPr/>
      </w:pPr>
      <w:r>
        <w:rPr>
          <w:rStyle w:val="style4122"/>
          <w:vertAlign w:val="superscript"/>
        </w:rPr>
        <w:footnoteRef/>
      </w:r>
      <w:r>
        <w:rPr>
          <w:sz w:val="18"/>
          <w:szCs w:val="18"/>
        </w:rPr>
        <w:t xml:space="preserve"> simplyblock. https://simplyblock.io/glossary/nvme-over-fabrics-transport-comparison/</w:t>
      </w:r>
      <w:bookmarkEnd w:id="239"/>
    </w:p>
    <w:bookmarkStart w:id="240" w:name="_Ref_Footnote_89"/>
  </w:footnote>
  <w:footnote w:id="89">
    <w:p w14:paraId="5C8BC376">
      <w:pPr>
        <w:pStyle w:val="style4110"/>
        <w:spacing w:before="0" w:after="0" w:lineRule="exact" w:line="200"/>
        <w:rPr/>
      </w:pPr>
      <w:r>
        <w:rPr>
          <w:rStyle w:val="style4122"/>
          <w:vertAlign w:val="superscript"/>
        </w:rPr>
        <w:footnoteRef/>
      </w:r>
      <w:r>
        <w:rPr>
          <w:sz w:val="18"/>
          <w:szCs w:val="18"/>
        </w:rPr>
        <w:t xml:space="preserve"> gitlink.org.cn. https://www.gitlink.org.cn/fengshifang/dragonball-sandbox</w:t>
      </w:r>
      <w:bookmarkEnd w:id="240"/>
    </w:p>
    <w:bookmarkStart w:id="241" w:name="_Ref_Footnote_90"/>
  </w:footnote>
  <w:footnote w:id="90">
    <w:p w14:paraId="2A7E0F14">
      <w:pPr>
        <w:pStyle w:val="style4110"/>
        <w:spacing w:before="0" w:after="0" w:lineRule="exact" w:line="200"/>
        <w:rPr/>
      </w:pPr>
      <w:r>
        <w:rPr>
          <w:rStyle w:val="style4122"/>
          <w:vertAlign w:val="superscript"/>
        </w:rPr>
        <w:footnoteRef/>
      </w:r>
      <w:r>
        <w:rPr>
          <w:sz w:val="18"/>
          <w:szCs w:val="18"/>
        </w:rPr>
        <w:t xml:space="preserve"> Reintech. https://reintech.io/blog/container-security-best-practices-kubernetes-production</w:t>
      </w:r>
      <w:bookmarkEnd w:id="241"/>
    </w:p>
    <w:bookmarkStart w:id="242" w:name="_Ref_Footnote_91"/>
  </w:footnote>
  <w:footnote w:id="91">
    <w:p w14:paraId="740797B0">
      <w:pPr>
        <w:pStyle w:val="style4110"/>
        <w:spacing w:before="0" w:after="0" w:lineRule="exact" w:line="200"/>
        <w:rPr/>
      </w:pPr>
      <w:r>
        <w:rPr>
          <w:rStyle w:val="style4122"/>
          <w:vertAlign w:val="superscript"/>
        </w:rPr>
        <w:footnoteRef/>
      </w:r>
      <w:r>
        <w:rPr>
          <w:sz w:val="18"/>
          <w:szCs w:val="18"/>
        </w:rPr>
        <w:t xml:space="preserve"> Github. https://github.com/ceph/ceph-csi/discussions/4959</w:t>
      </w:r>
      <w:bookmarkEnd w:id="242"/>
    </w:p>
    <w:bookmarkStart w:id="243" w:name="_Ref_Footnote_92"/>
  </w:footnote>
  <w:footnote w:id="92">
    <w:p w14:paraId="C87BE5A9">
      <w:pPr>
        <w:pStyle w:val="style4110"/>
        <w:spacing w:before="0" w:after="0" w:lineRule="exact" w:line="200"/>
        <w:rPr/>
      </w:pPr>
      <w:r>
        <w:rPr>
          <w:rStyle w:val="style4122"/>
          <w:vertAlign w:val="superscript"/>
        </w:rPr>
        <w:footnoteRef/>
      </w:r>
      <w:r>
        <w:rPr>
          <w:sz w:val="18"/>
          <w:szCs w:val="18"/>
        </w:rPr>
        <w:t xml:space="preserve"> oneuptime.com. https://oneuptime.com/blog/post/2026-02-09-ebpf-xdp-ddos-protection/view</w:t>
      </w:r>
      <w:bookmarkEnd w:id="243"/>
    </w:p>
    <w:bookmarkStart w:id="244" w:name="_Ref_Footnote_93"/>
  </w:footnote>
  <w:footnote w:id="93">
    <w:p w14:paraId="7EDA336B">
      <w:pPr>
        <w:pStyle w:val="style4110"/>
        <w:spacing w:before="0" w:after="0" w:lineRule="exact" w:line="200"/>
        <w:rPr/>
      </w:pPr>
      <w:r>
        <w:rPr>
          <w:rStyle w:val="style4122"/>
          <w:vertAlign w:val="superscript"/>
        </w:rPr>
        <w:footnoteRef/>
      </w:r>
      <w:r>
        <w:rPr>
          <w:sz w:val="18"/>
          <w:szCs w:val="18"/>
        </w:rPr>
        <w:t xml:space="preserve"> BDRShield. https://www.bdrshield.com/blog/beginners-guide-for-microsoft-hyper-v-what-are-hyper-v-containers-part-19/</w:t>
      </w:r>
      <w:bookmarkEnd w:id="244"/>
    </w:p>
    <w:bookmarkStart w:id="245" w:name="_Ref_Footnote_94"/>
  </w:footnote>
  <w:footnote w:id="94">
    <w:p w14:paraId="E58E6549">
      <w:pPr>
        <w:pStyle w:val="style4110"/>
        <w:spacing w:before="0" w:after="0" w:lineRule="exact" w:line="200"/>
        <w:rPr/>
      </w:pPr>
      <w:r>
        <w:rPr>
          <w:rStyle w:val="style4122"/>
          <w:vertAlign w:val="superscript"/>
        </w:rPr>
        <w:footnoteRef/>
      </w:r>
      <w:r>
        <w:rPr>
          <w:sz w:val="18"/>
          <w:szCs w:val="18"/>
        </w:rPr>
        <w:t xml:space="preserve"> 哔哩哔哩. https://www.bilibili.com/read/cv21310923/</w:t>
      </w:r>
      <w:bookmarkEnd w:id="245"/>
    </w:p>
    <w:bookmarkStart w:id="246" w:name="_Ref_Footnote_95"/>
  </w:footnote>
  <w:footnote w:id="95">
    <w:p w14:paraId="8866E86B">
      <w:pPr>
        <w:pStyle w:val="style4110"/>
        <w:spacing w:before="0" w:after="0" w:lineRule="exact" w:line="200"/>
        <w:rPr/>
      </w:pPr>
      <w:r>
        <w:rPr>
          <w:rStyle w:val="style4122"/>
          <w:vertAlign w:val="superscript"/>
        </w:rPr>
        <w:footnoteRef/>
      </w:r>
      <w:r>
        <w:rPr>
          <w:sz w:val="18"/>
          <w:szCs w:val="18"/>
        </w:rPr>
        <w:t xml:space="preserve"> Global Information, Inc. (GII). https://www.giiresearch.com/report/tbrc1873000-non-volatile-memory-express-nvme-over-fabrics.html</w:t>
      </w:r>
      <w:bookmarkEnd w:id="246"/>
    </w:p>
    <w:bookmarkStart w:id="247" w:name="_Ref_Footnote_96"/>
  </w:footnote>
  <w:footnote w:id="96">
    <w:p w14:paraId="AE54E1C5">
      <w:pPr>
        <w:pStyle w:val="style4110"/>
        <w:spacing w:before="0" w:after="0" w:lineRule="exact" w:line="200"/>
        <w:rPr/>
      </w:pPr>
      <w:r>
        <w:rPr>
          <w:rStyle w:val="style4122"/>
          <w:vertAlign w:val="superscript"/>
        </w:rPr>
        <w:footnoteRef/>
      </w:r>
      <w:r>
        <w:rPr>
          <w:sz w:val="18"/>
          <w:szCs w:val="18"/>
        </w:rPr>
        <w:t xml:space="preserve"> CSDN博客. https://blog.csdn.net/u6v7w8x/article/details/149662814</w:t>
      </w:r>
      <w:bookmarkEnd w:id="247"/>
    </w:p>
    <w:bookmarkStart w:id="248" w:name="_Ref_Footnote_97"/>
  </w:footnote>
  <w:footnote w:id="97">
    <w:p w14:paraId="85178A42">
      <w:pPr>
        <w:pStyle w:val="style4110"/>
        <w:spacing w:before="0" w:after="0" w:lineRule="exact" w:line="200"/>
        <w:rPr/>
      </w:pPr>
      <w:r>
        <w:rPr>
          <w:rStyle w:val="style4122"/>
          <w:vertAlign w:val="superscript"/>
        </w:rPr>
        <w:footnoteRef/>
      </w:r>
      <w:r>
        <w:rPr>
          <w:sz w:val="18"/>
          <w:szCs w:val="18"/>
        </w:rPr>
        <w:t xml:space="preserve"> Platform Engineering Playbook. https://platformengineeringplaybook.com/blog/service-mesh-showdown-cilium-istio-ambient-comparison/</w:t>
      </w:r>
      <w:bookmarkEnd w:id="248"/>
    </w:p>
    <w:bookmarkStart w:id="249" w:name="_Ref_Footnote_98"/>
  </w:footnote>
  <w:footnote w:id="98">
    <w:p w14:paraId="598A363B">
      <w:pPr>
        <w:pStyle w:val="style4110"/>
        <w:spacing w:before="0" w:after="0" w:lineRule="exact" w:line="200"/>
        <w:rPr/>
      </w:pPr>
      <w:r>
        <w:rPr>
          <w:rStyle w:val="style4122"/>
          <w:vertAlign w:val="superscript"/>
        </w:rPr>
        <w:footnoteRef/>
      </w:r>
      <w:r>
        <w:rPr>
          <w:sz w:val="18"/>
          <w:szCs w:val="18"/>
        </w:rPr>
        <w:t xml:space="preserve"> CSDN博客. https://blog.csdn.net/gitblog_00161/article/details/150916282</w:t>
      </w:r>
      <w:bookmarkEnd w:id="249"/>
    </w:p>
    <w:bookmarkStart w:id="250" w:name="_Ref_Footnote_99"/>
  </w:footnote>
  <w:footnote w:id="99">
    <w:p w14:paraId="99EDFE21">
      <w:pPr>
        <w:pStyle w:val="style4110"/>
        <w:spacing w:before="0" w:after="0" w:lineRule="exact" w:line="200"/>
        <w:rPr/>
      </w:pPr>
      <w:r>
        <w:rPr>
          <w:rStyle w:val="style4122"/>
          <w:vertAlign w:val="superscript"/>
        </w:rPr>
        <w:footnoteRef/>
      </w:r>
      <w:r>
        <w:rPr>
          <w:sz w:val="18"/>
          <w:szCs w:val="18"/>
        </w:rPr>
        <w:t xml:space="preserve"> Linux Containers. https://linuxcontainers.org/incus/docs/main/database/</w:t>
      </w:r>
      <w:bookmarkEnd w:id="250"/>
    </w:p>
    <w:bookmarkStart w:id="251" w:name="_Ref_Footnote_100"/>
  </w:footnote>
  <w:footnote w:id="100">
    <w:p w14:paraId="13F63E88">
      <w:pPr>
        <w:pStyle w:val="style4110"/>
        <w:spacing w:before="0" w:after="0" w:lineRule="exact" w:line="200"/>
        <w:rPr/>
      </w:pPr>
      <w:r>
        <w:rPr>
          <w:rStyle w:val="style4122"/>
          <w:vertAlign w:val="superscript"/>
        </w:rPr>
        <w:footnoteRef/>
      </w:r>
      <w:r>
        <w:rPr>
          <w:sz w:val="18"/>
          <w:szCs w:val="18"/>
        </w:rPr>
        <w:t xml:space="preserve"> arXiv.org. https://arxiv.org/html/2504.14760v1</w:t>
      </w:r>
      <w:bookmarkEnd w:id="251"/>
    </w:p>
    <w:bookmarkStart w:id="252" w:name="_Ref_Footnote_101"/>
  </w:footnote>
  <w:footnote w:id="101">
    <w:p w14:paraId="5A41855C">
      <w:pPr>
        <w:pStyle w:val="style4110"/>
        <w:spacing w:before="0" w:after="0" w:lineRule="exact" w:line="200"/>
        <w:rPr/>
      </w:pPr>
      <w:r>
        <w:rPr>
          <w:rStyle w:val="style4122"/>
          <w:vertAlign w:val="superscript"/>
        </w:rPr>
        <w:footnoteRef/>
      </w:r>
      <w:r>
        <w:rPr>
          <w:sz w:val="18"/>
          <w:szCs w:val="18"/>
        </w:rPr>
        <w:t xml:space="preserve"> lobehub.com. https://lobehub.com/skills/tangweigang-jpg-doramagic-skills-e2b-sandbox-runtime</w:t>
      </w:r>
      <w:bookmarkEnd w:id="252"/>
    </w:p>
    <w:bookmarkStart w:id="253" w:name="_Ref_Footnote_102"/>
  </w:footnote>
  <w:footnote w:id="102">
    <w:p w14:paraId="B6AF8C58">
      <w:pPr>
        <w:pStyle w:val="style4110"/>
        <w:spacing w:before="0" w:after="0" w:lineRule="exact" w:line="200"/>
        <w:rPr/>
      </w:pPr>
      <w:r>
        <w:rPr>
          <w:rStyle w:val="style4122"/>
          <w:vertAlign w:val="superscript"/>
        </w:rPr>
        <w:footnoteRef/>
      </w:r>
      <w:r>
        <w:rPr>
          <w:sz w:val="18"/>
          <w:szCs w:val="18"/>
        </w:rPr>
        <w:t xml:space="preserve"> CORE SYSTEMS. https://core.cz/de/blog/2026/service-mesh-istio-cilium-2026/</w:t>
      </w:r>
      <w:bookmarkEnd w:id="253"/>
    </w:p>
    <w:bookmarkStart w:id="254" w:name="_Ref_Footnote_103"/>
  </w:footnote>
  <w:footnote w:id="103">
    <w:p w14:paraId="87400602">
      <w:pPr>
        <w:pStyle w:val="style4110"/>
        <w:spacing w:before="0" w:after="0" w:lineRule="exact" w:line="200"/>
        <w:rPr/>
      </w:pPr>
      <w:r>
        <w:rPr>
          <w:rStyle w:val="style4122"/>
          <w:vertAlign w:val="superscript"/>
        </w:rPr>
        <w:footnoteRef/>
      </w:r>
      <w:r>
        <w:rPr>
          <w:sz w:val="18"/>
          <w:szCs w:val="18"/>
        </w:rPr>
        <w:t xml:space="preserve"> Github. https://github.com/kubernetes-csi/external-snapshotter</w:t>
      </w:r>
      <w:bookmarkEnd w:id="254"/>
    </w:p>
    <w:bookmarkStart w:id="255" w:name="_Ref_Footnote_104"/>
  </w:footnote>
  <w:footnote w:id="104">
    <w:p w14:paraId="FFBBD6FD">
      <w:pPr>
        <w:pStyle w:val="style4110"/>
        <w:spacing w:before="0" w:after="0" w:lineRule="exact" w:line="200"/>
        <w:rPr/>
      </w:pPr>
      <w:r>
        <w:rPr>
          <w:rStyle w:val="style4122"/>
          <w:vertAlign w:val="superscript"/>
        </w:rPr>
        <w:footnoteRef/>
      </w:r>
      <w:r>
        <w:rPr>
          <w:sz w:val="18"/>
          <w:szCs w:val="18"/>
        </w:rPr>
        <w:t xml:space="preserve"> arXiv.org. https://arxiv.org/pdf/2210.02821</w:t>
      </w:r>
      <w:bookmarkEnd w:id="255"/>
    </w:p>
    <w:bookmarkStart w:id="256" w:name="_Ref_Footnote_105"/>
  </w:footnote>
  <w:footnote w:id="105">
    <w:p w14:paraId="74F1756E">
      <w:pPr>
        <w:pStyle w:val="style4110"/>
        <w:spacing w:before="0" w:after="0" w:lineRule="exact" w:line="200"/>
        <w:rPr/>
      </w:pPr>
      <w:r>
        <w:rPr>
          <w:rStyle w:val="style4122"/>
          <w:vertAlign w:val="superscript"/>
        </w:rPr>
        <w:footnoteRef/>
      </w:r>
      <w:r>
        <w:rPr>
          <w:sz w:val="18"/>
          <w:szCs w:val="18"/>
        </w:rPr>
        <w:t xml:space="preserve"> Github. https://github.com/artifact-keeper/artifact-keeper/blob/main/CHANGELOG.md</w:t>
      </w:r>
      <w:bookmarkEnd w:id="256"/>
    </w:p>
    <w:bookmarkStart w:id="257" w:name="_Ref_Footnote_106"/>
  </w:footnote>
  <w:footnote w:id="106">
    <w:p w14:paraId="892F6C7E">
      <w:pPr>
        <w:pStyle w:val="style4110"/>
        <w:spacing w:before="0" w:after="0" w:lineRule="exact" w:line="200"/>
        <w:rPr/>
      </w:pPr>
      <w:r>
        <w:rPr>
          <w:rStyle w:val="style4122"/>
          <w:vertAlign w:val="superscript"/>
        </w:rPr>
        <w:footnoteRef/>
      </w:r>
      <w:r>
        <w:rPr>
          <w:sz w:val="18"/>
          <w:szCs w:val="18"/>
        </w:rPr>
        <w:t xml:space="preserve"> Open vSwitch. http://www.openvswitch.org/support/slides/OVN-Vancouver.pdf</w:t>
      </w:r>
      <w:bookmarkEnd w:id="257"/>
    </w:p>
    <w:bookmarkStart w:id="258" w:name="_Ref_Footnote_107"/>
  </w:footnote>
  <w:footnote w:id="107">
    <w:p w14:paraId="0117C709">
      <w:pPr>
        <w:pStyle w:val="style4110"/>
        <w:spacing w:before="0" w:after="0" w:lineRule="exact" w:line="200"/>
        <w:rPr/>
      </w:pPr>
      <w:r>
        <w:rPr>
          <w:rStyle w:val="style4122"/>
          <w:vertAlign w:val="superscript"/>
        </w:rPr>
        <w:footnoteRef/>
      </w:r>
      <w:r>
        <w:rPr>
          <w:sz w:val="18"/>
          <w:szCs w:val="18"/>
        </w:rPr>
        <w:t xml:space="preserve"> arXiv.org. https://arxiv.org/html/2508.20962v2</w:t>
      </w:r>
      <w:bookmarkEnd w:id="258"/>
    </w:p>
    <w:bookmarkStart w:id="259" w:name="_Ref_Footnote_108"/>
  </w:footnote>
  <w:footnote w:id="108">
    <w:p w14:paraId="C95EEA5F">
      <w:pPr>
        <w:pStyle w:val="style4110"/>
        <w:spacing w:before="0" w:after="0" w:lineRule="exact" w:line="200"/>
        <w:rPr/>
      </w:pPr>
      <w:r>
        <w:rPr>
          <w:rStyle w:val="style4122"/>
          <w:vertAlign w:val="superscript"/>
        </w:rPr>
        <w:footnoteRef/>
      </w:r>
      <w:r>
        <w:rPr>
          <w:sz w:val="18"/>
          <w:szCs w:val="18"/>
        </w:rPr>
        <w:t xml:space="preserve"> Github. https://github.com/TencentCloud/CubeSandbox/blob/master/docs/changelog.md</w:t>
      </w:r>
      <w:bookmarkEnd w:id="259"/>
    </w:p>
    <w:bookmarkStart w:id="260" w:name="_Ref_Footnote_109"/>
  </w:footnote>
  <w:footnote w:id="109">
    <w:p w14:paraId="B384F416">
      <w:pPr>
        <w:pStyle w:val="style4110"/>
        <w:spacing w:before="0" w:after="0" w:lineRule="exact" w:line="200"/>
        <w:rPr/>
      </w:pPr>
      <w:r>
        <w:rPr>
          <w:rStyle w:val="style4122"/>
          <w:vertAlign w:val="superscript"/>
        </w:rPr>
        <w:footnoteRef/>
      </w:r>
      <w:r>
        <w:rPr>
          <w:sz w:val="18"/>
          <w:szCs w:val="18"/>
        </w:rPr>
        <w:t xml:space="preserve"> Buy Me a Coffee. https://buymeacoffee.com/digeratidaily/kvm-complete-deep-dive</w:t>
      </w:r>
      <w:bookmarkEnd w:id="260"/>
    </w:p>
    <w:bookmarkStart w:id="261" w:name="_Ref_Footnote_110"/>
  </w:footnote>
  <w:footnote w:id="110">
    <w:p w14:paraId="730E4693">
      <w:pPr>
        <w:pStyle w:val="style4110"/>
        <w:spacing w:before="0" w:after="0" w:lineRule="exact" w:line="200"/>
        <w:rPr/>
      </w:pPr>
      <w:r>
        <w:rPr>
          <w:rStyle w:val="style4122"/>
          <w:vertAlign w:val="superscript"/>
        </w:rPr>
        <w:footnoteRef/>
      </w:r>
      <w:r>
        <w:rPr>
          <w:sz w:val="18"/>
          <w:szCs w:val="18"/>
        </w:rPr>
        <w:t xml:space="preserve"> oneuptime.com. https://oneuptime.com/blog/post/2026-03-13-deploy-openebs-mayastor-engine-flux-cd/view</w:t>
      </w:r>
      <w:bookmarkEnd w:id="261"/>
    </w:p>
    <w:bookmarkStart w:id="262" w:name="_Ref_Footnote_111"/>
  </w:footnote>
  <w:footnote w:id="111">
    <w:p w14:paraId="2ED6F531">
      <w:pPr>
        <w:pStyle w:val="style4110"/>
        <w:spacing w:before="0" w:after="0" w:lineRule="exact" w:line="200"/>
        <w:rPr/>
      </w:pPr>
      <w:r>
        <w:rPr>
          <w:rStyle w:val="style4122"/>
          <w:vertAlign w:val="superscript"/>
        </w:rPr>
        <w:footnoteRef/>
      </w:r>
      <w:r>
        <w:rPr>
          <w:sz w:val="18"/>
          <w:szCs w:val="18"/>
        </w:rPr>
        <w:t xml:space="preserve"> ubuntu.com. https://documentation.ubuntu.com/lxd/latest/reference/network_ovn/</w:t>
      </w:r>
      <w:bookmarkEnd w:id="262"/>
    </w:p>
    <w:bookmarkStart w:id="263" w:name="_Ref_Footnote_112"/>
  </w:footnote>
  <w:footnote w:id="112">
    <w:p w14:paraId="EB83AA46">
      <w:pPr>
        <w:pStyle w:val="style4110"/>
        <w:spacing w:before="0" w:after="0" w:lineRule="exact" w:line="200"/>
        <w:rPr/>
      </w:pPr>
      <w:r>
        <w:rPr>
          <w:rStyle w:val="style4122"/>
          <w:vertAlign w:val="superscript"/>
        </w:rPr>
        <w:footnoteRef/>
      </w:r>
      <w:r>
        <w:rPr>
          <w:sz w:val="18"/>
          <w:szCs w:val="18"/>
        </w:rPr>
        <w:t xml:space="preserve"> Decryption Digest. https://www.decryptiondigest.com/blog/kubernetes-network-policy-microsegmentation-guide</w:t>
      </w:r>
      <w:bookmarkEnd w:id="263"/>
    </w:p>
    <w:bookmarkStart w:id="264" w:name="_Ref_Footnote_113"/>
  </w:footnote>
  <w:footnote w:id="113">
    <w:p w14:paraId="2CFF4618">
      <w:pPr>
        <w:pStyle w:val="style4110"/>
        <w:spacing w:before="0" w:after="0" w:lineRule="exact" w:line="200"/>
        <w:rPr/>
      </w:pPr>
      <w:r>
        <w:rPr>
          <w:rStyle w:val="style4122"/>
          <w:vertAlign w:val="superscript"/>
        </w:rPr>
        <w:footnoteRef/>
      </w:r>
      <w:r>
        <w:rPr>
          <w:sz w:val="18"/>
          <w:szCs w:val="18"/>
        </w:rPr>
        <w:t xml:space="preserve"> oneuptime.com. https://oneuptime.com/blog/post/2026-03-31-rook-erasure-coding-space-savings-vs-replication/view</w:t>
      </w:r>
      <w:bookmarkEnd w:id="264"/>
    </w:p>
    <w:bookmarkStart w:id="265" w:name="_Ref_Footnote_114"/>
  </w:footnote>
  <w:footnote w:id="114">
    <w:p w14:paraId="5745F2A9">
      <w:pPr>
        <w:pStyle w:val="style4110"/>
        <w:spacing w:before="0" w:after="0" w:lineRule="exact" w:line="200"/>
        <w:rPr/>
      </w:pPr>
      <w:r>
        <w:rPr>
          <w:rStyle w:val="style4122"/>
          <w:vertAlign w:val="superscript"/>
        </w:rPr>
        <w:footnoteRef/>
      </w:r>
      <w:r>
        <w:rPr>
          <w:sz w:val="18"/>
          <w:szCs w:val="18"/>
        </w:rPr>
        <w:t xml:space="preserve"> CSDN博客. https://blog.csdn.net/gitblog_00077/article/details/151571008</w:t>
      </w:r>
      <w:bookmarkEnd w:id="265"/>
    </w:p>
    <w:bookmarkStart w:id="266" w:name="_Ref_Footnote_115"/>
  </w:footnote>
  <w:footnote w:id="115">
    <w:p w14:paraId="EC578D90">
      <w:pPr>
        <w:pStyle w:val="style4110"/>
        <w:spacing w:before="0" w:after="0" w:lineRule="exact" w:line="200"/>
        <w:rPr/>
      </w:pPr>
      <w:r>
        <w:rPr>
          <w:rStyle w:val="style4122"/>
          <w:vertAlign w:val="superscript"/>
        </w:rPr>
        <w:footnoteRef/>
      </w:r>
      <w:r>
        <w:rPr>
          <w:sz w:val="18"/>
          <w:szCs w:val="18"/>
        </w:rPr>
        <w:t xml:space="preserve"> SUSE Documentation. https://documentation.suse.com/cloudnative/storage/1.9/en/introduction/concepts.html</w:t>
      </w:r>
      <w:bookmarkEnd w:id="266"/>
    </w:p>
    <w:bookmarkStart w:id="267" w:name="_Ref_Footnote_116"/>
  </w:footnote>
  <w:footnote w:id="116">
    <w:p w14:paraId="0C342CCB">
      <w:pPr>
        <w:pStyle w:val="style4110"/>
        <w:spacing w:before="0" w:after="0" w:lineRule="exact" w:line="200"/>
        <w:rPr/>
      </w:pPr>
      <w:r>
        <w:rPr>
          <w:rStyle w:val="style4122"/>
          <w:vertAlign w:val="superscript"/>
        </w:rPr>
        <w:footnoteRef/>
      </w:r>
      <w:r>
        <w:rPr>
          <w:sz w:val="18"/>
          <w:szCs w:val="18"/>
        </w:rPr>
        <w:t xml:space="preserve"> 博客园. https://www.cnblogs.com/jzssuanfa/p/19679331</w:t>
      </w:r>
      <w:bookmarkEnd w:id="267"/>
    </w:p>
    <w:bookmarkStart w:id="268" w:name="_Ref_Footnote_117"/>
  </w:footnote>
  <w:footnote w:id="117">
    <w:p w14:paraId="75C6C73E">
      <w:pPr>
        <w:pStyle w:val="style4110"/>
        <w:spacing w:before="0" w:after="0" w:lineRule="exact" w:line="200"/>
        <w:rPr/>
      </w:pPr>
      <w:r>
        <w:rPr>
          <w:rStyle w:val="style4122"/>
          <w:vertAlign w:val="superscript"/>
        </w:rPr>
        <w:footnoteRef/>
      </w:r>
      <w:r>
        <w:rPr>
          <w:sz w:val="18"/>
          <w:szCs w:val="18"/>
        </w:rPr>
        <w:t xml:space="preserve"> oneuptime.com. https://oneuptime.com/blog/post/2026-01-30-longhorn-backup-targets/view</w:t>
      </w:r>
      <w:bookmarkEnd w:id="268"/>
    </w:p>
    <w:bookmarkStart w:id="269" w:name="_Ref_Footnote_118"/>
  </w:footnote>
  <w:footnote w:id="118">
    <w:p w14:paraId="2470E381">
      <w:pPr>
        <w:pStyle w:val="style4110"/>
        <w:spacing w:before="0" w:after="0" w:lineRule="exact" w:line="200"/>
        <w:rPr/>
      </w:pPr>
      <w:r>
        <w:rPr>
          <w:rStyle w:val="style4122"/>
          <w:vertAlign w:val="superscript"/>
        </w:rPr>
        <w:footnoteRef/>
      </w:r>
      <w:r>
        <w:rPr>
          <w:sz w:val="18"/>
          <w:szCs w:val="18"/>
        </w:rPr>
        <w:t xml:space="preserve"> arXiv.org. https://arxiv.org/html/2501.04580v2</w:t>
      </w:r>
      <w:bookmarkEnd w:id="269"/>
    </w:p>
    <w:bookmarkStart w:id="270" w:name="_Ref_Footnote_119"/>
  </w:footnote>
  <w:footnote w:id="119">
    <w:p w14:paraId="1F60BDE4">
      <w:pPr>
        <w:pStyle w:val="style4110"/>
        <w:spacing w:before="0" w:after="0" w:lineRule="exact" w:line="200"/>
        <w:rPr/>
      </w:pPr>
      <w:r>
        <w:rPr>
          <w:rStyle w:val="style4122"/>
          <w:vertAlign w:val="superscript"/>
        </w:rPr>
        <w:footnoteRef/>
      </w:r>
      <w:r>
        <w:rPr>
          <w:sz w:val="18"/>
          <w:szCs w:val="18"/>
        </w:rPr>
        <w:t xml:space="preserve"> Bing. https://www.bing.com/ck/a?!=&amp;fclid=1190bc37-191c-6381-27e5-a9c518e362e1&amp;hsh=4&amp;ntb=1&amp;p=d73808046c93396655918910b55ef62d78300b2797ccc33a80441515447a911fJmltdHM9MTc0NzY5OTIwMA&amp;psq=Kata Containers startup time Dragonball&amp;ptn=3&amp;u=a1aHR0cHM6Ly93d3cuYWxpYmFiYWNsb3VkLmNvbS9ibG9nL2thdGEtMy0wLWlzLWNvbWluZy1zdGFydC1leHBlcmllbmNpbmctdGhlLW91dC1vZi10aGUtYm94LXNlY3VyZS1jb250YWluZXJfNTk5NTc1&amp;ver=2</w:t>
      </w:r>
      <w:bookmarkEnd w:id="270"/>
    </w:p>
    <w:bookmarkStart w:id="271" w:name="_Ref_Footnote_120"/>
  </w:footnote>
  <w:footnote w:id="120">
    <w:p w14:paraId="8663FD4B">
      <w:pPr>
        <w:pStyle w:val="style4110"/>
        <w:spacing w:before="0" w:after="0" w:lineRule="exact" w:line="200"/>
        <w:rPr/>
      </w:pPr>
      <w:r>
        <w:rPr>
          <w:rStyle w:val="style4122"/>
          <w:vertAlign w:val="superscript"/>
        </w:rPr>
        <w:footnoteRef/>
      </w:r>
      <w:r>
        <w:rPr>
          <w:sz w:val="18"/>
          <w:szCs w:val="18"/>
        </w:rPr>
        <w:t xml:space="preserve"> itzsg.com. https://itzsg.com/114758.html</w:t>
      </w:r>
      <w:bookmarkEnd w:id="271"/>
    </w:p>
    <w:bookmarkStart w:id="272" w:name="_Ref_Footnote_121"/>
  </w:footnote>
  <w:footnote w:id="121">
    <w:p w14:paraId="0FE7985B">
      <w:pPr>
        <w:pStyle w:val="style4110"/>
        <w:spacing w:before="0" w:after="0" w:lineRule="exact" w:line="200"/>
        <w:rPr/>
      </w:pPr>
      <w:r>
        <w:rPr>
          <w:rStyle w:val="style4122"/>
          <w:vertAlign w:val="superscript"/>
        </w:rPr>
        <w:footnoteRef/>
      </w:r>
      <w:r>
        <w:rPr>
          <w:sz w:val="18"/>
          <w:szCs w:val="18"/>
        </w:rPr>
        <w:t xml:space="preserve"> Istio. https://istio.io/latest/blog/2024/ambient-vs-cilium/</w:t>
      </w:r>
      <w:bookmarkEnd w:id="272"/>
    </w:p>
    <w:bookmarkStart w:id="273" w:name="_Ref_Footnote_122"/>
  </w:footnote>
  <w:footnote w:id="122">
    <w:p w14:paraId="0C6072E1">
      <w:pPr>
        <w:pStyle w:val="style4110"/>
        <w:spacing w:before="0" w:after="0" w:lineRule="exact" w:line="200"/>
        <w:rPr/>
      </w:pPr>
      <w:r>
        <w:rPr>
          <w:rStyle w:val="style4122"/>
          <w:vertAlign w:val="superscript"/>
        </w:rPr>
        <w:footnoteRef/>
      </w:r>
      <w:r>
        <w:rPr>
          <w:sz w:val="18"/>
          <w:szCs w:val="18"/>
        </w:rPr>
        <w:t xml:space="preserve"> oneuptime.com. https://oneuptime.com/blog/post/2026-03-02-configure-incus-storage-pools-ubuntu/view</w:t>
      </w:r>
      <w:bookmarkEnd w:id="273"/>
    </w:p>
    <w:bookmarkStart w:id="274" w:name="_Ref_Footnote_123"/>
  </w:footnote>
  <w:footnote w:id="123">
    <w:p w14:paraId="55EAF09B">
      <w:pPr>
        <w:pStyle w:val="style4110"/>
        <w:spacing w:before="0" w:after="0" w:lineRule="exact" w:line="200"/>
        <w:rPr/>
      </w:pPr>
      <w:r>
        <w:rPr>
          <w:rStyle w:val="style4122"/>
          <w:vertAlign w:val="superscript"/>
        </w:rPr>
        <w:footnoteRef/>
      </w:r>
      <w:r>
        <w:rPr>
          <w:sz w:val="18"/>
          <w:szCs w:val="18"/>
        </w:rPr>
        <w:t xml:space="preserve"> 书栈网. https://www.bookstack.cn/read/longhorn-1.10.2-en/998f44ae1a3a9fb4.md</w:t>
      </w:r>
      <w:bookmarkEnd w:id="274"/>
    </w:p>
    <w:bookmarkStart w:id="275" w:name="_Ref_Footnote_124"/>
  </w:footnote>
  <w:footnote w:id="124">
    <w:p w14:paraId="03068EBA">
      <w:pPr>
        <w:pStyle w:val="style4110"/>
        <w:spacing w:before="0" w:after="0" w:lineRule="exact" w:line="200"/>
        <w:rPr/>
      </w:pPr>
      <w:r>
        <w:rPr>
          <w:rStyle w:val="style4122"/>
          <w:vertAlign w:val="superscript"/>
        </w:rPr>
        <w:footnoteRef/>
      </w:r>
      <w:r>
        <w:rPr>
          <w:sz w:val="18"/>
          <w:szCs w:val="18"/>
        </w:rPr>
        <w:t xml:space="preserve"> oneuptime.com. https://oneuptime.com/blog/post/2026-03-20-create-longhorn-backups/view</w:t>
      </w:r>
      <w:bookmarkEnd w:id="275"/>
    </w:p>
    <w:bookmarkStart w:id="276" w:name="_Ref_Footnote_125"/>
  </w:footnote>
  <w:footnote w:id="125">
    <w:p w14:paraId="1AE51038">
      <w:pPr>
        <w:pStyle w:val="style4110"/>
        <w:spacing w:before="0" w:after="0" w:lineRule="exact" w:line="200"/>
        <w:rPr/>
      </w:pPr>
      <w:r>
        <w:rPr>
          <w:rStyle w:val="style4122"/>
          <w:vertAlign w:val="superscript"/>
        </w:rPr>
        <w:footnoteRef/>
      </w:r>
      <w:r>
        <w:rPr>
          <w:sz w:val="18"/>
          <w:szCs w:val="18"/>
        </w:rPr>
        <w:t xml:space="preserve"> HomeLab Starter. https://homelabstarter.com/proxmox-vs-incus-comparison</w:t>
      </w:r>
      <w:bookmarkEnd w:id="276"/>
    </w:p>
    <w:bookmarkStart w:id="277" w:name="_Ref_Footnote_126"/>
  </w:footnote>
  <w:footnote w:id="126">
    <w:p w14:paraId="AE906FFE">
      <w:pPr>
        <w:pStyle w:val="style4110"/>
        <w:spacing w:before="0" w:after="0" w:lineRule="exact" w:line="200"/>
        <w:rPr/>
      </w:pPr>
      <w:r>
        <w:rPr>
          <w:rStyle w:val="style4122"/>
          <w:vertAlign w:val="superscript"/>
        </w:rPr>
        <w:footnoteRef/>
      </w:r>
      <w:r>
        <w:rPr>
          <w:sz w:val="18"/>
          <w:szCs w:val="18"/>
        </w:rPr>
        <w:t xml:space="preserve"> Proxmox Support Forum. https://forum.proxmox.com/threads/proxmox-nvme-tcp-is-lvm-thin-supported-and-suitable-for-fast-vm-provisioning.181617/</w:t>
      </w:r>
      <w:bookmarkEnd w:id="277"/>
    </w:p>
    <w:bookmarkStart w:id="278" w:name="_Ref_Footnote_127"/>
  </w:footnote>
  <w:footnote w:id="127">
    <w:p w14:paraId="77EA25F5">
      <w:pPr>
        <w:pStyle w:val="style4110"/>
        <w:spacing w:before="0" w:after="0" w:lineRule="exact" w:line="200"/>
        <w:rPr/>
      </w:pPr>
      <w:r>
        <w:rPr>
          <w:rStyle w:val="style4122"/>
          <w:vertAlign w:val="superscript"/>
        </w:rPr>
        <w:footnoteRef/>
      </w:r>
      <w:r>
        <w:rPr>
          <w:sz w:val="18"/>
          <w:szCs w:val="18"/>
        </w:rPr>
        <w:t xml:space="preserve"> CSDN博客. https://blog.csdn.net/allway2/article/details/155606749</w:t>
      </w:r>
      <w:bookmarkEnd w:id="278"/>
    </w:p>
    <w:bookmarkStart w:id="279" w:name="_Ref_Footnote_128"/>
  </w:footnote>
  <w:footnote w:id="128">
    <w:p w14:paraId="7B30AA21">
      <w:pPr>
        <w:pStyle w:val="style4110"/>
        <w:spacing w:before="0" w:after="0" w:lineRule="exact" w:line="200"/>
        <w:rPr/>
      </w:pPr>
      <w:r>
        <w:rPr>
          <w:rStyle w:val="style4122"/>
          <w:vertAlign w:val="superscript"/>
        </w:rPr>
        <w:footnoteRef/>
      </w:r>
      <w:r>
        <w:rPr>
          <w:sz w:val="18"/>
          <w:szCs w:val="18"/>
        </w:rPr>
        <w:t xml:space="preserve"> oneuptime.com. https://oneuptime.com/blog/post/2026-02-09-ceph-rbd-rook-operator/view</w:t>
      </w:r>
      <w:bookmarkEnd w:id="279"/>
    </w:p>
    <w:bookmarkStart w:id="280" w:name="_Ref_Footnote_129"/>
  </w:footnote>
  <w:footnote w:id="129">
    <w:p w14:paraId="A5671188">
      <w:pPr>
        <w:pStyle w:val="style4110"/>
        <w:spacing w:before="0" w:after="0" w:lineRule="exact" w:line="200"/>
        <w:rPr/>
      </w:pPr>
      <w:r>
        <w:rPr>
          <w:rStyle w:val="style4122"/>
          <w:vertAlign w:val="superscript"/>
        </w:rPr>
        <w:footnoteRef/>
      </w:r>
      <w:r>
        <w:rPr>
          <w:sz w:val="18"/>
          <w:szCs w:val="18"/>
        </w:rPr>
        <w:t xml:space="preserve"> SUSE Documentation. https://documentation.suse.com/cloudnative/storage/1.11/en/introduction/concepts.html</w:t>
      </w:r>
      <w:bookmarkEnd w:id="280"/>
    </w:p>
    <w:bookmarkStart w:id="281" w:name="_Ref_Footnote_130"/>
  </w:footnote>
  <w:footnote w:id="130">
    <w:p w14:paraId="AFAD0EE8">
      <w:pPr>
        <w:pStyle w:val="style4110"/>
        <w:spacing w:before="0" w:after="0" w:lineRule="exact" w:line="200"/>
        <w:rPr/>
      </w:pPr>
      <w:r>
        <w:rPr>
          <w:rStyle w:val="style4122"/>
          <w:vertAlign w:val="superscript"/>
        </w:rPr>
        <w:footnoteRef/>
      </w:r>
      <w:r>
        <w:rPr>
          <w:sz w:val="18"/>
          <w:szCs w:val="18"/>
        </w:rPr>
        <w:t xml:space="preserve"> 我的编程人生. https://www.ppmy.cn/server/161131.html</w:t>
      </w:r>
      <w:bookmarkEnd w:id="281"/>
    </w:p>
    <w:bookmarkStart w:id="282" w:name="_Ref_Footnote_131"/>
  </w:footnote>
  <w:footnote w:id="131">
    <w:p w14:paraId="A2CB88D9">
      <w:pPr>
        <w:pStyle w:val="style4110"/>
        <w:spacing w:before="0" w:after="0" w:lineRule="exact" w:line="200"/>
        <w:rPr/>
      </w:pPr>
      <w:r>
        <w:rPr>
          <w:rStyle w:val="style4122"/>
          <w:vertAlign w:val="superscript"/>
        </w:rPr>
        <w:footnoteRef/>
      </w:r>
      <w:r>
        <w:rPr>
          <w:sz w:val="18"/>
          <w:szCs w:val="18"/>
        </w:rPr>
        <w:t xml:space="preserve"> SmartX 超融合. https://www.smartx.com/blog/2022/07/spdk-vhost-user-en/</w:t>
      </w:r>
      <w:bookmarkEnd w:id="282"/>
    </w:p>
    <w:bookmarkStart w:id="283" w:name="_Ref_Footnote_132"/>
  </w:footnote>
  <w:footnote w:id="132">
    <w:p w14:paraId="9D71373C">
      <w:pPr>
        <w:pStyle w:val="style4110"/>
        <w:spacing w:before="0" w:after="0" w:lineRule="exact" w:line="200"/>
        <w:rPr/>
      </w:pPr>
      <w:r>
        <w:rPr>
          <w:rStyle w:val="style4122"/>
          <w:vertAlign w:val="superscript"/>
        </w:rPr>
        <w:footnoteRef/>
      </w:r>
      <w:r>
        <w:rPr>
          <w:sz w:val="18"/>
          <w:szCs w:val="18"/>
        </w:rPr>
        <w:t xml:space="preserve"> CSDN博客. https://blog.csdn.net/Tassel_YUE/article/details/145306776</w:t>
      </w:r>
      <w:bookmarkEnd w:id="283"/>
    </w:p>
    <w:bookmarkStart w:id="284" w:name="_Ref_Footnote_133"/>
  </w:footnote>
  <w:footnote w:id="133">
    <w:p w14:paraId="339797AD">
      <w:pPr>
        <w:pStyle w:val="style4110"/>
        <w:spacing w:before="0" w:after="0" w:lineRule="exact" w:line="200"/>
        <w:rPr/>
      </w:pPr>
      <w:r>
        <w:rPr>
          <w:rStyle w:val="style4122"/>
          <w:vertAlign w:val="superscript"/>
        </w:rPr>
        <w:footnoteRef/>
      </w:r>
      <w:r>
        <w:rPr>
          <w:sz w:val="18"/>
          <w:szCs w:val="18"/>
        </w:rPr>
        <w:t xml:space="preserve"> simplyblock. https://simplyblock.io/glossary/nvme-over-fabrics-architecture/</w:t>
      </w:r>
      <w:bookmarkEnd w:id="284"/>
    </w:p>
    <w:bookmarkStart w:id="285" w:name="_Ref_Footnote_134"/>
  </w:footnote>
  <w:footnote w:id="134">
    <w:p w14:paraId="C8D9E52B">
      <w:pPr>
        <w:pStyle w:val="style4110"/>
        <w:spacing w:before="0" w:after="0" w:lineRule="exact" w:line="200"/>
        <w:rPr/>
      </w:pPr>
      <w:r>
        <w:rPr>
          <w:rStyle w:val="style4122"/>
          <w:vertAlign w:val="superscript"/>
        </w:rPr>
        <w:footnoteRef/>
      </w:r>
      <w:r>
        <w:rPr>
          <w:sz w:val="18"/>
          <w:szCs w:val="18"/>
        </w:rPr>
        <w:t xml:space="preserve"> Github. https://github.com/TencentCloud/CubeSandbox/blob/master/docs/zh/guide/pvm-deploy.md</w:t>
      </w:r>
      <w:bookmarkEnd w:id="285"/>
    </w:p>
    <w:bookmarkStart w:id="286" w:name="_Ref_Footnote_135"/>
  </w:footnote>
  <w:footnote w:id="135">
    <w:p w14:paraId="A3117390">
      <w:pPr>
        <w:pStyle w:val="style4110"/>
        <w:spacing w:before="0" w:after="0" w:lineRule="exact" w:line="200"/>
        <w:rPr/>
      </w:pPr>
      <w:r>
        <w:rPr>
          <w:rStyle w:val="style4122"/>
          <w:vertAlign w:val="superscript"/>
        </w:rPr>
        <w:footnoteRef/>
      </w:r>
      <w:r>
        <w:rPr>
          <w:sz w:val="18"/>
          <w:szCs w:val="18"/>
        </w:rPr>
        <w:t xml:space="preserve"> Northflank. https://northflank.com/blog/firecracker-vs-cloud-hypervisor</w:t>
      </w:r>
      <w:bookmarkEnd w:id="286"/>
    </w:p>
    <w:bookmarkStart w:id="287" w:name="_Ref_Footnote_136"/>
  </w:footnote>
  <w:footnote w:id="136">
    <w:p w14:paraId="A1861AE5">
      <w:pPr>
        <w:pStyle w:val="style4110"/>
        <w:spacing w:before="0" w:after="0" w:lineRule="exact" w:line="200"/>
        <w:rPr/>
      </w:pPr>
      <w:r>
        <w:rPr>
          <w:rStyle w:val="style4122"/>
          <w:vertAlign w:val="superscript"/>
        </w:rPr>
        <w:footnoteRef/>
      </w:r>
      <w:r>
        <w:rPr>
          <w:sz w:val="18"/>
          <w:szCs w:val="18"/>
        </w:rPr>
        <w:t xml:space="preserve"> Github. https://github.com/kata-containers/kata-containers/issues/10504</w:t>
      </w:r>
      <w:bookmarkEnd w:id="287"/>
    </w:p>
    <w:bookmarkStart w:id="288" w:name="_Ref_Footnote_137"/>
  </w:footnote>
  <w:footnote w:id="137">
    <w:p w14:paraId="F53D0BFB">
      <w:pPr>
        <w:pStyle w:val="style4110"/>
        <w:spacing w:before="0" w:after="0" w:lineRule="exact" w:line="200"/>
        <w:rPr/>
      </w:pPr>
      <w:r>
        <w:rPr>
          <w:rStyle w:val="style4122"/>
          <w:vertAlign w:val="superscript"/>
        </w:rPr>
        <w:footnoteRef/>
      </w:r>
      <w:r>
        <w:rPr>
          <w:sz w:val="18"/>
          <w:szCs w:val="18"/>
        </w:rPr>
        <w:t xml:space="preserve"> Github. https://github.com/ceph/ceph/blob/main/doc/rbd/rbd-snapshot.rst</w:t>
      </w:r>
      <w:bookmarkEnd w:id="288"/>
    </w:p>
    <w:bookmarkStart w:id="289" w:name="_Ref_Footnote_138"/>
  </w:footnote>
  <w:footnote w:id="138">
    <w:p w14:paraId="5C544AF0">
      <w:pPr>
        <w:pStyle w:val="style4110"/>
        <w:spacing w:before="0" w:after="0" w:lineRule="exact" w:line="200"/>
        <w:rPr/>
      </w:pPr>
      <w:r>
        <w:rPr>
          <w:rStyle w:val="style4122"/>
          <w:vertAlign w:val="superscript"/>
        </w:rPr>
        <w:footnoteRef/>
      </w:r>
      <w:r>
        <w:rPr>
          <w:sz w:val="18"/>
          <w:szCs w:val="18"/>
        </w:rPr>
        <w:t xml:space="preserve"> Ceph Documentation. https://docs.ceph.com/docs/master/dev/rbd-layering/</w:t>
      </w:r>
      <w:bookmarkEnd w:id="289"/>
    </w:p>
    <w:bookmarkStart w:id="290" w:name="_Ref_Footnote_139"/>
  </w:footnote>
  <w:footnote w:id="139">
    <w:p w14:paraId="88A5746B">
      <w:pPr>
        <w:pStyle w:val="style4110"/>
        <w:spacing w:before="0" w:after="0" w:lineRule="exact" w:line="200"/>
        <w:rPr/>
      </w:pPr>
      <w:r>
        <w:rPr>
          <w:rStyle w:val="style4122"/>
          <w:vertAlign w:val="superscript"/>
        </w:rPr>
        <w:footnoteRef/>
      </w:r>
      <w:r>
        <w:rPr>
          <w:sz w:val="18"/>
          <w:szCs w:val="18"/>
        </w:rPr>
        <w:t xml:space="preserve"> Github. https://github.com/ceph/ceph/blob/master/doc/dev/rbd-layering.rst</w:t>
      </w:r>
      <w:bookmarkEnd w:id="290"/>
    </w:p>
    <w:bookmarkStart w:id="291" w:name="_Ref_Footnote_140"/>
  </w:footnote>
  <w:footnote w:id="140">
    <w:p w14:paraId="7B137B05">
      <w:pPr>
        <w:pStyle w:val="style4110"/>
        <w:spacing w:before="0" w:after="0" w:lineRule="exact" w:line="200"/>
        <w:rPr/>
      </w:pPr>
      <w:r>
        <w:rPr>
          <w:rStyle w:val="style4122"/>
          <w:vertAlign w:val="superscript"/>
        </w:rPr>
        <w:footnoteRef/>
      </w:r>
      <w:r>
        <w:rPr>
          <w:sz w:val="18"/>
          <w:szCs w:val="18"/>
        </w:rPr>
        <w:t xml:space="preserve"> oneuptime.com. https://oneuptime.com/blog/post/2026-03-20-create-longhorn-volume-snapshots/view</w:t>
      </w:r>
      <w:bookmarkEnd w:id="291"/>
    </w:p>
    <w:bookmarkStart w:id="292" w:name="_Ref_Footnote_141"/>
  </w:footnote>
  <w:footnote w:id="141">
    <w:p w14:paraId="3C5170B4">
      <w:pPr>
        <w:pStyle w:val="style4110"/>
        <w:spacing w:before="0" w:after="0" w:lineRule="exact" w:line="200"/>
        <w:rPr/>
      </w:pPr>
      <w:r>
        <w:rPr>
          <w:rStyle w:val="style4122"/>
          <w:vertAlign w:val="superscript"/>
        </w:rPr>
        <w:footnoteRef/>
      </w:r>
      <w:r>
        <w:rPr>
          <w:sz w:val="18"/>
          <w:szCs w:val="18"/>
        </w:rPr>
        <w:t xml:space="preserve"> Bing. https://www.bing.com/ck/a?!=&amp;fclid=3020177c-de8f-6803-1cb3-0286df3e693f&amp;hsh=4&amp;ntb=1&amp;p=ec5faa2bc9028ee1077f06f229f648b4c05be8862a9c6276c4201a738966b496JmltdHM9MTc0ODMwNDAwMA&amp;ptn=3&amp;u=a1aHR0cHM6Ly9naXRodWIuY29tL3N0ZWZhbmJlcmdlci9zd3RwbS9kaXNjdXNzaW9ucy82MDg&amp;ver=2</w:t>
      </w:r>
      <w:bookmarkEnd w:id="292"/>
    </w:p>
    <w:bookmarkStart w:id="293" w:name="_Ref_Footnote_142"/>
  </w:footnote>
  <w:footnote w:id="142">
    <w:p w14:paraId="CECE7CE0">
      <w:pPr>
        <w:pStyle w:val="style4110"/>
        <w:spacing w:before="0" w:after="0" w:lineRule="exact" w:line="200"/>
        <w:rPr/>
      </w:pPr>
      <w:r>
        <w:rPr>
          <w:rStyle w:val="style4122"/>
          <w:vertAlign w:val="superscript"/>
        </w:rPr>
        <w:footnoteRef/>
      </w:r>
      <w:r>
        <w:rPr>
          <w:sz w:val="18"/>
          <w:szCs w:val="18"/>
        </w:rPr>
        <w:t xml:space="preserve"> 博客园. https://www.cnblogs.com/licheng/archive/2013/03/24/2979287.html</w:t>
      </w:r>
      <w:bookmarkEnd w:id="293"/>
    </w:p>
    <w:bookmarkStart w:id="294" w:name="_Ref_Footnote_143"/>
  </w:footnote>
  <w:footnote w:id="143">
    <w:p w14:paraId="366994E7">
      <w:pPr>
        <w:pStyle w:val="style4110"/>
        <w:spacing w:before="0" w:after="0" w:lineRule="exact" w:line="200"/>
        <w:rPr/>
      </w:pPr>
      <w:r>
        <w:rPr>
          <w:rStyle w:val="style4122"/>
          <w:vertAlign w:val="superscript"/>
        </w:rPr>
        <w:footnoteRef/>
      </w:r>
      <w:r>
        <w:rPr>
          <w:sz w:val="18"/>
          <w:szCs w:val="18"/>
        </w:rPr>
        <w:t xml:space="preserve"> thehackerwire.com. https://www.thehackerwire.com/kata-containers-cloud-hypervisor-guest-vm-root-rce-cve-2026-24834/</w:t>
      </w:r>
      <w:bookmarkEnd w:id="294"/>
    </w:p>
    <w:bookmarkStart w:id="295" w:name="_Ref_Footnote_144"/>
  </w:footnote>
  <w:footnote w:id="144">
    <w:p w14:paraId="85F00FD9">
      <w:pPr>
        <w:pStyle w:val="style4110"/>
        <w:spacing w:before="0" w:after="0" w:lineRule="exact" w:line="200"/>
        <w:rPr/>
      </w:pPr>
      <w:r>
        <w:rPr>
          <w:rStyle w:val="style4122"/>
          <w:vertAlign w:val="superscript"/>
        </w:rPr>
        <w:footnoteRef/>
      </w:r>
      <w:r>
        <w:rPr>
          <w:sz w:val="18"/>
          <w:szCs w:val="18"/>
        </w:rPr>
        <w:t xml:space="preserve"> Severalnines. https://severalnines.com/blog/kubernetes-container-storage-interface-csi/</w:t>
      </w:r>
      <w:bookmarkEnd w:id="295"/>
    </w:p>
    <w:bookmarkStart w:id="296" w:name="_Ref_Footnote_145"/>
  </w:footnote>
  <w:footnote w:id="145">
    <w:p w14:paraId="B88AB19F">
      <w:pPr>
        <w:pStyle w:val="style4110"/>
        <w:spacing w:before="0" w:after="0" w:lineRule="exact" w:line="200"/>
        <w:rPr/>
      </w:pPr>
      <w:r>
        <w:rPr>
          <w:rStyle w:val="style4122"/>
          <w:vertAlign w:val="superscript"/>
        </w:rPr>
        <w:footnoteRef/>
      </w:r>
      <w:r>
        <w:rPr>
          <w:sz w:val="18"/>
          <w:szCs w:val="18"/>
        </w:rPr>
        <w:t xml:space="preserve"> sched.com. https://static.sched.com/hosted_files/kccncchina2018english/3a/KubeCon Shanghai China 2018 - Final.pdf</w:t>
      </w:r>
      <w:bookmarkEnd w:id="296"/>
    </w:p>
    <w:bookmarkStart w:id="297" w:name="_Ref_Footnote_146"/>
  </w:footnote>
  <w:footnote w:id="146">
    <w:p w14:paraId="98C9A835">
      <w:pPr>
        <w:pStyle w:val="style4110"/>
        <w:spacing w:before="0" w:after="0" w:lineRule="exact" w:line="200"/>
        <w:rPr/>
      </w:pPr>
      <w:r>
        <w:rPr>
          <w:rStyle w:val="style4122"/>
          <w:vertAlign w:val="superscript"/>
        </w:rPr>
        <w:footnoteRef/>
      </w:r>
      <w:r>
        <w:rPr>
          <w:sz w:val="18"/>
          <w:szCs w:val="18"/>
        </w:rPr>
        <w:t xml:space="preserve"> GitHub Gist. https://gist.github.com/namishelex01/c2032628451509fdcfa060ece328a639</w:t>
      </w:r>
      <w:bookmarkEnd w:id="297"/>
    </w:p>
    <w:bookmarkStart w:id="298" w:name="_Ref_Footnote_147"/>
  </w:footnote>
  <w:footnote w:id="147">
    <w:p w14:paraId="5018888C">
      <w:pPr>
        <w:pStyle w:val="style4110"/>
        <w:spacing w:before="0" w:after="0" w:lineRule="exact" w:line="200"/>
        <w:rPr/>
      </w:pPr>
      <w:r>
        <w:rPr>
          <w:rStyle w:val="style4122"/>
          <w:vertAlign w:val="superscript"/>
        </w:rPr>
        <w:footnoteRef/>
      </w:r>
      <w:r>
        <w:rPr>
          <w:sz w:val="18"/>
          <w:szCs w:val="18"/>
        </w:rPr>
        <w:t xml:space="preserve"> sched.com. https://static.sched.com/hosted_files/kccnceu2024/4c/KubeConEU24 - CoCo.pdf</w:t>
      </w:r>
      <w:bookmarkEnd w:id="298"/>
    </w:p>
    <w:bookmarkStart w:id="299" w:name="_Ref_Footnote_148"/>
  </w:footnote>
  <w:footnote w:id="148">
    <w:p w14:paraId="CE445C92">
      <w:pPr>
        <w:pStyle w:val="style4110"/>
        <w:spacing w:before="0" w:after="0" w:lineRule="exact" w:line="200"/>
        <w:rPr/>
      </w:pPr>
      <w:r>
        <w:rPr>
          <w:rStyle w:val="style4122"/>
          <w:vertAlign w:val="superscript"/>
        </w:rPr>
        <w:footnoteRef/>
      </w:r>
      <w:r>
        <w:rPr>
          <w:sz w:val="18"/>
          <w:szCs w:val="18"/>
        </w:rPr>
        <w:t xml:space="preserve"> Kata Containers. https://katacontainers.io/collateral/kata-containers-ant-group_whitepaper.pdf</w:t>
      </w:r>
      <w:bookmarkEnd w:id="299"/>
    </w:p>
    <w:bookmarkStart w:id="300" w:name="_Ref_Footnote_149"/>
  </w:footnote>
  <w:footnote w:id="149">
    <w:p w14:paraId="7C2EE9AA">
      <w:pPr>
        <w:pStyle w:val="style4110"/>
        <w:spacing w:before="0" w:after="0" w:lineRule="exact" w:line="200"/>
        <w:rPr/>
      </w:pPr>
      <w:r>
        <w:rPr>
          <w:rStyle w:val="style4122"/>
          <w:vertAlign w:val="superscript"/>
        </w:rPr>
        <w:footnoteRef/>
      </w:r>
      <w:r>
        <w:rPr>
          <w:sz w:val="18"/>
          <w:szCs w:val="18"/>
        </w:rPr>
        <w:t xml:space="preserve"> mygit.top. https://mygit.top/repository/107505869</w:t>
      </w:r>
      <w:bookmarkEnd w:id="300"/>
    </w:p>
    <w:bookmarkStart w:id="301" w:name="_Ref_Footnote_150"/>
  </w:footnote>
  <w:footnote w:id="150">
    <w:p w14:paraId="24B71E09">
      <w:pPr>
        <w:pStyle w:val="style4110"/>
        <w:spacing w:before="0" w:after="0" w:lineRule="exact" w:line="200"/>
        <w:rPr/>
      </w:pPr>
      <w:r>
        <w:rPr>
          <w:rStyle w:val="style4122"/>
          <w:vertAlign w:val="superscript"/>
        </w:rPr>
        <w:footnoteRef/>
      </w:r>
      <w:r>
        <w:rPr>
          <w:sz w:val="18"/>
          <w:szCs w:val="18"/>
        </w:rPr>
        <w:t xml:space="preserve"> systemshardening.com. https://www.systemshardening.com/articles/kubernetes/confidential-containers/</w:t>
      </w:r>
      <w:bookmarkEnd w:id="301"/>
    </w:p>
    <w:bookmarkStart w:id="302" w:name="_Ref_Footnote_151"/>
  </w:footnote>
  <w:footnote w:id="151">
    <w:p w14:paraId="52FAE84F">
      <w:pPr>
        <w:pStyle w:val="style4110"/>
        <w:spacing w:before="0" w:after="0" w:lineRule="exact" w:line="200"/>
        <w:rPr/>
      </w:pPr>
      <w:r>
        <w:rPr>
          <w:rStyle w:val="style4122"/>
          <w:vertAlign w:val="superscript"/>
        </w:rPr>
        <w:footnoteRef/>
      </w:r>
      <w:r>
        <w:rPr>
          <w:sz w:val="18"/>
          <w:szCs w:val="18"/>
        </w:rPr>
        <w:t xml:space="preserve"> CSDN博客. https://blog.csdn.net/gitblog_01058/article/details/151508814</w:t>
      </w:r>
      <w:bookmarkEnd w:id="302"/>
    </w:p>
    <w:bookmarkStart w:id="303" w:name="_Ref_Footnote_152"/>
  </w:footnote>
  <w:footnote w:id="152">
    <w:p w14:paraId="42DC08F7">
      <w:pPr>
        <w:pStyle w:val="style4110"/>
        <w:spacing w:before="0" w:after="0" w:lineRule="exact" w:line="200"/>
        <w:rPr/>
      </w:pPr>
      <w:r>
        <w:rPr>
          <w:rStyle w:val="style4122"/>
          <w:vertAlign w:val="superscript"/>
        </w:rPr>
        <w:footnoteRef/>
      </w:r>
      <w:r>
        <w:rPr>
          <w:sz w:val="18"/>
          <w:szCs w:val="18"/>
        </w:rPr>
        <w:t xml:space="preserve"> Phala. https://phala.com/learn/AMD-SEV-vs-Intel-TDX-vs-NVIDIA-GPU-TEE</w:t>
      </w:r>
      <w:bookmarkEnd w:id="303"/>
    </w:p>
    <w:bookmarkStart w:id="304" w:name="_Ref_Footnote_153"/>
  </w:footnote>
  <w:footnote w:id="153">
    <w:p w14:paraId="6FDBD6E0">
      <w:pPr>
        <w:pStyle w:val="style4110"/>
        <w:spacing w:before="0" w:after="0" w:lineRule="exact" w:line="200"/>
        <w:rPr/>
      </w:pPr>
      <w:r>
        <w:rPr>
          <w:rStyle w:val="style4122"/>
          <w:vertAlign w:val="superscript"/>
        </w:rPr>
        <w:footnoteRef/>
      </w:r>
      <w:r>
        <w:rPr>
          <w:sz w:val="18"/>
          <w:szCs w:val="18"/>
        </w:rPr>
        <w:t xml:space="preserve"> Northflank. https://northflank.com/blog/kata-containers-vs-gvisor</w:t>
      </w:r>
      <w:bookmarkEnd w:id="304"/>
    </w:p>
    <w:bookmarkStart w:id="305" w:name="_Ref_Footnote_154"/>
  </w:footnote>
  <w:footnote w:id="154">
    <w:p w14:paraId="F68BAA45">
      <w:pPr>
        <w:pStyle w:val="style4110"/>
        <w:spacing w:before="0" w:after="0" w:lineRule="exact" w:line="200"/>
        <w:rPr/>
      </w:pPr>
      <w:r>
        <w:rPr>
          <w:rStyle w:val="style4122"/>
          <w:vertAlign w:val="superscript"/>
        </w:rPr>
        <w:footnoteRef/>
      </w:r>
      <w:r>
        <w:rPr>
          <w:sz w:val="18"/>
          <w:szCs w:val="18"/>
        </w:rPr>
        <w:t xml:space="preserve"> maksonlee.com. https://www.maksonlee.com/how-to-add-external-ceph-rbd-as-storage-in-proxmox-ve-9/</w:t>
      </w:r>
      <w:bookmarkEnd w:id="305"/>
    </w:p>
    <w:bookmarkStart w:id="306" w:name="_Ref_Footnote_155"/>
  </w:footnote>
  <w:footnote w:id="155">
    <w:p w14:paraId="04C06B87">
      <w:pPr>
        <w:pStyle w:val="style4110"/>
        <w:spacing w:before="0" w:after="0" w:lineRule="exact" w:line="200"/>
        <w:rPr/>
      </w:pPr>
      <w:r>
        <w:rPr>
          <w:rStyle w:val="style4122"/>
          <w:vertAlign w:val="superscript"/>
        </w:rPr>
        <w:footnoteRef/>
      </w:r>
      <w:r>
        <w:rPr>
          <w:sz w:val="18"/>
          <w:szCs w:val="18"/>
        </w:rPr>
        <w:t xml:space="preserve"> CSDN博客. https://blog.csdn.net/gitblog_00691/article/details/151508874</w:t>
      </w:r>
      <w:bookmarkEnd w:id="306"/>
    </w:p>
    <w:bookmarkStart w:id="307" w:name="_Ref_Footnote_156"/>
  </w:footnote>
  <w:footnote w:id="156">
    <w:p w14:paraId="BDD166C4">
      <w:pPr>
        <w:pStyle w:val="style4110"/>
        <w:spacing w:before="0" w:after="0" w:lineRule="exact" w:line="200"/>
        <w:rPr/>
      </w:pPr>
      <w:r>
        <w:rPr>
          <w:rStyle w:val="style4122"/>
          <w:vertAlign w:val="superscript"/>
        </w:rPr>
        <w:footnoteRef/>
      </w:r>
      <w:r>
        <w:rPr>
          <w:sz w:val="18"/>
          <w:szCs w:val="18"/>
        </w:rPr>
        <w:t xml:space="preserve"> CSDN博客. https://blog.csdn.net/gitblog_01022/article/details/144079540</w:t>
      </w:r>
      <w:bookmarkEnd w:id="307"/>
    </w:p>
    <w:bookmarkStart w:id="308" w:name="_Ref_Footnote_157"/>
  </w:footnote>
  <w:footnote w:id="157">
    <w:p w14:paraId="80A288CA">
      <w:pPr>
        <w:pStyle w:val="style4110"/>
        <w:spacing w:before="0" w:after="0" w:lineRule="exact" w:line="200"/>
        <w:rPr/>
      </w:pPr>
      <w:r>
        <w:rPr>
          <w:rStyle w:val="style4122"/>
          <w:vertAlign w:val="superscript"/>
        </w:rPr>
        <w:footnoteRef/>
      </w:r>
      <w:r>
        <w:rPr>
          <w:sz w:val="18"/>
          <w:szCs w:val="18"/>
        </w:rPr>
        <w:t xml:space="preserve"> ayedo.de. https://ayedo.de/en/posts/multi-tenancy-auf-kubernetes-strategien-fur-saubere-tenant-isolation/</w:t>
      </w:r>
      <w:bookmarkEnd w:id="308"/>
    </w:p>
    <w:bookmarkStart w:id="309" w:name="_Ref_Footnote_158"/>
  </w:footnote>
  <w:footnote w:id="158">
    <w:p w14:paraId="D9D9D61C">
      <w:pPr>
        <w:pStyle w:val="style4110"/>
        <w:spacing w:before="0" w:after="0" w:lineRule="exact" w:line="200"/>
        <w:rPr/>
      </w:pPr>
      <w:r>
        <w:rPr>
          <w:rStyle w:val="style4122"/>
          <w:vertAlign w:val="superscript"/>
        </w:rPr>
        <w:footnoteRef/>
      </w:r>
      <w:r>
        <w:rPr>
          <w:sz w:val="18"/>
          <w:szCs w:val="18"/>
        </w:rPr>
        <w:t xml:space="preserve"> Pi Stack. https://www.pistack.xyz/posts/2026-04-20-gvisor-vs-kata-containers-vs-firecracker-container-sandboxing-guide-2026/</w:t>
      </w:r>
      <w:bookmarkEnd w:id="309"/>
    </w:p>
    <w:bookmarkStart w:id="310" w:name="_Ref_Footnote_159"/>
  </w:footnote>
  <w:footnote w:id="159">
    <w:p w14:paraId="1223E15C">
      <w:pPr>
        <w:pStyle w:val="style4110"/>
        <w:spacing w:before="0" w:after="0" w:lineRule="exact" w:line="200"/>
        <w:rPr/>
      </w:pPr>
      <w:r>
        <w:rPr>
          <w:rStyle w:val="style4122"/>
          <w:vertAlign w:val="superscript"/>
        </w:rPr>
        <w:footnoteRef/>
      </w:r>
      <w:r>
        <w:rPr>
          <w:sz w:val="18"/>
          <w:szCs w:val="18"/>
        </w:rPr>
        <w:t xml:space="preserve"> Blog de Stéphane ROBERT - Devops. https://blog.stephane-robert.info/docs/conteneurs/orchestrateurs/kubernetes/securiser/runtime-sandboxes/</w:t>
      </w:r>
      <w:bookmarkEnd w:id="310"/>
    </w:p>
    <w:bookmarkStart w:id="311" w:name="_Ref_Footnote_160"/>
  </w:footnote>
  <w:footnote w:id="160">
    <w:p w14:paraId="24688D70">
      <w:pPr>
        <w:pStyle w:val="style4110"/>
        <w:spacing w:before="0" w:after="0" w:lineRule="exact" w:line="200"/>
        <w:rPr/>
      </w:pPr>
      <w:r>
        <w:rPr>
          <w:rStyle w:val="style4122"/>
          <w:vertAlign w:val="superscript"/>
        </w:rPr>
        <w:footnoteRef/>
      </w:r>
      <w:r>
        <w:rPr>
          <w:sz w:val="18"/>
          <w:szCs w:val="18"/>
        </w:rPr>
        <w:t xml:space="preserve"> CSDN博客. https://blog.csdn.net/gitblog_00448/article/details/151468730</w:t>
      </w:r>
      <w:bookmarkEnd w:id="311"/>
    </w:p>
    <w:bookmarkStart w:id="312" w:name="_Ref_Footnote_161"/>
  </w:footnote>
  <w:footnote w:id="161">
    <w:p w14:paraId="CEDC4783">
      <w:pPr>
        <w:pStyle w:val="style4110"/>
        <w:spacing w:before="0" w:after="0" w:lineRule="exact" w:line="200"/>
        <w:rPr/>
      </w:pPr>
      <w:r>
        <w:rPr>
          <w:rStyle w:val="style4122"/>
          <w:vertAlign w:val="superscript"/>
        </w:rPr>
        <w:footnoteRef/>
      </w:r>
      <w:r>
        <w:rPr>
          <w:sz w:val="18"/>
          <w:szCs w:val="18"/>
        </w:rPr>
        <w:t xml:space="preserve"> CSDN博客. https://blog.csdn.net/gitblog_00193/article/details/151468613</w:t>
      </w:r>
      <w:bookmarkEnd w:id="312"/>
    </w:p>
    <w:bookmarkStart w:id="313" w:name="_Ref_Footnote_162"/>
  </w:footnote>
  <w:footnote w:id="162">
    <w:p w14:paraId="C3B37D32">
      <w:pPr>
        <w:pStyle w:val="style4110"/>
        <w:spacing w:before="0" w:after="0" w:lineRule="exact" w:line="200"/>
        <w:rPr/>
      </w:pPr>
      <w:r>
        <w:rPr>
          <w:rStyle w:val="style4122"/>
          <w:vertAlign w:val="superscript"/>
        </w:rPr>
        <w:footnoteRef/>
      </w:r>
      <w:r>
        <w:rPr>
          <w:sz w:val="18"/>
          <w:szCs w:val="18"/>
        </w:rPr>
        <w:t xml:space="preserve"> qumulus.io. https://www.qumulus.io/the-secret-weapon-behind-blazing-fast-super-secure-cloud-services-and-why-you-need-it/</w:t>
      </w:r>
      <w:bookmarkEnd w:id="313"/>
    </w:p>
    <w:bookmarkStart w:id="314" w:name="_Ref_Footnote_163"/>
  </w:footnote>
  <w:footnote w:id="163">
    <w:p w14:paraId="04A238D0">
      <w:pPr>
        <w:pStyle w:val="style4110"/>
        <w:spacing w:before="0" w:after="0" w:lineRule="exact" w:line="200"/>
        <w:rPr/>
      </w:pPr>
      <w:r>
        <w:rPr>
          <w:rStyle w:val="style4122"/>
          <w:vertAlign w:val="superscript"/>
        </w:rPr>
        <w:footnoteRef/>
      </w:r>
      <w:r>
        <w:rPr>
          <w:sz w:val="18"/>
          <w:szCs w:val="18"/>
        </w:rPr>
        <w:t xml:space="preserve"> markaicode.com. https://markaicode.com/ubuntu-24-04-confidential-computing-amd-sev-snp-intel-tdx/</w:t>
      </w:r>
      <w:bookmarkEnd w:id="314"/>
    </w:p>
    <w:bookmarkStart w:id="315" w:name="_Ref_Footnote_164"/>
  </w:footnote>
  <w:footnote w:id="164">
    <w:p w14:paraId="B7DD0D3F">
      <w:pPr>
        <w:pStyle w:val="style4110"/>
        <w:spacing w:before="0" w:after="0" w:lineRule="exact" w:line="200"/>
        <w:rPr/>
      </w:pPr>
      <w:r>
        <w:rPr>
          <w:rStyle w:val="style4122"/>
          <w:vertAlign w:val="superscript"/>
        </w:rPr>
        <w:footnoteRef/>
      </w:r>
      <w:r>
        <w:rPr>
          <w:sz w:val="18"/>
          <w:szCs w:val="18"/>
        </w:rPr>
        <w:t xml:space="preserve"> arXiv.org. https://arxiv.org/pdf/2408.11601v1</w:t>
      </w:r>
      <w:bookmarkEnd w:id="315"/>
    </w:p>
    <w:bookmarkStart w:id="316" w:name="_Ref_Footnote_165"/>
  </w:footnote>
  <w:footnote w:id="165">
    <w:p w14:paraId="0755C49D">
      <w:pPr>
        <w:pStyle w:val="style4110"/>
        <w:spacing w:before="0" w:after="0" w:lineRule="exact" w:line="200"/>
        <w:rPr/>
      </w:pPr>
      <w:r>
        <w:rPr>
          <w:rStyle w:val="style4122"/>
          <w:vertAlign w:val="superscript"/>
        </w:rPr>
        <w:footnoteRef/>
      </w:r>
      <w:r>
        <w:rPr>
          <w:sz w:val="18"/>
          <w:szCs w:val="18"/>
        </w:rPr>
        <w:t xml:space="preserve"> arXiv.org. https://arxiv.org/pdf/2408.11601v2</w:t>
      </w:r>
      <w:bookmarkEnd w:id="316"/>
    </w:p>
    <w:bookmarkStart w:id="317" w:name="_Ref_Footnote_166"/>
  </w:footnote>
  <w:footnote w:id="166">
    <w:p w14:paraId="2F06F9FD">
      <w:pPr>
        <w:pStyle w:val="style4110"/>
        <w:spacing w:before="0" w:after="0" w:lineRule="exact" w:line="200"/>
        <w:rPr/>
      </w:pPr>
      <w:r>
        <w:rPr>
          <w:rStyle w:val="style4122"/>
          <w:vertAlign w:val="superscript"/>
        </w:rPr>
        <w:footnoteRef/>
      </w:r>
      <w:r>
        <w:rPr>
          <w:sz w:val="18"/>
          <w:szCs w:val="18"/>
        </w:rPr>
        <w:t xml:space="preserve"> Docker Documentation. https://docs.docker.com/reference/api/engine/</w:t>
      </w:r>
      <w:bookmarkEnd w:id="317"/>
    </w:p>
    <w:bookmarkStart w:id="318" w:name="_Ref_Footnote_167"/>
  </w:footnote>
  <w:footnote w:id="167">
    <w:p w14:paraId="888C482D">
      <w:pPr>
        <w:pStyle w:val="style4110"/>
        <w:spacing w:before="0" w:after="0" w:lineRule="exact" w:line="200"/>
        <w:rPr/>
      </w:pPr>
      <w:r>
        <w:rPr>
          <w:rStyle w:val="style4122"/>
          <w:vertAlign w:val="superscript"/>
        </w:rPr>
        <w:footnoteRef/>
      </w:r>
      <w:r>
        <w:rPr>
          <w:sz w:val="18"/>
          <w:szCs w:val="18"/>
        </w:rPr>
        <w:t xml:space="preserve"> accuweb.cloud. https://accuweb.cloud/blog/Kubernetes-cluster-federation</w:t>
      </w:r>
      <w:bookmarkEnd w:id="318"/>
    </w:p>
    <w:bookmarkStart w:id="319" w:name="_Ref_Footnote_168"/>
  </w:footnote>
  <w:footnote w:id="168">
    <w:p w14:paraId="E38B117F">
      <w:pPr>
        <w:pStyle w:val="style4110"/>
        <w:spacing w:before="0" w:after="0" w:lineRule="exact" w:line="200"/>
        <w:rPr/>
      </w:pPr>
      <w:r>
        <w:rPr>
          <w:rStyle w:val="style4122"/>
          <w:vertAlign w:val="superscript"/>
        </w:rPr>
        <w:footnoteRef/>
      </w:r>
      <w:r>
        <w:rPr>
          <w:sz w:val="18"/>
          <w:szCs w:val="18"/>
        </w:rPr>
        <w:t xml:space="preserve"> hoop.dev. https://hoop.dev/blog/federation-k9s-unified-control-for-multi-cluster-kubernetes</w:t>
      </w:r>
      <w:bookmarkEnd w:id="319"/>
    </w:p>
    <w:bookmarkStart w:id="320" w:name="_Ref_Footnote_169"/>
  </w:footnote>
  <w:footnote w:id="169">
    <w:p w14:paraId="AB34093C">
      <w:pPr>
        <w:pStyle w:val="style4110"/>
        <w:spacing w:before="0" w:after="0" w:lineRule="exact" w:line="200"/>
        <w:rPr/>
      </w:pPr>
      <w:r>
        <w:rPr>
          <w:rStyle w:val="style4122"/>
          <w:vertAlign w:val="superscript"/>
        </w:rPr>
        <w:footnoteRef/>
      </w:r>
      <w:r>
        <w:rPr>
          <w:sz w:val="18"/>
          <w:szCs w:val="18"/>
        </w:rPr>
        <w:t xml:space="preserve"> aquilax.ai. https://aquilax.ai/blog/service-mesh-istio-mtls-bypass</w:t>
      </w:r>
      <w:bookmarkEnd w:id="320"/>
    </w:p>
    <w:bookmarkStart w:id="321" w:name="_Ref_Footnote_170"/>
  </w:footnote>
  <w:footnote w:id="170">
    <w:p w14:paraId="343E78E9">
      <w:pPr>
        <w:pStyle w:val="style4110"/>
        <w:spacing w:before="0" w:after="0" w:lineRule="exact" w:line="200"/>
        <w:rPr/>
      </w:pPr>
      <w:r>
        <w:rPr>
          <w:rStyle w:val="style4122"/>
          <w:vertAlign w:val="superscript"/>
        </w:rPr>
        <w:footnoteRef/>
      </w:r>
      <w:r>
        <w:rPr>
          <w:sz w:val="18"/>
          <w:szCs w:val="18"/>
        </w:rPr>
        <w:t xml:space="preserve"> SecureW2. https://securew2.com/blog/what-is-spiffe-spire-workload-identity-guide</w:t>
      </w:r>
      <w:bookmarkEnd w:id="321"/>
    </w:p>
    <w:bookmarkStart w:id="322" w:name="_Ref_Footnote_171"/>
  </w:footnote>
  <w:footnote w:id="171">
    <w:p w14:paraId="97C3069E">
      <w:pPr>
        <w:pStyle w:val="style4110"/>
        <w:spacing w:before="0" w:after="0" w:lineRule="exact" w:line="200"/>
        <w:rPr/>
      </w:pPr>
      <w:r>
        <w:rPr>
          <w:rStyle w:val="style4122"/>
          <w:vertAlign w:val="superscript"/>
        </w:rPr>
        <w:footnoteRef/>
      </w:r>
      <w:r>
        <w:rPr>
          <w:sz w:val="18"/>
          <w:szCs w:val="18"/>
        </w:rPr>
        <w:t xml:space="preserve"> Coding Protocols Private Limited. https://codingprotocols.com/tutorials/spiffe-spire-workload-identity</w:t>
      </w:r>
      <w:bookmarkEnd w:id="322"/>
    </w:p>
    <w:bookmarkStart w:id="323" w:name="_Ref_Footnote_172"/>
  </w:footnote>
  <w:footnote w:id="172">
    <w:p w14:paraId="D9C5363B">
      <w:pPr>
        <w:pStyle w:val="style4110"/>
        <w:spacing w:before="0" w:after="0" w:lineRule="exact" w:line="200"/>
        <w:rPr/>
      </w:pPr>
      <w:r>
        <w:rPr>
          <w:rStyle w:val="style4122"/>
          <w:vertAlign w:val="superscript"/>
        </w:rPr>
        <w:footnoteRef/>
      </w:r>
      <w:r>
        <w:rPr>
          <w:sz w:val="18"/>
          <w:szCs w:val="18"/>
        </w:rPr>
        <w:t xml:space="preserve"> GeeksForGeeks. https://www.geeksforgeeks.org/devops/docker-engine-api-/</w:t>
      </w:r>
      <w:bookmarkEnd w:id="323"/>
    </w:p>
    <w:bookmarkStart w:id="324" w:name="_Ref_Footnote_173"/>
  </w:footnote>
  <w:footnote w:id="173">
    <w:p w14:paraId="6A37447B">
      <w:pPr>
        <w:pStyle w:val="style4110"/>
        <w:spacing w:before="0" w:after="0" w:lineRule="exact" w:line="200"/>
        <w:rPr/>
      </w:pPr>
      <w:r>
        <w:rPr>
          <w:rStyle w:val="style4122"/>
          <w:vertAlign w:val="superscript"/>
        </w:rPr>
        <w:footnoteRef/>
      </w:r>
      <w:r>
        <w:rPr>
          <w:sz w:val="18"/>
          <w:szCs w:val="18"/>
        </w:rPr>
        <w:t xml:space="preserve"> SUSE. https://www.suse.com/c/kubernetes-multi-cluster/</w:t>
      </w:r>
      <w:bookmarkEnd w:id="324"/>
    </w:p>
    <w:bookmarkStart w:id="325" w:name="_Ref_Footnote_174"/>
  </w:footnote>
  <w:footnote w:id="174">
    <w:p w14:paraId="02985A2C">
      <w:pPr>
        <w:pStyle w:val="style4110"/>
        <w:spacing w:before="0" w:after="0" w:lineRule="exact" w:line="200"/>
        <w:rPr/>
      </w:pPr>
      <w:r>
        <w:rPr>
          <w:rStyle w:val="style4122"/>
          <w:vertAlign w:val="superscript"/>
        </w:rPr>
        <w:footnoteRef/>
      </w:r>
      <w:r>
        <w:rPr>
          <w:sz w:val="18"/>
          <w:szCs w:val="18"/>
        </w:rPr>
        <w:t xml:space="preserve"> Binadit. https://binadit.com/tutorials/implement-container-security-with-apparmor-and-seccomp</w:t>
      </w:r>
      <w:bookmarkEnd w:id="325"/>
    </w:p>
    <w:bookmarkStart w:id="326" w:name="_Ref_Footnote_175"/>
  </w:footnote>
  <w:footnote w:id="175">
    <w:p w14:paraId="0E87DA52">
      <w:pPr>
        <w:pStyle w:val="style4110"/>
        <w:spacing w:before="0" w:after="0" w:lineRule="exact" w:line="200"/>
        <w:rPr/>
      </w:pPr>
      <w:r>
        <w:rPr>
          <w:rStyle w:val="style4122"/>
          <w:vertAlign w:val="superscript"/>
        </w:rPr>
        <w:footnoteRef/>
      </w:r>
      <w:r>
        <w:rPr>
          <w:sz w:val="18"/>
          <w:szCs w:val="18"/>
        </w:rPr>
        <w:t xml:space="preserve"> Linux Security. https://linuxsecurity.com/features/linux-access-control-security-gaps</w:t>
      </w:r>
      <w:bookmarkEnd w:id="326"/>
    </w:p>
    <w:bookmarkStart w:id="327" w:name="_Ref_Footnote_176"/>
  </w:footnote>
  <w:footnote w:id="176">
    <w:p w14:paraId="E008B973">
      <w:pPr>
        <w:pStyle w:val="style4110"/>
        <w:spacing w:before="0" w:after="0" w:lineRule="exact" w:line="200"/>
        <w:rPr/>
      </w:pPr>
      <w:r>
        <w:rPr>
          <w:rStyle w:val="style4122"/>
          <w:vertAlign w:val="superscript"/>
        </w:rPr>
        <w:footnoteRef/>
      </w:r>
      <w:r>
        <w:rPr>
          <w:sz w:val="18"/>
          <w:szCs w:val="18"/>
        </w:rPr>
        <w:t xml:space="preserve"> AppSec Santa. https://appsecsanta.com/application-security/kubernetes-security-guide</w:t>
      </w:r>
      <w:bookmarkEnd w:id="327"/>
    </w:p>
    <w:bookmarkStart w:id="328" w:name="_Ref_Footnote_177"/>
  </w:footnote>
  <w:footnote w:id="177">
    <w:p w14:paraId="A2523C0B">
      <w:pPr>
        <w:pStyle w:val="style4110"/>
        <w:spacing w:before="0" w:after="0" w:lineRule="exact" w:line="200"/>
        <w:rPr/>
      </w:pPr>
      <w:r>
        <w:rPr>
          <w:rStyle w:val="style4122"/>
          <w:vertAlign w:val="superscript"/>
        </w:rPr>
        <w:footnoteRef/>
      </w:r>
      <w:r>
        <w:rPr>
          <w:sz w:val="18"/>
          <w:szCs w:val="18"/>
        </w:rPr>
        <w:t xml:space="preserve"> sechub.in. https://sechub.in/view/2864402</w:t>
      </w:r>
      <w:bookmarkEnd w:id="328"/>
    </w:p>
    <w:bookmarkStart w:id="329" w:name="_Ref_Footnote_178"/>
  </w:footnote>
  <w:footnote w:id="178">
    <w:p w14:paraId="1350EDEE">
      <w:pPr>
        <w:pStyle w:val="style4110"/>
        <w:spacing w:before="0" w:after="0" w:lineRule="exact" w:line="200"/>
        <w:rPr/>
      </w:pPr>
      <w:r>
        <w:rPr>
          <w:rStyle w:val="style4122"/>
          <w:vertAlign w:val="superscript"/>
        </w:rPr>
        <w:footnoteRef/>
      </w:r>
      <w:r>
        <w:rPr>
          <w:sz w:val="18"/>
          <w:szCs w:val="18"/>
        </w:rPr>
        <w:t xml:space="preserve"> lotwlw.com. https://www.lotwlw.com/news/40067.html</w:t>
      </w:r>
      <w:bookmarkEnd w:id="329"/>
    </w:p>
    <w:bookmarkStart w:id="330" w:name="_Ref_Footnote_179"/>
  </w:footnote>
  <w:footnote w:id="179">
    <w:p w14:paraId="22A484D0">
      <w:pPr>
        <w:pStyle w:val="style4110"/>
        <w:spacing w:before="0" w:after="0" w:lineRule="exact" w:line="200"/>
        <w:rPr/>
      </w:pPr>
      <w:r>
        <w:rPr>
          <w:rStyle w:val="style4122"/>
          <w:vertAlign w:val="superscript"/>
        </w:rPr>
        <w:footnoteRef/>
      </w:r>
      <w:r>
        <w:rPr>
          <w:sz w:val="18"/>
          <w:szCs w:val="18"/>
        </w:rPr>
        <w:t xml:space="preserve"> FreeBuf网络安全行业门户. https://www.freebuf.com/articles/container/398239.html#:~:text=%E5%9C%A8%E5%AE%89%E5%85%A8%E6%A0%8F%E5%8F%AF%E4%BB%A5%E7%9C%8B%E5%88%B0%E5%AF%B9%E5%BA%94</w:t>
      </w:r>
      <w:bookmarkEnd w:id="330"/>
    </w:p>
    <w:bookmarkStart w:id="331" w:name="_Ref_Footnote_180"/>
  </w:footnote>
  <w:footnote w:id="180">
    <w:p w14:paraId="7AC38064">
      <w:pPr>
        <w:pStyle w:val="style4110"/>
        <w:spacing w:before="0" w:after="0" w:lineRule="exact" w:line="200"/>
        <w:rPr/>
      </w:pPr>
      <w:r>
        <w:rPr>
          <w:rStyle w:val="style4122"/>
          <w:vertAlign w:val="superscript"/>
        </w:rPr>
        <w:footnoteRef/>
      </w:r>
      <w:r>
        <w:rPr>
          <w:sz w:val="18"/>
          <w:szCs w:val="18"/>
        </w:rPr>
        <w:t xml:space="preserve"> Networkers Home. https://www.networkershome.com/fundamentals/kubernetes-networking/kubernetes-multi-cluster/</w:t>
      </w:r>
      <w:bookmarkEnd w:id="331"/>
    </w:p>
    <w:bookmarkStart w:id="332" w:name="_Ref_Footnote_181"/>
  </w:footnote>
  <w:footnote w:id="181">
    <w:p w14:paraId="0B209C21">
      <w:pPr>
        <w:pStyle w:val="style4110"/>
        <w:spacing w:before="0" w:after="0" w:lineRule="exact" w:line="200"/>
        <w:rPr/>
      </w:pPr>
      <w:r>
        <w:rPr>
          <w:rStyle w:val="style4122"/>
          <w:vertAlign w:val="superscript"/>
        </w:rPr>
        <w:footnoteRef/>
      </w:r>
      <w:r>
        <w:rPr>
          <w:sz w:val="18"/>
          <w:szCs w:val="18"/>
        </w:rPr>
        <w:t xml:space="preserve"> simplyblock. https://simplyblock.io/glossary/san-vs-nvme-over-fabrics/</w:t>
      </w:r>
      <w:bookmarkEnd w:id="332"/>
    </w:p>
    <w:bookmarkStart w:id="333" w:name="_Ref_Footnote_182"/>
  </w:footnote>
  <w:footnote w:id="182">
    <w:p w14:paraId="999A5F3E">
      <w:pPr>
        <w:pStyle w:val="style4110"/>
        <w:spacing w:before="0" w:after="0" w:lineRule="exact" w:line="200"/>
        <w:rPr/>
      </w:pPr>
      <w:r>
        <w:rPr>
          <w:rStyle w:val="style4122"/>
          <w:vertAlign w:val="superscript"/>
        </w:rPr>
        <w:footnoteRef/>
      </w:r>
      <w:r>
        <w:rPr>
          <w:sz w:val="18"/>
          <w:szCs w:val="18"/>
        </w:rPr>
        <w:t xml:space="preserve"> Github. https://github.com/microsoft/kata-containers/blob/msft-main/docs/hypervisors.md</w:t>
      </w:r>
      <w:bookmarkEnd w:id="333"/>
    </w:p>
    <w:bookmarkStart w:id="334" w:name="_Ref_Footnote_183"/>
  </w:footnote>
  <w:footnote w:id="183">
    <w:p w14:paraId="D3B6B318">
      <w:pPr>
        <w:pStyle w:val="style4110"/>
        <w:spacing w:before="0" w:after="0" w:lineRule="exact" w:line="200"/>
        <w:rPr/>
      </w:pPr>
      <w:r>
        <w:rPr>
          <w:rStyle w:val="style4122"/>
          <w:vertAlign w:val="superscript"/>
        </w:rPr>
        <w:footnoteRef/>
      </w:r>
      <w:r>
        <w:rPr>
          <w:sz w:val="18"/>
          <w:szCs w:val="18"/>
        </w:rPr>
        <w:t xml:space="preserve"> Kubermatic. https://www.kubermatic.com/learn/kubevirt/vm-storage-with-datavolumes/</w:t>
      </w:r>
      <w:bookmarkEnd w:id="334"/>
    </w:p>
    <w:bookmarkStart w:id="335" w:name="_Ref_Footnote_184"/>
  </w:footnote>
  <w:footnote w:id="184">
    <w:p w14:paraId="B2BDFE04">
      <w:pPr>
        <w:pStyle w:val="style4110"/>
        <w:spacing w:before="0" w:after="0" w:lineRule="exact" w:line="200"/>
        <w:rPr/>
      </w:pPr>
      <w:r>
        <w:rPr>
          <w:rStyle w:val="style4122"/>
          <w:vertAlign w:val="superscript"/>
        </w:rPr>
        <w:footnoteRef/>
      </w:r>
      <w:r>
        <w:rPr>
          <w:sz w:val="18"/>
          <w:szCs w:val="18"/>
        </w:rPr>
        <w:t xml:space="preserve"> TIB AV-Portal. https://av.tib.eu/media/52451</w:t>
      </w:r>
      <w:bookmarkEnd w:id="335"/>
    </w:p>
    <w:bookmarkStart w:id="336" w:name="_Ref_Footnote_185"/>
  </w:footnote>
  <w:footnote w:id="185">
    <w:p w14:paraId="6E1B84BD">
      <w:pPr>
        <w:pStyle w:val="style4110"/>
        <w:spacing w:before="0" w:after="0" w:lineRule="exact" w:line="200"/>
        <w:rPr/>
      </w:pPr>
      <w:r>
        <w:rPr>
          <w:rStyle w:val="style4122"/>
          <w:vertAlign w:val="superscript"/>
        </w:rPr>
        <w:footnoteRef/>
      </w:r>
      <w:r>
        <w:rPr>
          <w:sz w:val="18"/>
          <w:szCs w:val="18"/>
        </w:rPr>
        <w:t xml:space="preserve"> NVIDIA NGC. https://catalog.ngc.nvidia.com/orgs/nvidia/containers/kubevirt-gpu-device-plugin</w:t>
      </w:r>
      <w:bookmarkEnd w:id="336"/>
    </w:p>
    <w:bookmarkStart w:id="337" w:name="_Ref_Footnote_186"/>
  </w:footnote>
  <w:footnote w:id="186">
    <w:p w14:paraId="94934D77">
      <w:pPr>
        <w:pStyle w:val="style4110"/>
        <w:spacing w:before="0" w:after="0" w:lineRule="exact" w:line="200"/>
        <w:rPr/>
      </w:pPr>
      <w:r>
        <w:rPr>
          <w:rStyle w:val="style4122"/>
          <w:vertAlign w:val="superscript"/>
        </w:rPr>
        <w:footnoteRef/>
      </w:r>
      <w:r>
        <w:rPr>
          <w:sz w:val="18"/>
          <w:szCs w:val="18"/>
        </w:rPr>
        <w:t xml:space="preserve"> youngju.dev. https://www.youngju.dev/blog/virtualization/08_kubevirt_gpu.en</w:t>
      </w:r>
      <w:bookmarkEnd w:id="337"/>
    </w:p>
    <w:bookmarkStart w:id="338" w:name="_Ref_Footnote_187"/>
  </w:footnote>
  <w:footnote w:id="187">
    <w:p w14:paraId="FA7E8AB9">
      <w:pPr>
        <w:pStyle w:val="style4110"/>
        <w:spacing w:before="0" w:after="0" w:lineRule="exact" w:line="200"/>
        <w:rPr/>
      </w:pPr>
      <w:r>
        <w:rPr>
          <w:rStyle w:val="style4122"/>
          <w:vertAlign w:val="superscript"/>
        </w:rPr>
        <w:footnoteRef/>
      </w:r>
      <w:r>
        <w:rPr>
          <w:sz w:val="18"/>
          <w:szCs w:val="18"/>
        </w:rPr>
        <w:t xml:space="preserve"> KubeVirt.io. https://kubevirt.io/user-guide/release_notes/</w:t>
      </w:r>
      <w:bookmarkEnd w:id="338"/>
    </w:p>
    <w:bookmarkStart w:id="339" w:name="_Ref_Footnote_188"/>
  </w:footnote>
  <w:footnote w:id="188">
    <w:p w14:paraId="981BB2DB">
      <w:pPr>
        <w:pStyle w:val="style4110"/>
        <w:spacing w:before="0" w:after="0" w:lineRule="exact" w:line="200"/>
        <w:rPr/>
      </w:pPr>
      <w:r>
        <w:rPr>
          <w:rStyle w:val="style4122"/>
          <w:vertAlign w:val="superscript"/>
        </w:rPr>
        <w:footnoteRef/>
      </w:r>
      <w:r>
        <w:rPr>
          <w:sz w:val="18"/>
          <w:szCs w:val="18"/>
        </w:rPr>
        <w:t xml:space="preserve"> Github. https://github.com/ansible/terraform-provider-aap</w:t>
      </w:r>
      <w:bookmarkEnd w:id="339"/>
    </w:p>
    <w:bookmarkStart w:id="340" w:name="_Ref_Footnote_189"/>
  </w:footnote>
  <w:footnote w:id="189">
    <w:p w14:paraId="33B2E358">
      <w:pPr>
        <w:pStyle w:val="style4110"/>
        <w:spacing w:before="0" w:after="0" w:lineRule="exact" w:line="200"/>
        <w:rPr/>
      </w:pPr>
      <w:r>
        <w:rPr>
          <w:rStyle w:val="style4122"/>
          <w:vertAlign w:val="superscript"/>
        </w:rPr>
        <w:footnoteRef/>
      </w:r>
      <w:r>
        <w:rPr>
          <w:sz w:val="18"/>
          <w:szCs w:val="18"/>
        </w:rPr>
        <w:t xml:space="preserve"> Github. https://github.com/ravendb/ravendb/issues/22703</w:t>
      </w:r>
      <w:bookmarkEnd w:id="340"/>
    </w:p>
    <w:bookmarkStart w:id="341" w:name="_Ref_Footnote_190"/>
  </w:footnote>
  <w:footnote w:id="190">
    <w:p w14:paraId="0416614D">
      <w:pPr>
        <w:pStyle w:val="style4110"/>
        <w:spacing w:before="0" w:after="0" w:lineRule="exact" w:line="200"/>
        <w:rPr/>
      </w:pPr>
      <w:r>
        <w:rPr>
          <w:rStyle w:val="style4122"/>
          <w:vertAlign w:val="superscript"/>
        </w:rPr>
        <w:footnoteRef/>
      </w:r>
      <w:r>
        <w:rPr>
          <w:sz w:val="18"/>
          <w:szCs w:val="18"/>
        </w:rPr>
        <w:t xml:space="preserve"> Civo.com. https://www.civo.com/learn/categories/virtual-machine</w:t>
      </w:r>
      <w:bookmarkEnd w:id="341"/>
    </w:p>
    <w:bookmarkStart w:id="342" w:name="_Ref_Footnote_191"/>
  </w:footnote>
  <w:footnote w:id="191">
    <w:p w14:paraId="310A961E">
      <w:pPr>
        <w:pStyle w:val="style4110"/>
        <w:spacing w:before="0" w:after="0" w:lineRule="exact" w:line="200"/>
        <w:rPr/>
      </w:pPr>
      <w:r>
        <w:rPr>
          <w:rStyle w:val="style4122"/>
          <w:vertAlign w:val="superscript"/>
        </w:rPr>
        <w:footnoteRef/>
      </w:r>
      <w:r>
        <w:rPr>
          <w:sz w:val="18"/>
          <w:szCs w:val="18"/>
        </w:rPr>
        <w:t xml:space="preserve"> Viprasol Tech. https://viprasol.com/blog/api-versioning/</w:t>
      </w:r>
      <w:bookmarkEnd w:id="342"/>
    </w:p>
    <w:bookmarkStart w:id="343" w:name="_Ref_Footnote_192"/>
  </w:footnote>
  <w:footnote w:id="192">
    <w:p w14:paraId="E5B48D20">
      <w:pPr>
        <w:pStyle w:val="style4110"/>
        <w:spacing w:before="0" w:after="0" w:lineRule="exact" w:line="200"/>
        <w:rPr/>
      </w:pPr>
      <w:r>
        <w:rPr>
          <w:rStyle w:val="style4122"/>
          <w:vertAlign w:val="superscript"/>
        </w:rPr>
        <w:footnoteRef/>
      </w:r>
      <w:r>
        <w:rPr>
          <w:sz w:val="18"/>
          <w:szCs w:val="18"/>
        </w:rPr>
        <w:t xml:space="preserve"> Viprasol Tech. https://viprasol.com/blog/api-versioning-strategies/</w:t>
      </w:r>
      <w:bookmarkEnd w:id="343"/>
    </w:p>
    <w:bookmarkStart w:id="344" w:name="_Ref_Footnote_193"/>
  </w:footnote>
  <w:footnote w:id="193">
    <w:p w14:paraId="0B8A608A">
      <w:pPr>
        <w:pStyle w:val="style4110"/>
        <w:spacing w:before="0" w:after="0" w:lineRule="exact" w:line="200"/>
        <w:rPr/>
      </w:pPr>
      <w:r>
        <w:rPr>
          <w:rStyle w:val="style4122"/>
          <w:vertAlign w:val="superscript"/>
        </w:rPr>
        <w:footnoteRef/>
      </w:r>
      <w:r>
        <w:rPr>
          <w:sz w:val="18"/>
          <w:szCs w:val="18"/>
        </w:rPr>
        <w:t xml:space="preserve"> ubuntu.com. https://documentation.ubuntu.com/lxd/latest/reference/dqlite-internals/</w:t>
      </w:r>
      <w:bookmarkEnd w:id="344"/>
    </w:p>
    <w:bookmarkStart w:id="345" w:name="_Ref_Footnote_194"/>
  </w:footnote>
  <w:footnote w:id="194">
    <w:p w14:paraId="E224FA98">
      <w:pPr>
        <w:pStyle w:val="style4110"/>
        <w:spacing w:before="0" w:after="0" w:lineRule="exact" w:line="200"/>
        <w:rPr/>
      </w:pPr>
      <w:r>
        <w:rPr>
          <w:rStyle w:val="style4122"/>
          <w:vertAlign w:val="superscript"/>
        </w:rPr>
        <w:footnoteRef/>
      </w:r>
      <w:r>
        <w:rPr>
          <w:sz w:val="18"/>
          <w:szCs w:val="18"/>
        </w:rPr>
        <w:t xml:space="preserve"> CSDN博客. https://blog.csdn.net/gitblog_00592/article/details/143556983</w:t>
      </w:r>
      <w:bookmarkEnd w:id="345"/>
    </w:p>
    <w:bookmarkStart w:id="346" w:name="_Ref_Footnote_195"/>
  </w:footnote>
  <w:footnote w:id="195">
    <w:p w14:paraId="12C37F83">
      <w:pPr>
        <w:pStyle w:val="style4110"/>
        <w:spacing w:before="0" w:after="0" w:lineRule="exact" w:line="200"/>
        <w:rPr/>
      </w:pPr>
      <w:r>
        <w:rPr>
          <w:rStyle w:val="style4122"/>
          <w:vertAlign w:val="superscript"/>
        </w:rPr>
        <w:footnoteRef/>
      </w:r>
      <w:r>
        <w:rPr>
          <w:sz w:val="18"/>
          <w:szCs w:val="18"/>
        </w:rPr>
        <w:t xml:space="preserve"> Kubernetes. https://kubernetes.io/docs/concepts/architecture/nodes/</w:t>
      </w:r>
      <w:bookmarkEnd w:id="346"/>
    </w:p>
    <w:bookmarkStart w:id="347" w:name="_Ref_Footnote_196"/>
  </w:footnote>
  <w:footnote w:id="196">
    <w:p w14:paraId="3FAEB19C">
      <w:pPr>
        <w:pStyle w:val="style4110"/>
        <w:spacing w:before="0" w:after="0" w:lineRule="exact" w:line="200"/>
        <w:rPr/>
      </w:pPr>
      <w:r>
        <w:rPr>
          <w:rStyle w:val="style4122"/>
          <w:vertAlign w:val="superscript"/>
        </w:rPr>
        <w:footnoteRef/>
      </w:r>
      <w:r>
        <w:rPr>
          <w:sz w:val="18"/>
          <w:szCs w:val="18"/>
        </w:rPr>
        <w:t xml:space="preserve"> Kubernetes. https://kubernetes.io/docs/concepts/scheduling-eviction/node-pressure-eviction/</w:t>
      </w:r>
      <w:bookmarkEnd w:id="347"/>
    </w:p>
    <w:bookmarkStart w:id="348" w:name="_Ref_Footnote_197"/>
  </w:footnote>
  <w:footnote w:id="197">
    <w:p w14:paraId="AE11AA43">
      <w:pPr>
        <w:pStyle w:val="style4110"/>
        <w:spacing w:before="0" w:after="0" w:lineRule="exact" w:line="200"/>
        <w:rPr/>
      </w:pPr>
      <w:r>
        <w:rPr>
          <w:rStyle w:val="style4122"/>
          <w:vertAlign w:val="superscript"/>
        </w:rPr>
        <w:footnoteRef/>
      </w:r>
      <w:r>
        <w:rPr>
          <w:sz w:val="18"/>
          <w:szCs w:val="18"/>
        </w:rPr>
        <w:t xml:space="preserve"> Proxmox Support Forum. https://forum.proxmox.com/threads/install-nvidia-driver-on-proxmox-ve.152183/</w:t>
      </w:r>
      <w:bookmarkEnd w:id="348"/>
    </w:p>
    <w:bookmarkStart w:id="349" w:name="_Ref_Footnote_198"/>
  </w:footnote>
  <w:footnote w:id="198">
    <w:p w14:paraId="619A931C">
      <w:pPr>
        <w:pStyle w:val="style4110"/>
        <w:spacing w:before="0" w:after="0" w:lineRule="exact" w:line="200"/>
        <w:rPr/>
      </w:pPr>
      <w:r>
        <w:rPr>
          <w:rStyle w:val="style4122"/>
          <w:vertAlign w:val="superscript"/>
        </w:rPr>
        <w:footnoteRef/>
      </w:r>
      <w:r>
        <w:rPr>
          <w:sz w:val="18"/>
          <w:szCs w:val="18"/>
        </w:rPr>
        <w:t xml:space="preserve"> Github. https://github.com/harvester/harvester/issues/3392</w:t>
      </w:r>
      <w:bookmarkEnd w:id="349"/>
    </w:p>
    <w:bookmarkStart w:id="350" w:name="_Ref_Footnote_199"/>
  </w:footnote>
  <w:footnote w:id="199">
    <w:p w14:paraId="CEAB1159">
      <w:pPr>
        <w:pStyle w:val="style4110"/>
        <w:spacing w:before="0" w:after="0" w:lineRule="exact" w:line="200"/>
        <w:rPr/>
      </w:pPr>
      <w:r>
        <w:rPr>
          <w:rStyle w:val="style4122"/>
          <w:vertAlign w:val="superscript"/>
        </w:rPr>
        <w:footnoteRef/>
      </w:r>
      <w:r>
        <w:rPr>
          <w:sz w:val="18"/>
          <w:szCs w:val="18"/>
        </w:rPr>
        <w:t xml:space="preserve"> Github. https://github.com/WarlockSyno/TrueNAS-Proxmox-VE-Storage-Plugin/blob/main/wiki/Ideas.md</w:t>
      </w:r>
      <w:bookmarkEnd w:id="350"/>
    </w:p>
    <w:bookmarkStart w:id="351" w:name="_Ref_Footnote_200"/>
  </w:footnote>
  <w:footnote w:id="200">
    <w:p w14:paraId="8C627E72">
      <w:pPr>
        <w:pStyle w:val="style4110"/>
        <w:spacing w:before="0" w:after="0" w:lineRule="exact" w:line="200"/>
        <w:rPr/>
      </w:pPr>
      <w:r>
        <w:rPr>
          <w:rStyle w:val="style4122"/>
          <w:vertAlign w:val="superscript"/>
        </w:rPr>
        <w:footnoteRef/>
      </w:r>
      <w:r>
        <w:rPr>
          <w:sz w:val="18"/>
          <w:szCs w:val="18"/>
        </w:rPr>
        <w:t xml:space="preserve"> Layrs. https://layrs.me/course/hld/12-reliability-patterns/split-brain-and-fencing</w:t>
      </w:r>
      <w:bookmarkEnd w:id="351"/>
    </w:p>
    <w:bookmarkStart w:id="352" w:name="_Ref_Footnote_201"/>
  </w:footnote>
  <w:footnote w:id="201">
    <w:p w14:paraId="9A34D16C">
      <w:pPr>
        <w:pStyle w:val="style4110"/>
        <w:spacing w:before="0" w:after="0" w:lineRule="exact" w:line="200"/>
        <w:rPr/>
      </w:pPr>
      <w:r>
        <w:rPr>
          <w:rStyle w:val="style4122"/>
          <w:vertAlign w:val="superscript"/>
        </w:rPr>
        <w:footnoteRef/>
      </w:r>
      <w:r>
        <w:rPr>
          <w:sz w:val="18"/>
          <w:szCs w:val="18"/>
        </w:rPr>
        <w:t xml:space="preserve"> oneuptime.com. https://oneuptime.com/blog/post/2026-03-02-configure-fencing-stonith-pacemaker-ubuntu/view</w:t>
      </w:r>
      <w:bookmarkEnd w:id="352"/>
    </w:p>
    <w:bookmarkStart w:id="353" w:name="_Ref_Footnote_202"/>
  </w:footnote>
  <w:footnote w:id="202">
    <w:p w14:paraId="643B4439">
      <w:pPr>
        <w:pStyle w:val="style4110"/>
        <w:spacing w:before="0" w:after="0" w:lineRule="exact" w:line="200"/>
        <w:rPr/>
      </w:pPr>
      <w:r>
        <w:rPr>
          <w:rStyle w:val="style4122"/>
          <w:vertAlign w:val="superscript"/>
        </w:rPr>
        <w:footnoteRef/>
      </w:r>
      <w:r>
        <w:rPr>
          <w:sz w:val="18"/>
          <w:szCs w:val="18"/>
        </w:rPr>
        <w:t xml:space="preserve"> oneuptime.com. https://oneuptime.com/blog/post/2026-03-04-configure-stonith-fencing-pacemaker-rhel-9/view</w:t>
      </w:r>
      <w:bookmarkEnd w:id="353"/>
    </w:p>
    <w:bookmarkStart w:id="354" w:name="_Ref_Footnote_203"/>
  </w:footnote>
  <w:footnote w:id="203">
    <w:p w14:paraId="F7DC20C5">
      <w:pPr>
        <w:pStyle w:val="style4110"/>
        <w:spacing w:before="0" w:after="0" w:lineRule="exact" w:line="200"/>
        <w:rPr/>
      </w:pPr>
      <w:r>
        <w:rPr>
          <w:rStyle w:val="style4122"/>
          <w:vertAlign w:val="superscript"/>
        </w:rPr>
        <w:footnoteRef/>
      </w:r>
      <w:r>
        <w:rPr>
          <w:sz w:val="18"/>
          <w:szCs w:val="18"/>
        </w:rPr>
        <w:t xml:space="preserve"> Github. https://github.com/deevus/pixels</w:t>
      </w:r>
      <w:bookmarkEnd w:id="354"/>
    </w:p>
    <w:bookmarkStart w:id="355" w:name="_Ref_Footnote_204"/>
  </w:footnote>
  <w:footnote w:id="204">
    <w:p w14:paraId="E2AD3F83">
      <w:pPr>
        <w:pStyle w:val="style4110"/>
        <w:spacing w:before="0" w:after="0" w:lineRule="exact" w:line="200"/>
        <w:rPr/>
      </w:pPr>
      <w:r>
        <w:rPr>
          <w:rStyle w:val="style4122"/>
          <w:vertAlign w:val="superscript"/>
        </w:rPr>
        <w:footnoteRef/>
      </w:r>
      <w:r>
        <w:rPr>
          <w:sz w:val="18"/>
          <w:szCs w:val="18"/>
        </w:rPr>
        <w:t xml:space="preserve"> Enterno.io. https://enterno.io/en/articles/api-versioning-strategies</w:t>
      </w:r>
      <w:bookmarkEnd w:id="355"/>
    </w:p>
    <w:bookmarkStart w:id="356" w:name="_Ref_Footnote_205"/>
  </w:footnote>
  <w:footnote w:id="205">
    <w:p w14:paraId="08754B39">
      <w:pPr>
        <w:pStyle w:val="style4110"/>
        <w:spacing w:before="0" w:after="0" w:lineRule="exact" w:line="200"/>
        <w:rPr/>
      </w:pPr>
      <w:r>
        <w:rPr>
          <w:rStyle w:val="style4122"/>
          <w:vertAlign w:val="superscript"/>
        </w:rPr>
        <w:footnoteRef/>
      </w:r>
      <w:r>
        <w:rPr>
          <w:sz w:val="18"/>
          <w:szCs w:val="18"/>
        </w:rPr>
        <w:t xml:space="preserve"> Proxmox Support Forum. https://forum.proxmox.com/threads/pbs-4-2-no-subscription-repository-on-a-pve-9-1-server-with-enterprise-repository.183178/latest</w:t>
      </w:r>
      <w:bookmarkEnd w:id="356"/>
    </w:p>
    <w:bookmarkStart w:id="357" w:name="_Ref_Footnote_206"/>
  </w:footnote>
  <w:footnote w:id="206">
    <w:p w14:paraId="4C8940EC">
      <w:pPr>
        <w:pStyle w:val="style4110"/>
        <w:spacing w:before="0" w:after="0" w:lineRule="exact" w:line="200"/>
        <w:rPr/>
      </w:pPr>
      <w:r>
        <w:rPr>
          <w:rStyle w:val="style4122"/>
          <w:vertAlign w:val="superscript"/>
        </w:rPr>
        <w:footnoteRef/>
      </w:r>
      <w:r>
        <w:rPr>
          <w:sz w:val="18"/>
          <w:szCs w:val="18"/>
        </w:rPr>
        <w:t xml:space="preserve"> stakater.com. https://www.stakater.com/post/best-practices-for-resource-quotas-and-isolation-in-shared-clusters</w:t>
      </w:r>
      <w:bookmarkEnd w:id="357"/>
    </w:p>
    <w:bookmarkStart w:id="358" w:name="_Ref_Footnote_207"/>
  </w:footnote>
  <w:footnote w:id="207">
    <w:p w14:paraId="27C48DA7">
      <w:pPr>
        <w:pStyle w:val="style4110"/>
        <w:spacing w:before="0" w:after="0" w:lineRule="exact" w:line="200"/>
        <w:rPr/>
      </w:pPr>
      <w:r>
        <w:rPr>
          <w:rStyle w:val="style4122"/>
          <w:vertAlign w:val="superscript"/>
        </w:rPr>
        <w:footnoteRef/>
      </w:r>
      <w:r>
        <w:rPr>
          <w:sz w:val="18"/>
          <w:szCs w:val="18"/>
        </w:rPr>
        <w:t xml:space="preserve"> Northflank. https://northflank.com/blog/kubernetes-multi-tenancy</w:t>
      </w:r>
      <w:bookmarkEnd w:id="358"/>
    </w:p>
    <w:bookmarkStart w:id="359" w:name="_Ref_Footnote_208"/>
  </w:footnote>
  <w:footnote w:id="208">
    <w:p w14:paraId="A8D3B0D2">
      <w:pPr>
        <w:pStyle w:val="style4110"/>
        <w:spacing w:before="0" w:after="0" w:lineRule="exact" w:line="200"/>
        <w:rPr/>
      </w:pPr>
      <w:r>
        <w:rPr>
          <w:rStyle w:val="style4122"/>
          <w:vertAlign w:val="superscript"/>
        </w:rPr>
        <w:footnoteRef/>
      </w:r>
      <w:r>
        <w:rPr>
          <w:sz w:val="18"/>
          <w:szCs w:val="18"/>
        </w:rPr>
        <w:t xml:space="preserve"> Github. https://github.com/footprintai/Containarium</w:t>
      </w:r>
      <w:bookmarkEnd w:id="359"/>
    </w:p>
    <w:bookmarkStart w:id="360" w:name="_Ref_Footnote_209"/>
  </w:footnote>
  <w:footnote w:id="209">
    <w:p w14:paraId="C2B624B3">
      <w:pPr>
        <w:pStyle w:val="style4110"/>
        <w:spacing w:before="0" w:after="0" w:lineRule="exact" w:line="200"/>
        <w:rPr/>
      </w:pPr>
      <w:r>
        <w:rPr>
          <w:rStyle w:val="style4122"/>
          <w:vertAlign w:val="superscript"/>
        </w:rPr>
        <w:footnoteRef/>
      </w:r>
      <w:r>
        <w:rPr>
          <w:sz w:val="18"/>
          <w:szCs w:val="18"/>
        </w:rPr>
        <w:t xml:space="preserve"> DiskInternals. https://www.diskinternals.com/vmfs-recovery/proxmox-vs-kvm/</w:t>
      </w:r>
      <w:bookmarkEnd w:id="360"/>
    </w:p>
    <w:bookmarkStart w:id="361" w:name="_Ref_Footnote_210"/>
  </w:footnote>
  <w:footnote w:id="210">
    <w:p w14:paraId="938C7341">
      <w:pPr>
        <w:pStyle w:val="style4110"/>
        <w:spacing w:before="0" w:after="0" w:lineRule="exact" w:line="200"/>
        <w:rPr/>
      </w:pPr>
      <w:r>
        <w:rPr>
          <w:rStyle w:val="style4122"/>
          <w:vertAlign w:val="superscript"/>
        </w:rPr>
        <w:footnoteRef/>
      </w:r>
      <w:r>
        <w:rPr>
          <w:sz w:val="18"/>
          <w:szCs w:val="18"/>
        </w:rPr>
        <w:t xml:space="preserve"> A. Ligabue. https://www.alessioligabue.it/en/portfolio/proxmox-cluster-high-reliance-hetzner</w:t>
      </w:r>
      <w:bookmarkEnd w:id="361"/>
    </w:p>
    <w:bookmarkStart w:id="362" w:name="_Ref_Footnote_211"/>
  </w:footnote>
  <w:footnote w:id="211">
    <w:p w14:paraId="A2679AA5">
      <w:pPr>
        <w:pStyle w:val="style4110"/>
        <w:spacing w:before="0" w:after="0" w:lineRule="exact" w:line="200"/>
        <w:rPr/>
      </w:pPr>
      <w:r>
        <w:rPr>
          <w:rStyle w:val="style4122"/>
          <w:vertAlign w:val="superscript"/>
        </w:rPr>
        <w:footnoteRef/>
      </w:r>
      <w:r>
        <w:rPr>
          <w:sz w:val="18"/>
          <w:szCs w:val="18"/>
        </w:rPr>
        <w:t xml:space="preserve"> Overview. https://incus.mastername.net/architecture.html</w:t>
      </w:r>
      <w:bookmarkEnd w:id="362"/>
    </w:p>
    <w:bookmarkStart w:id="363" w:name="_Ref_Footnote_212"/>
  </w:footnote>
  <w:footnote w:id="212">
    <w:p w14:paraId="2858316F">
      <w:pPr>
        <w:pStyle w:val="style4110"/>
        <w:spacing w:before="0" w:after="0" w:lineRule="exact" w:line="200"/>
        <w:rPr/>
      </w:pPr>
      <w:r>
        <w:rPr>
          <w:rStyle w:val="style4122"/>
          <w:vertAlign w:val="superscript"/>
        </w:rPr>
        <w:footnoteRef/>
      </w:r>
      <w:r>
        <w:rPr>
          <w:sz w:val="18"/>
          <w:szCs w:val="18"/>
        </w:rPr>
        <w:t xml:space="preserve"> MojoAuth. https://mojoauth.com/ciam-qna/why-use-oidc-instead-of-plain-oauth2-for-authentication</w:t>
      </w:r>
      <w:bookmarkEnd w:id="363"/>
    </w:p>
    <w:bookmarkStart w:id="364" w:name="_Ref_Footnote_213"/>
  </w:footnote>
  <w:footnote w:id="213">
    <w:p w14:paraId="78FE22E4">
      <w:pPr>
        <w:pStyle w:val="style4110"/>
        <w:spacing w:before="0" w:after="0" w:lineRule="exact" w:line="200"/>
        <w:rPr/>
      </w:pPr>
      <w:r>
        <w:rPr>
          <w:rStyle w:val="style4122"/>
          <w:vertAlign w:val="superscript"/>
        </w:rPr>
        <w:footnoteRef/>
      </w:r>
      <w:r>
        <w:rPr>
          <w:sz w:val="18"/>
          <w:szCs w:val="18"/>
        </w:rPr>
        <w:t xml:space="preserve"> Github. https://github.com/joleuger/incus-client-rs/blob/main/README.md</w:t>
      </w:r>
      <w:bookmarkEnd w:id="364"/>
    </w:p>
    <w:bookmarkStart w:id="365" w:name="_Ref_Footnote_214"/>
  </w:footnote>
  <w:footnote w:id="214">
    <w:p w14:paraId="3CBDBCBE">
      <w:pPr>
        <w:pStyle w:val="style4110"/>
        <w:spacing w:before="0" w:after="0" w:lineRule="exact" w:line="200"/>
        <w:rPr/>
      </w:pPr>
      <w:r>
        <w:rPr>
          <w:rStyle w:val="style4122"/>
          <w:vertAlign w:val="superscript"/>
        </w:rPr>
        <w:footnoteRef/>
      </w:r>
      <w:r>
        <w:rPr>
          <w:sz w:val="18"/>
          <w:szCs w:val="18"/>
        </w:rPr>
        <w:t xml:space="preserve"> Proxmox Support Forum. https://forum.proxmox.com/threads/pve-8-%E2%86%92-9-upgrade-ipv6-ra-not-working-%E2%80%93-caused-by-openwrt-lan-bridge-stp.180565/</w:t>
      </w:r>
      <w:bookmarkEnd w:id="365"/>
    </w:p>
    <w:bookmarkStart w:id="366" w:name="_Ref_Footnote_215"/>
  </w:footnote>
  <w:footnote w:id="215">
    <w:p w14:paraId="5C2DE444">
      <w:pPr>
        <w:pStyle w:val="style4110"/>
        <w:spacing w:before="0" w:after="0" w:lineRule="exact" w:line="200"/>
        <w:rPr/>
      </w:pPr>
      <w:r>
        <w:rPr>
          <w:rStyle w:val="style4122"/>
          <w:vertAlign w:val="superscript"/>
        </w:rPr>
        <w:footnoteRef/>
      </w:r>
      <w:r>
        <w:rPr>
          <w:sz w:val="18"/>
          <w:szCs w:val="18"/>
        </w:rPr>
        <w:t xml:space="preserve"> Trend MicroTrend Micro. https://trendmicro.com/cloudoneconformity/knowledge-base/alibaba-cloud/AlibabaCloud-ACK/enable-rbac-authorization.html</w:t>
      </w:r>
      <w:bookmarkEnd w:id="366"/>
    </w:p>
    <w:bookmarkStart w:id="367" w:name="_Ref_Footnote_216"/>
  </w:footnote>
  <w:footnote w:id="216">
    <w:p w14:paraId="F58D34F7">
      <w:pPr>
        <w:pStyle w:val="style4110"/>
        <w:spacing w:before="0" w:after="0" w:lineRule="exact" w:line="200"/>
        <w:rPr/>
      </w:pPr>
      <w:r>
        <w:rPr>
          <w:rStyle w:val="style4122"/>
          <w:vertAlign w:val="superscript"/>
        </w:rPr>
        <w:footnoteRef/>
      </w:r>
      <w:r>
        <w:rPr>
          <w:sz w:val="18"/>
          <w:szCs w:val="18"/>
        </w:rPr>
        <w:t xml:space="preserve"> OpenShift Documentation. https://docs.openshift.com/container-platform/4.15/authentication/using-rbac.html</w:t>
      </w:r>
      <w:bookmarkEnd w:id="367"/>
    </w:p>
    <w:bookmarkStart w:id="368" w:name="_Ref_Footnote_217"/>
  </w:footnote>
  <w:footnote w:id="217">
    <w:p w14:paraId="344634D4">
      <w:pPr>
        <w:pStyle w:val="style4110"/>
        <w:spacing w:before="0" w:after="0" w:lineRule="exact" w:line="200"/>
        <w:rPr/>
      </w:pPr>
      <w:r>
        <w:rPr>
          <w:rStyle w:val="style4122"/>
          <w:vertAlign w:val="superscript"/>
        </w:rPr>
        <w:footnoteRef/>
      </w:r>
      <w:r>
        <w:rPr>
          <w:sz w:val="18"/>
          <w:szCs w:val="18"/>
        </w:rPr>
        <w:t xml:space="preserve"> binadox.com. https://www.binadox.com/blog/binadox-article-use-rate-limiting-and-quotas/</w:t>
      </w:r>
      <w:bookmarkEnd w:id="368"/>
    </w:p>
    <w:bookmarkStart w:id="369" w:name="_Ref_Footnote_218"/>
  </w:footnote>
  <w:footnote w:id="218">
    <w:p w14:paraId="C9987380">
      <w:pPr>
        <w:pStyle w:val="style4110"/>
        <w:spacing w:before="0" w:after="0" w:lineRule="exact" w:line="200"/>
        <w:rPr/>
      </w:pPr>
      <w:r>
        <w:rPr>
          <w:rStyle w:val="style4122"/>
          <w:vertAlign w:val="superscript"/>
        </w:rPr>
        <w:footnoteRef/>
      </w:r>
      <w:r>
        <w:rPr>
          <w:sz w:val="18"/>
          <w:szCs w:val="18"/>
        </w:rPr>
        <w:t xml:space="preserve"> Open Container Initiative. https://opencontainers.org/</w:t>
      </w:r>
      <w:bookmarkEnd w:id="369"/>
    </w:p>
    <w:bookmarkStart w:id="370" w:name="_Ref_Footnote_219"/>
  </w:footnote>
  <w:footnote w:id="219">
    <w:p w14:paraId="265297F5">
      <w:pPr>
        <w:pStyle w:val="style4110"/>
        <w:spacing w:before="0" w:after="0" w:lineRule="exact" w:line="200"/>
        <w:rPr/>
      </w:pPr>
      <w:r>
        <w:rPr>
          <w:rStyle w:val="style4122"/>
          <w:vertAlign w:val="superscript"/>
        </w:rPr>
        <w:footnoteRef/>
      </w:r>
      <w:r>
        <w:rPr>
          <w:sz w:val="18"/>
          <w:szCs w:val="18"/>
        </w:rPr>
        <w:t xml:space="preserve"> fh-zwickau.de. https://libdoc.fh-zwickau.de/opus4/files/17421/BachelorThesisMaximilianSchumann.pdf</w:t>
      </w:r>
      <w:bookmarkEnd w:id="370"/>
    </w:p>
    <w:bookmarkStart w:id="371" w:name="_Ref_Footnote_220"/>
  </w:footnote>
  <w:footnote w:id="220">
    <w:p w14:paraId="91D35551">
      <w:pPr>
        <w:pStyle w:val="style4110"/>
        <w:spacing w:before="0" w:after="0" w:lineRule="exact" w:line="200"/>
        <w:rPr/>
      </w:pPr>
      <w:r>
        <w:rPr>
          <w:rStyle w:val="style4122"/>
          <w:vertAlign w:val="superscript"/>
        </w:rPr>
        <w:footnoteRef/>
      </w:r>
      <w:r>
        <w:rPr>
          <w:sz w:val="18"/>
          <w:szCs w:val="18"/>
        </w:rPr>
        <w:t xml:space="preserve"> NEPHELE project. https://nephele-project.eu/sites/nephele/files/public/content-files/deliverables/nephele_d4.1.pdf</w:t>
      </w:r>
      <w:bookmarkEnd w:id="371"/>
    </w:p>
    <w:bookmarkStart w:id="372" w:name="_Ref_Footnote_221"/>
  </w:footnote>
  <w:footnote w:id="221">
    <w:p w14:paraId="CEF322DD">
      <w:pPr>
        <w:pStyle w:val="style4110"/>
        <w:spacing w:before="0" w:after="0" w:lineRule="exact" w:line="200"/>
        <w:rPr/>
      </w:pPr>
      <w:r>
        <w:rPr>
          <w:rStyle w:val="style4122"/>
          <w:vertAlign w:val="superscript"/>
        </w:rPr>
        <w:footnoteRef/>
      </w:r>
      <w:r>
        <w:rPr>
          <w:sz w:val="18"/>
          <w:szCs w:val="18"/>
        </w:rPr>
        <w:t xml:space="preserve"> https://bsdnl.nl/slides/bsdnl202402-Mohammad_Noureldin-FreeBSD_OCI_Containers_SoTU.pdf</w:t>
      </w:r>
      <w:bookmarkEnd w:id="372"/>
    </w:p>
    <w:bookmarkStart w:id="373" w:name="_Ref_Footnote_222"/>
  </w:footnote>
  <w:footnote w:id="222">
    <w:p w14:paraId="D96445D8">
      <w:pPr>
        <w:pStyle w:val="style4110"/>
        <w:spacing w:before="0" w:after="0" w:lineRule="exact" w:line="200"/>
        <w:rPr/>
      </w:pPr>
      <w:r>
        <w:rPr>
          <w:rStyle w:val="style4122"/>
          <w:vertAlign w:val="superscript"/>
        </w:rPr>
        <w:footnoteRef/>
      </w:r>
      <w:r>
        <w:rPr>
          <w:sz w:val="18"/>
          <w:szCs w:val="18"/>
        </w:rPr>
        <w:t xml:space="preserve"> CSDN博客. https://blog.csdn.net/gitblog_00417/article/details/152878078</w:t>
      </w:r>
      <w:bookmarkEnd w:id="373"/>
    </w:p>
    <w:bookmarkStart w:id="374" w:name="_Ref_Footnote_223"/>
  </w:footnote>
  <w:footnote w:id="223">
    <w:p w14:paraId="BAC71A4E">
      <w:pPr>
        <w:pStyle w:val="style4110"/>
        <w:spacing w:before="0" w:after="0" w:lineRule="exact" w:line="200"/>
        <w:rPr/>
      </w:pPr>
      <w:r>
        <w:rPr>
          <w:rStyle w:val="style4122"/>
          <w:vertAlign w:val="superscript"/>
        </w:rPr>
        <w:footnoteRef/>
      </w:r>
      <w:r>
        <w:rPr>
          <w:sz w:val="18"/>
          <w:szCs w:val="18"/>
        </w:rPr>
        <w:t xml:space="preserve"> CSDN博客. https://blog.csdn.net/a1369760658/article/details/147952089</w:t>
      </w:r>
      <w:bookmarkEnd w:id="374"/>
    </w:p>
    <w:bookmarkStart w:id="375" w:name="_Ref_Footnote_224"/>
  </w:footnote>
  <w:footnote w:id="224">
    <w:p w14:paraId="D56D9BE1">
      <w:pPr>
        <w:pStyle w:val="style4110"/>
        <w:spacing w:before="0" w:after="0" w:lineRule="exact" w:line="200"/>
        <w:rPr/>
      </w:pPr>
      <w:r>
        <w:rPr>
          <w:rStyle w:val="style4122"/>
          <w:vertAlign w:val="superscript"/>
        </w:rPr>
        <w:footnoteRef/>
      </w:r>
      <w:r>
        <w:rPr>
          <w:sz w:val="18"/>
          <w:szCs w:val="18"/>
        </w:rPr>
        <w:t xml:space="preserve"> 博客园. https://www.cnblogs.com/liujiacai/p/18417979</w:t>
      </w:r>
      <w:bookmarkEnd w:id="375"/>
    </w:p>
    <w:bookmarkStart w:id="376" w:name="_Ref_Footnote_225"/>
  </w:footnote>
  <w:footnote w:id="225">
    <w:p w14:paraId="894C4E6A">
      <w:pPr>
        <w:pStyle w:val="style4110"/>
        <w:spacing w:before="0" w:after="0" w:lineRule="exact" w:line="200"/>
        <w:rPr/>
      </w:pPr>
      <w:r>
        <w:rPr>
          <w:rStyle w:val="style4122"/>
          <w:vertAlign w:val="superscript"/>
        </w:rPr>
        <w:footnoteRef/>
      </w:r>
      <w:r>
        <w:rPr>
          <w:sz w:val="18"/>
          <w:szCs w:val="18"/>
        </w:rPr>
        <w:t xml:space="preserve"> 博客园. https://www.cnblogs.com/nwnusun/p/18137490</w:t>
      </w:r>
      <w:bookmarkEnd w:id="376"/>
    </w:p>
    <w:bookmarkStart w:id="377" w:name="_Ref_Footnote_226"/>
  </w:footnote>
  <w:footnote w:id="226">
    <w:p w14:paraId="C5248A55">
      <w:pPr>
        <w:pStyle w:val="style4110"/>
        <w:spacing w:before="0" w:after="0" w:lineRule="exact" w:line="200"/>
        <w:rPr/>
      </w:pPr>
      <w:r>
        <w:rPr>
          <w:rStyle w:val="style4122"/>
          <w:vertAlign w:val="superscript"/>
        </w:rPr>
        <w:footnoteRef/>
      </w:r>
      <w:r>
        <w:rPr>
          <w:sz w:val="18"/>
          <w:szCs w:val="18"/>
        </w:rPr>
        <w:t xml:space="preserve"> 博客园. https://www.cnblogs.com/sanduzxcvbnm/p/16287761.html</w:t>
      </w:r>
      <w:bookmarkEnd w:id="377"/>
    </w:p>
    <w:bookmarkStart w:id="378" w:name="_Ref_Footnote_227"/>
  </w:footnote>
  <w:footnote w:id="227">
    <w:p w14:paraId="57509DB3">
      <w:pPr>
        <w:pStyle w:val="style4110"/>
        <w:spacing w:before="0" w:after="0" w:lineRule="exact" w:line="200"/>
        <w:rPr/>
      </w:pPr>
      <w:r>
        <w:rPr>
          <w:rStyle w:val="style4122"/>
          <w:vertAlign w:val="superscript"/>
        </w:rPr>
        <w:footnoteRef/>
      </w:r>
      <w:r>
        <w:rPr>
          <w:sz w:val="18"/>
          <w:szCs w:val="18"/>
        </w:rPr>
        <w:t xml:space="preserve"> 博客园. https://www.cnblogs.com/cforcnb/articles/15618288.html</w:t>
      </w:r>
      <w:bookmarkEnd w:id="378"/>
    </w:p>
    <w:bookmarkStart w:id="379" w:name="_Ref_Footnote_228"/>
  </w:footnote>
  <w:footnote w:id="228">
    <w:p w14:paraId="48D6C973">
      <w:pPr>
        <w:pStyle w:val="style4110"/>
        <w:spacing w:before="0" w:after="0" w:lineRule="exact" w:line="200"/>
        <w:rPr/>
      </w:pPr>
      <w:r>
        <w:rPr>
          <w:rStyle w:val="style4122"/>
          <w:vertAlign w:val="superscript"/>
        </w:rPr>
        <w:footnoteRef/>
      </w:r>
      <w:r>
        <w:rPr>
          <w:sz w:val="18"/>
          <w:szCs w:val="18"/>
        </w:rPr>
        <w:t xml:space="preserve"> cni.dev. https://www.cni.dev/docs/spec/</w:t>
      </w:r>
      <w:bookmarkEnd w:id="379"/>
    </w:p>
    <w:bookmarkStart w:id="380" w:name="_Ref_Footnote_229"/>
  </w:footnote>
  <w:footnote w:id="229">
    <w:p w14:paraId="8048D078">
      <w:pPr>
        <w:pStyle w:val="style4110"/>
        <w:spacing w:before="0" w:after="0" w:lineRule="exact" w:line="200"/>
        <w:rPr/>
      </w:pPr>
      <w:r>
        <w:rPr>
          <w:rStyle w:val="style4122"/>
          <w:vertAlign w:val="superscript"/>
        </w:rPr>
        <w:footnoteRef/>
      </w:r>
      <w:r>
        <w:rPr>
          <w:sz w:val="18"/>
          <w:szCs w:val="18"/>
        </w:rPr>
        <w:t xml:space="preserve"> CSDN博客. https://blog.csdn.net/gitblog_00022/article/details/139430471</w:t>
      </w:r>
      <w:bookmarkEnd w:id="380"/>
    </w:p>
    <w:bookmarkStart w:id="381" w:name="_Ref_Footnote_230"/>
  </w:footnote>
  <w:footnote w:id="230">
    <w:p w14:paraId="C07B903E">
      <w:pPr>
        <w:pStyle w:val="style4110"/>
        <w:spacing w:before="0" w:after="0" w:lineRule="exact" w:line="200"/>
        <w:rPr/>
      </w:pPr>
      <w:r>
        <w:rPr>
          <w:rStyle w:val="style4122"/>
          <w:vertAlign w:val="superscript"/>
        </w:rPr>
        <w:footnoteRef/>
      </w:r>
      <w:r>
        <w:rPr>
          <w:sz w:val="18"/>
          <w:szCs w:val="18"/>
        </w:rPr>
        <w:t xml:space="preserve"> CubeFS. https://cubefs.io/blog/technicalInsights/The_history_of_k8s_csi.html</w:t>
      </w:r>
      <w:bookmarkEnd w:id="381"/>
    </w:p>
    <w:bookmarkStart w:id="382" w:name="_Ref_Footnote_231"/>
  </w:footnote>
  <w:footnote w:id="231">
    <w:p w14:paraId="5DB46CDD">
      <w:pPr>
        <w:pStyle w:val="style4110"/>
        <w:spacing w:before="0" w:after="0" w:lineRule="exact" w:line="200"/>
        <w:rPr/>
      </w:pPr>
      <w:r>
        <w:rPr>
          <w:rStyle w:val="style4122"/>
          <w:vertAlign w:val="superscript"/>
        </w:rPr>
        <w:footnoteRef/>
      </w:r>
      <w:r>
        <w:rPr>
          <w:sz w:val="18"/>
          <w:szCs w:val="18"/>
        </w:rPr>
        <w:t xml:space="preserve"> Virtuozzo. https://www.virtuozzo.com/company/blog/kubernetes-cluster-federation/</w:t>
      </w:r>
      <w:bookmarkEnd w:id="382"/>
    </w:p>
    <w:bookmarkStart w:id="383" w:name="_Ref_Footnote_232"/>
  </w:footnote>
  <w:footnote w:id="232">
    <w:p w14:paraId="D0766419">
      <w:pPr>
        <w:pStyle w:val="style4110"/>
        <w:spacing w:before="0" w:after="0" w:lineRule="exact" w:line="200"/>
        <w:rPr/>
      </w:pPr>
      <w:r>
        <w:rPr>
          <w:rStyle w:val="style4122"/>
          <w:vertAlign w:val="superscript"/>
        </w:rPr>
        <w:footnoteRef/>
      </w:r>
      <w:r>
        <w:rPr>
          <w:sz w:val="18"/>
          <w:szCs w:val="18"/>
        </w:rPr>
        <w:t xml:space="preserve"> Alibaba Cloud. https://www.alibabacloud.com/blog/a-multi-cloud-and-multi-cluster-architecture-with-kubernetes_595541</w:t>
      </w:r>
      <w:bookmarkEnd w:id="383"/>
    </w:p>
    <w:bookmarkStart w:id="384" w:name="_Ref_Footnote_233"/>
  </w:footnote>
  <w:footnote w:id="233">
    <w:p w14:paraId="6835E45A">
      <w:pPr>
        <w:pStyle w:val="style4110"/>
        <w:spacing w:before="0" w:after="0" w:lineRule="exact" w:line="200"/>
        <w:rPr/>
      </w:pPr>
      <w:r>
        <w:rPr>
          <w:rStyle w:val="style4122"/>
          <w:vertAlign w:val="superscript"/>
        </w:rPr>
        <w:footnoteRef/>
      </w:r>
      <w:r>
        <w:rPr>
          <w:sz w:val="18"/>
          <w:szCs w:val="18"/>
        </w:rPr>
        <w:t xml:space="preserve"> e2b.dev. https://e2b.dev/docs</w:t>
      </w:r>
      <w:bookmarkEnd w:id="384"/>
    </w:p>
    <w:bookmarkStart w:id="385" w:name="_Ref_Footnote_234"/>
  </w:footnote>
  <w:footnote w:id="234">
    <w:p w14:paraId="E4C0A8BC">
      <w:pPr>
        <w:pStyle w:val="style4110"/>
        <w:spacing w:before="0" w:after="0" w:lineRule="exact" w:line="200"/>
        <w:rPr/>
      </w:pPr>
      <w:r>
        <w:rPr>
          <w:rStyle w:val="style4122"/>
          <w:vertAlign w:val="superscript"/>
        </w:rPr>
        <w:footnoteRef/>
      </w:r>
      <w:r>
        <w:rPr>
          <w:sz w:val="18"/>
          <w:szCs w:val="18"/>
        </w:rPr>
        <w:t xml:space="preserve"> d.foundation. https://memo.d.foundation/breakdown/e2b</w:t>
      </w:r>
      <w:bookmarkEnd w:id="385"/>
    </w:p>
    <w:bookmarkStart w:id="386" w:name="_Ref_Footnote_235"/>
  </w:footnote>
  <w:footnote w:id="235">
    <w:p w14:paraId="119357F5">
      <w:pPr>
        <w:pStyle w:val="style4110"/>
        <w:spacing w:before="0" w:after="0" w:lineRule="exact" w:line="200"/>
        <w:rPr/>
      </w:pPr>
      <w:r>
        <w:rPr>
          <w:rStyle w:val="style4122"/>
          <w:vertAlign w:val="superscript"/>
        </w:rPr>
        <w:footnoteRef/>
      </w:r>
      <w:r>
        <w:rPr>
          <w:sz w:val="18"/>
          <w:szCs w:val="18"/>
        </w:rPr>
        <w:t xml:space="preserve"> 博客园. https://www.cnblogs.com/xguo/p/19607294</w:t>
      </w:r>
      <w:bookmarkEnd w:id="386"/>
    </w:p>
    <w:bookmarkStart w:id="387" w:name="_Ref_Footnote_236"/>
  </w:footnote>
  <w:footnote w:id="236">
    <w:p w14:paraId="E7492298">
      <w:pPr>
        <w:pStyle w:val="style4110"/>
        <w:spacing w:before="0" w:after="0" w:lineRule="exact" w:line="200"/>
        <w:rPr/>
      </w:pPr>
      <w:r>
        <w:rPr>
          <w:rStyle w:val="style4122"/>
          <w:vertAlign w:val="superscript"/>
        </w:rPr>
        <w:footnoteRef/>
      </w:r>
      <w:r>
        <w:rPr>
          <w:sz w:val="18"/>
          <w:szCs w:val="18"/>
        </w:rPr>
        <w:t xml:space="preserve"> Caylent. https://caylent.com/blog/kubernetes-cluster-federation-with-admiralty</w:t>
      </w:r>
      <w:bookmarkEnd w:id="387"/>
    </w:p>
    <w:bookmarkStart w:id="388" w:name="_Ref_Footnote_237"/>
  </w:footnote>
  <w:footnote w:id="237">
    <w:p w14:paraId="DF05B1C8">
      <w:pPr>
        <w:pStyle w:val="style4110"/>
        <w:spacing w:before="0" w:after="0" w:lineRule="exact" w:line="200"/>
        <w:rPr/>
      </w:pPr>
      <w:r>
        <w:rPr>
          <w:rStyle w:val="style4122"/>
          <w:vertAlign w:val="superscript"/>
        </w:rPr>
        <w:footnoteRef/>
      </w:r>
      <w:r>
        <w:rPr>
          <w:sz w:val="18"/>
          <w:szCs w:val="18"/>
        </w:rPr>
        <w:t xml:space="preserve"> Kubernetes. https://kubernetes.io/blog/2018/11/07/grpc-load-balancing-on-kubernetes-without-tears/</w:t>
      </w:r>
      <w:bookmarkEnd w:id="388"/>
    </w:p>
    <w:bookmarkStart w:id="389" w:name="_Ref_Footnote_238"/>
  </w:footnote>
  <w:footnote w:id="238">
    <w:p w14:paraId="082DACD7">
      <w:pPr>
        <w:pStyle w:val="style4110"/>
        <w:spacing w:before="0" w:after="0" w:lineRule="exact" w:line="200"/>
        <w:rPr/>
      </w:pPr>
      <w:r>
        <w:rPr>
          <w:rStyle w:val="style4122"/>
          <w:vertAlign w:val="superscript"/>
        </w:rPr>
        <w:footnoteRef/>
      </w:r>
      <w:r>
        <w:rPr>
          <w:sz w:val="18"/>
          <w:szCs w:val="18"/>
        </w:rPr>
        <w:t xml:space="preserve"> Codeberg.org. https://codeberg.org/ansible/incus</w:t>
      </w:r>
      <w:bookmarkEnd w:id="389"/>
    </w:p>
    <w:bookmarkStart w:id="390" w:name="_Ref_Footnote_239"/>
  </w:footnote>
  <w:footnote w:id="239">
    <w:p w14:paraId="BB5A3AF6">
      <w:pPr>
        <w:pStyle w:val="style4110"/>
        <w:spacing w:before="0" w:after="0" w:lineRule="exact" w:line="200"/>
        <w:rPr/>
      </w:pPr>
      <w:r>
        <w:rPr>
          <w:rStyle w:val="style4122"/>
          <w:vertAlign w:val="superscript"/>
        </w:rPr>
        <w:footnoteRef/>
      </w:r>
      <w:r>
        <w:rPr>
          <w:sz w:val="18"/>
          <w:szCs w:val="18"/>
        </w:rPr>
        <w:t xml:space="preserve"> Ansible Documentation. https://docs.ansible.com/projects/ansible/latest/collections/community/general/incus_connection.html</w:t>
      </w:r>
      <w:bookmarkEnd w:id="390"/>
    </w:p>
    <w:bookmarkStart w:id="391" w:name="_Ref_Footnote_240"/>
  </w:footnote>
  <w:footnote w:id="240">
    <w:p w14:paraId="B38FC3A4">
      <w:pPr>
        <w:pStyle w:val="style4110"/>
        <w:spacing w:before="0" w:after="0" w:lineRule="exact" w:line="200"/>
        <w:rPr/>
      </w:pPr>
      <w:r>
        <w:rPr>
          <w:rStyle w:val="style4122"/>
          <w:vertAlign w:val="superscript"/>
        </w:rPr>
        <w:footnoteRef/>
      </w:r>
      <w:r>
        <w:rPr>
          <w:sz w:val="18"/>
          <w:szCs w:val="18"/>
        </w:rPr>
        <w:t xml:space="preserve"> Github. https://github.com/kmpm/ansible-collection-incus</w:t>
      </w:r>
      <w:bookmarkEnd w:id="391"/>
    </w:p>
    <w:bookmarkStart w:id="392" w:name="_Ref_Footnote_241"/>
  </w:footnote>
  <w:footnote w:id="241">
    <w:p w14:paraId="3F78B2C4">
      <w:pPr>
        <w:pStyle w:val="style4110"/>
        <w:spacing w:before="0" w:after="0" w:lineRule="exact" w:line="200"/>
        <w:rPr/>
      </w:pPr>
      <w:r>
        <w:rPr>
          <w:rStyle w:val="style4122"/>
          <w:vertAlign w:val="superscript"/>
        </w:rPr>
        <w:footnoteRef/>
      </w:r>
      <w:r>
        <w:rPr>
          <w:sz w:val="18"/>
          <w:szCs w:val="18"/>
        </w:rPr>
        <w:t xml:space="preserve"> Ansible Documentation. https://docs.ansible.com/projects/ansible/latest/collections/community/general/lxc_container_module.html</w:t>
      </w:r>
      <w:bookmarkEnd w:id="392"/>
    </w:p>
    <w:bookmarkStart w:id="393" w:name="_Ref_Footnote_242"/>
  </w:footnote>
  <w:footnote w:id="242">
    <w:p w14:paraId="A4324BDC">
      <w:pPr>
        <w:pStyle w:val="style4110"/>
        <w:spacing w:before="0" w:after="0" w:lineRule="exact" w:line="200"/>
        <w:rPr/>
      </w:pPr>
      <w:r>
        <w:rPr>
          <w:rStyle w:val="style4122"/>
          <w:vertAlign w:val="superscript"/>
        </w:rPr>
        <w:footnoteRef/>
      </w:r>
      <w:r>
        <w:rPr>
          <w:sz w:val="18"/>
          <w:szCs w:val="18"/>
        </w:rPr>
        <w:t xml:space="preserve"> digitalsyncnow.com. https://digitalsyncnow.com/Blog/kvm-proxmox/</w:t>
      </w:r>
      <w:bookmarkEnd w:id="393"/>
    </w:p>
    <w:bookmarkStart w:id="394" w:name="_Ref_Footnote_243"/>
  </w:footnote>
  <w:footnote w:id="243">
    <w:p w14:paraId="9802F481">
      <w:pPr>
        <w:pStyle w:val="style4110"/>
        <w:spacing w:before="0" w:after="0" w:lineRule="exact" w:line="200"/>
        <w:rPr/>
      </w:pPr>
      <w:r>
        <w:rPr>
          <w:rStyle w:val="style4122"/>
          <w:vertAlign w:val="superscript"/>
        </w:rPr>
        <w:footnoteRef/>
      </w:r>
      <w:r>
        <w:rPr>
          <w:sz w:val="18"/>
          <w:szCs w:val="18"/>
        </w:rPr>
        <w:t xml:space="preserve"> readyspace.com.ph. https://readyspace.com.ph/kvm-vs-proxmox/</w:t>
      </w:r>
      <w:bookmarkEnd w:id="394"/>
    </w:p>
    <w:bookmarkStart w:id="395" w:name="_Ref_Footnote_244"/>
  </w:footnote>
  <w:footnote w:id="244">
    <w:p w14:paraId="63A9C651">
      <w:pPr>
        <w:pStyle w:val="style4110"/>
        <w:spacing w:before="0" w:after="0" w:lineRule="exact" w:line="200"/>
        <w:rPr/>
      </w:pPr>
      <w:r>
        <w:rPr>
          <w:rStyle w:val="style4122"/>
          <w:vertAlign w:val="superscript"/>
        </w:rPr>
        <w:footnoteRef/>
      </w:r>
      <w:r>
        <w:rPr>
          <w:sz w:val="18"/>
          <w:szCs w:val="18"/>
        </w:rPr>
        <w:t xml:space="preserve"> saturnme.com. https://www.saturnme.com/understanding-how-proxmox-ve-and-ceph-work-together-in-a-3-node-cluster-with-3-replicas/</w:t>
      </w:r>
      <w:bookmarkEnd w:id="395"/>
    </w:p>
    <w:bookmarkStart w:id="396" w:name="_Ref_Footnote_245"/>
  </w:footnote>
  <w:footnote w:id="245">
    <w:p w14:paraId="C89E2AE8">
      <w:pPr>
        <w:pStyle w:val="style4110"/>
        <w:spacing w:before="0" w:after="0" w:lineRule="exact" w:line="200"/>
        <w:rPr/>
      </w:pPr>
      <w:r>
        <w:rPr>
          <w:rStyle w:val="style4122"/>
          <w:vertAlign w:val="superscript"/>
        </w:rPr>
        <w:footnoteRef/>
      </w:r>
      <w:r>
        <w:rPr>
          <w:sz w:val="18"/>
          <w:szCs w:val="18"/>
        </w:rPr>
        <w:t xml:space="preserve"> SentinelOne. https://www.sentinelone.com/vulnerability-database/cve-2024-49117/</w:t>
      </w:r>
      <w:bookmarkEnd w:id="396"/>
    </w:p>
    <w:bookmarkStart w:id="397" w:name="_Ref_Footnote_246"/>
  </w:footnote>
  <w:footnote w:id="246">
    <w:p w14:paraId="80526AA2">
      <w:pPr>
        <w:pStyle w:val="style4110"/>
        <w:spacing w:before="0" w:after="0" w:lineRule="exact" w:line="200"/>
        <w:rPr/>
      </w:pPr>
      <w:r>
        <w:rPr>
          <w:rStyle w:val="style4122"/>
          <w:vertAlign w:val="superscript"/>
        </w:rPr>
        <w:footnoteRef/>
      </w:r>
      <w:r>
        <w:rPr>
          <w:sz w:val="18"/>
          <w:szCs w:val="18"/>
        </w:rPr>
        <w:t xml:space="preserve"> oneuptime.com. https://oneuptime.com/blog/post/2026-03-02-how-to-manage-kvm-vms-with-proxmox-on-ubuntu/view</w:t>
      </w:r>
      <w:bookmarkEnd w:id="397"/>
    </w:p>
    <w:bookmarkStart w:id="398" w:name="_Ref_Footnote_247"/>
  </w:footnote>
  <w:footnote w:id="247">
    <w:p w14:paraId="E473E7F9">
      <w:pPr>
        <w:pStyle w:val="style4110"/>
        <w:spacing w:before="0" w:after="0" w:lineRule="exact" w:line="200"/>
        <w:rPr/>
      </w:pPr>
      <w:r>
        <w:rPr>
          <w:rStyle w:val="style4122"/>
          <w:vertAlign w:val="superscript"/>
        </w:rPr>
        <w:footnoteRef/>
      </w:r>
      <w:r>
        <w:rPr>
          <w:sz w:val="18"/>
          <w:szCs w:val="18"/>
        </w:rPr>
        <w:t xml:space="preserve"> Source WHMCS Alternatives for Proxmox VPS Hosting Automation. https://hostpve.com/blog/solusvm-vs-virtualizor-proxmox-vps-hosting-automation-deep-dive</w:t>
      </w:r>
      <w:bookmarkEnd w:id="398"/>
    </w:p>
    <w:bookmarkStart w:id="399" w:name="_Ref_Footnote_248"/>
  </w:footnote>
  <w:footnote w:id="248">
    <w:p w14:paraId="9F70EC5E">
      <w:pPr>
        <w:pStyle w:val="style4110"/>
        <w:spacing w:before="0" w:after="0" w:lineRule="exact" w:line="200"/>
        <w:rPr/>
      </w:pPr>
      <w:r>
        <w:rPr>
          <w:rStyle w:val="style4122"/>
          <w:vertAlign w:val="superscript"/>
        </w:rPr>
        <w:footnoteRef/>
      </w:r>
      <w:r>
        <w:rPr>
          <w:sz w:val="18"/>
          <w:szCs w:val="18"/>
        </w:rPr>
        <w:t xml:space="preserve"> Bing. https://www.bing.com/ck/a?!=&amp;fclid=1cc3723f-1c37-6c49-294d-67cb1dbe6da6&amp;hsh=4&amp;ntb=1&amp;p=fe3c6720cb4063ce7db683555b08791437c54d2306cb5ba99f96cb35e9b39094JmltdHM9MTc0Nzc4NTYwMA&amp;psq=Proxmox API&amp;ptn=3&amp;u=a1aHR0cHM6Ly9naXRodWIuY29tL3Byb3htb3hlci9wcm94bW94ZXI&amp;ver=2</w:t>
      </w:r>
      <w:bookmarkEnd w:id="399"/>
    </w:p>
    <w:bookmarkStart w:id="400" w:name="_Ref_Footnote_249"/>
  </w:footnote>
  <w:footnote w:id="249">
    <w:p w14:paraId="FBF968E9">
      <w:pPr>
        <w:pStyle w:val="style4110"/>
        <w:spacing w:before="0" w:after="0" w:lineRule="exact" w:line="200"/>
        <w:rPr/>
      </w:pPr>
      <w:r>
        <w:rPr>
          <w:rStyle w:val="style4122"/>
          <w:vertAlign w:val="superscript"/>
        </w:rPr>
        <w:footnoteRef/>
      </w:r>
      <w:r>
        <w:rPr>
          <w:sz w:val="18"/>
          <w:szCs w:val="18"/>
        </w:rPr>
        <w:t xml:space="preserve"> proxmox.com. https://pve.proxmox.com/wiki/PCI(e)_Passthrough</w:t>
      </w:r>
      <w:bookmarkEnd w:id="400"/>
    </w:p>
    <w:bookmarkStart w:id="401" w:name="_Ref_Footnote_250"/>
  </w:footnote>
  <w:footnote w:id="250">
    <w:p w14:paraId="26FE8990">
      <w:pPr>
        <w:pStyle w:val="style4110"/>
        <w:spacing w:before="0" w:after="0" w:lineRule="exact" w:line="200"/>
        <w:rPr/>
      </w:pPr>
      <w:r>
        <w:rPr>
          <w:rStyle w:val="style4122"/>
          <w:vertAlign w:val="superscript"/>
        </w:rPr>
        <w:footnoteRef/>
      </w:r>
      <w:r>
        <w:rPr>
          <w:sz w:val="18"/>
          <w:szCs w:val="18"/>
        </w:rPr>
        <w:t xml:space="preserve"> Octopus Deploy. https://octopus.com/devops/kubernetes-deployments/kubernetes-rolling-deployment/</w:t>
      </w:r>
      <w:bookmarkEnd w:id="401"/>
    </w:p>
    <w:bookmarkStart w:id="402" w:name="_Ref_Footnote_251"/>
  </w:footnote>
  <w:footnote w:id="251">
    <w:p w14:paraId="8D84858B">
      <w:pPr>
        <w:pStyle w:val="style4110"/>
        <w:spacing w:before="0" w:after="0" w:lineRule="exact" w:line="200"/>
        <w:rPr/>
      </w:pPr>
      <w:r>
        <w:rPr>
          <w:rStyle w:val="style4122"/>
          <w:vertAlign w:val="superscript"/>
        </w:rPr>
        <w:footnoteRef/>
      </w:r>
      <w:r>
        <w:rPr>
          <w:sz w:val="18"/>
          <w:szCs w:val="18"/>
        </w:rPr>
        <w:t xml:space="preserve"> Github. https://github.com/ansible/terraform-provider-ansible</w:t>
      </w:r>
      <w:bookmarkEnd w:id="402"/>
    </w:p>
    <w:bookmarkStart w:id="403" w:name="_Ref_Footnote_252"/>
  </w:footnote>
  <w:footnote w:id="252">
    <w:p w14:paraId="3F70F48C">
      <w:pPr>
        <w:pStyle w:val="style4110"/>
        <w:spacing w:before="0" w:after="0" w:lineRule="exact" w:line="200"/>
        <w:rPr/>
      </w:pPr>
      <w:r>
        <w:rPr>
          <w:rStyle w:val="style4122"/>
          <w:vertAlign w:val="superscript"/>
        </w:rPr>
        <w:footnoteRef/>
      </w:r>
      <w:r>
        <w:rPr>
          <w:sz w:val="18"/>
          <w:szCs w:val="18"/>
        </w:rPr>
        <w:t xml:space="preserve"> Bing. https://www.bing.com/ck/a?!=&amp;fclid=2c2eeae2-bd3d-6c90-3296-fce0bceb6d72&amp;hsh=4&amp;ntb=1&amp;p=01eef7fd9a629b6bb5daa33e90c2132919bcb02e03e34fdd2991d54a15819056JmltdHM9MTc0OTA4MTYwMA&amp;ptn=3&amp;u=a1aHR0cHM6Ly9kZWVwd2lraS5jb20vcHJveG1veC9wdmUtZG9jcy84LjMtcmVzdC1hcGk&amp;ver=2</w:t>
      </w:r>
      <w:bookmarkEnd w:id="403"/>
    </w:p>
    <w:bookmarkStart w:id="404" w:name="_Ref_Footnote_253"/>
  </w:footnote>
  <w:footnote w:id="253">
    <w:p w14:paraId="D27AD01E">
      <w:pPr>
        <w:pStyle w:val="style4110"/>
        <w:spacing w:before="0" w:after="0" w:lineRule="exact" w:line="200"/>
        <w:rPr/>
      </w:pPr>
      <w:r>
        <w:rPr>
          <w:rStyle w:val="style4122"/>
          <w:vertAlign w:val="superscript"/>
        </w:rPr>
        <w:footnoteRef/>
      </w:r>
      <w:r>
        <w:rPr>
          <w:sz w:val="18"/>
          <w:szCs w:val="18"/>
        </w:rPr>
        <w:t xml:space="preserve"> proxmox.com. https://pve.proxmox.com/wiki/Proxmox_VE_API</w:t>
      </w:r>
      <w:bookmarkEnd w:id="404"/>
    </w:p>
    <w:bookmarkStart w:id="405" w:name="_Ref_Footnote_254"/>
  </w:footnote>
  <w:footnote w:id="254">
    <w:p w14:paraId="EA8694FF">
      <w:pPr>
        <w:pStyle w:val="style4110"/>
        <w:spacing w:before="0" w:after="0" w:lineRule="exact" w:line="200"/>
        <w:rPr/>
      </w:pPr>
      <w:r>
        <w:rPr>
          <w:rStyle w:val="style4122"/>
          <w:vertAlign w:val="superscript"/>
        </w:rPr>
        <w:footnoteRef/>
      </w:r>
      <w:r>
        <w:rPr>
          <w:sz w:val="18"/>
          <w:szCs w:val="18"/>
        </w:rPr>
        <w:t xml:space="preserve"> XDA Developers. https://www.xda-developers.com/i-set-up-disposable-proxmox-vms/</w:t>
      </w:r>
      <w:bookmarkEnd w:id="405"/>
    </w:p>
    <w:bookmarkStart w:id="406" w:name="_Ref_Footnote_255"/>
  </w:footnote>
  <w:footnote w:id="255">
    <w:p w14:paraId="F128C067">
      <w:pPr>
        <w:pStyle w:val="style4110"/>
        <w:spacing w:before="0" w:after="0" w:lineRule="exact" w:line="200"/>
        <w:rPr/>
      </w:pPr>
      <w:r>
        <w:rPr>
          <w:rStyle w:val="style4122"/>
          <w:vertAlign w:val="superscript"/>
        </w:rPr>
        <w:footnoteRef/>
      </w:r>
      <w:r>
        <w:rPr>
          <w:sz w:val="18"/>
          <w:szCs w:val="18"/>
        </w:rPr>
        <w:t xml:space="preserve"> oneuptime.com. https://oneuptime.com/blog/post/2026-02-21-how-to-use-ansible-to-manage-proxmox-virtual-machines/view</w:t>
      </w:r>
      <w:bookmarkEnd w:id="406"/>
    </w:p>
    <w:bookmarkStart w:id="407" w:name="_Ref_Footnote_256"/>
  </w:footnote>
  <w:footnote w:id="256">
    <w:p w14:paraId="DCDA2B33">
      <w:pPr>
        <w:pStyle w:val="style4110"/>
        <w:spacing w:before="0" w:after="0" w:lineRule="exact" w:line="200"/>
        <w:rPr/>
      </w:pPr>
      <w:r>
        <w:rPr>
          <w:rStyle w:val="style4122"/>
          <w:vertAlign w:val="superscript"/>
        </w:rPr>
        <w:footnoteRef/>
      </w:r>
      <w:r>
        <w:rPr>
          <w:sz w:val="18"/>
          <w:szCs w:val="18"/>
        </w:rPr>
        <w:t xml:space="preserve"> cloud-pbs.com. https://cloud-pbs.com/resources/proxmox-backup-2026/</w:t>
      </w:r>
      <w:bookmarkEnd w:id="407"/>
    </w:p>
    <w:bookmarkStart w:id="408" w:name="_Ref_Footnote_257"/>
  </w:footnote>
  <w:footnote w:id="257">
    <w:p w14:paraId="98E1E82A">
      <w:pPr>
        <w:pStyle w:val="style4110"/>
        <w:spacing w:before="0" w:after="0" w:lineRule="exact" w:line="200"/>
        <w:rPr/>
      </w:pPr>
      <w:r>
        <w:rPr>
          <w:rStyle w:val="style4122"/>
          <w:vertAlign w:val="superscript"/>
        </w:rPr>
        <w:footnoteRef/>
      </w:r>
      <w:r>
        <w:rPr>
          <w:sz w:val="18"/>
          <w:szCs w:val="18"/>
        </w:rPr>
        <w:t xml:space="preserve"> HashiCorp Developer. https://developer.hashicorp.com/validated-patterns/terraform/terraform-integrate-ansible-automation-platform</w:t>
      </w:r>
      <w:bookmarkEnd w:id="408"/>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
      <w:lvlJc w:val="left"/>
      <w:pPr>
        <w:ind w:left="720" w:hanging="480"/>
      </w:pPr>
    </w:lvl>
    <w:lvl w:ilvl="1">
      <w:start w:val="1"/>
      <w:numFmt w:val="bullet"/>
      <w:lvlText w:val=" "/>
      <w:lvlJc w:val="left"/>
      <w:pPr>
        <w:ind w:left="1440" w:hanging="480"/>
      </w:pPr>
    </w:lvl>
    <w:lvl w:ilvl="2">
      <w:start w:val="1"/>
      <w:numFmt w:val="bullet"/>
      <w:lvlText w:val=" "/>
      <w:lvlJc w:val="left"/>
      <w:pPr>
        <w:ind w:left="2160" w:hanging="480"/>
      </w:pPr>
    </w:lvl>
    <w:lvl w:ilvl="3">
      <w:start w:val="1"/>
      <w:numFmt w:val="bullet"/>
      <w:lvlText w:val=" "/>
      <w:lvlJc w:val="left"/>
      <w:pPr>
        <w:ind w:left="2880" w:hanging="480"/>
      </w:pPr>
    </w:lvl>
    <w:lvl w:ilvl="4">
      <w:start w:val="1"/>
      <w:numFmt w:val="bullet"/>
      <w:lvlText w:val=" "/>
      <w:lvlJc w:val="left"/>
      <w:pPr>
        <w:ind w:left="3600" w:hanging="480"/>
      </w:pPr>
    </w:lvl>
    <w:lvl w:ilvl="5">
      <w:start w:val="1"/>
      <w:numFmt w:val="bullet"/>
      <w:lvlText w:val=" "/>
      <w:lvlJc w:val="left"/>
      <w:pPr>
        <w:ind w:left="4320" w:hanging="480"/>
      </w:pPr>
    </w:lvl>
    <w:lvl w:ilvl="6">
      <w:start w:val="1"/>
      <w:numFmt w:val="bullet"/>
      <w:lvlText w:val=" "/>
      <w:lvlJc w:val="left"/>
      <w:pPr>
        <w:ind w:left="5040" w:hanging="480"/>
      </w:pPr>
    </w:lvl>
    <w:lvl w:ilvl="7">
      <w:start w:val="1"/>
      <w:numFmt w:val="bullet"/>
      <w:lvlText w:val=" "/>
      <w:lvlJc w:val="left"/>
      <w:pPr>
        <w:ind w:left="5760" w:hanging="480"/>
      </w:pPr>
    </w:lvl>
    <w:lvl w:ilvl="8">
      <w:start w:val="1"/>
      <w:numFmt w:val="bullet"/>
      <w:lvlText w:val=" "/>
      <w:lvlJc w:val="left"/>
      <w:pPr>
        <w:ind w:left="6480" w:hanging="480"/>
      </w:pPr>
    </w:lvl>
  </w:abstractNum>
  <w:abstractNum w:abstractNumId="1">
    <w:nsid w:val="00000001"/>
    <w:multiLevelType w:val="multilevel"/>
    <w:tmpl w:val="FFFFFFFF"/>
    <w:lvl w:ilvl="0">
      <w:start w:val="1"/>
      <w:numFmt w:val="bullet"/>
      <w:lvlText w:val="•"/>
      <w:lvlJc w:val="left"/>
      <w:pPr>
        <w:ind w:left="720" w:hanging="480"/>
      </w:pPr>
    </w:lvl>
    <w:lvl w:ilvl="1">
      <w:start w:val="1"/>
      <w:numFmt w:val="bullet"/>
      <w:lvlText w:val="–"/>
      <w:lvlJc w:val="left"/>
      <w:pPr>
        <w:ind w:left="1440" w:hanging="480"/>
      </w:pPr>
    </w:lvl>
    <w:lvl w:ilvl="2">
      <w:start w:val="1"/>
      <w:numFmt w:val="bullet"/>
      <w:lvlText w:val="•"/>
      <w:lvlJc w:val="left"/>
      <w:pPr>
        <w:ind w:left="2160" w:hanging="480"/>
      </w:pPr>
    </w:lvl>
    <w:lvl w:ilvl="3">
      <w:start w:val="1"/>
      <w:numFmt w:val="bullet"/>
      <w:lvlText w:val="–"/>
      <w:lvlJc w:val="left"/>
      <w:pPr>
        <w:ind w:left="2880" w:hanging="480"/>
      </w:pPr>
    </w:lvl>
    <w:lvl w:ilvl="4">
      <w:start w:val="1"/>
      <w:numFmt w:val="bullet"/>
      <w:lvlText w:val="•"/>
      <w:lvlJc w:val="left"/>
      <w:pPr>
        <w:ind w:left="3600" w:hanging="480"/>
      </w:pPr>
    </w:lvl>
    <w:lvl w:ilvl="5">
      <w:start w:val="1"/>
      <w:numFmt w:val="bullet"/>
      <w:lvlText w:val="–"/>
      <w:lvlJc w:val="left"/>
      <w:pPr>
        <w:ind w:left="4320" w:hanging="480"/>
      </w:pPr>
    </w:lvl>
    <w:lvl w:ilvl="6">
      <w:start w:val="1"/>
      <w:numFmt w:val="bullet"/>
      <w:lvlText w:val="•"/>
      <w:lvlJc w:val="left"/>
      <w:pPr>
        <w:ind w:left="5040" w:hanging="480"/>
      </w:pPr>
    </w:lvl>
    <w:lvl w:ilvl="7">
      <w:start w:val="1"/>
      <w:numFmt w:val="bullet"/>
      <w:lvlText w:val="–"/>
      <w:lvlJc w:val="left"/>
      <w:pPr>
        <w:ind w:left="5760" w:hanging="480"/>
      </w:pPr>
    </w:lvl>
    <w:lvl w:ilvl="8">
      <w:start w:val="1"/>
      <w:numFmt w:val="bullet"/>
      <w:lvlText w:val="•"/>
      <w:lvlJc w:val="left"/>
      <w:pPr>
        <w:ind w:left="6480" w:hanging="480"/>
      </w:pPr>
    </w:lvl>
  </w:abstractNum>
  <w:num w:numId="1">
    <w:abstractNumId w:val="1"/>
  </w:num>
  <w:num w:numId="2">
    <w:abstractNumId w:val="0"/>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compat/>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Cambria" w:hAnsi="Cambria"/>
        <w:sz w:val="24"/>
        <w:szCs w:val="24"/>
        <w:lang w:val="en-US" w:bidi="ar-SA" w:eastAsia="en-US"/>
      </w:rPr>
    </w:rPrDefault>
    <w:pPrDefault>
      <w:pPr>
        <w:spacing w:after="200"/>
      </w:pPr>
    </w:pPrDefault>
  </w:docDefaults>
  <w:style w:type="paragraph" w:default="1" w:styleId="style0">
    <w:name w:val="Normal"/>
    <w:next w:val="style0"/>
    <w:qFormat/>
    <w:pPr/>
  </w:style>
  <w:style w:type="paragraph" w:styleId="style66">
    <w:name w:val="Body Text"/>
    <w:basedOn w:val="style0"/>
    <w:next w:val="style66"/>
    <w:link w:val="style4119"/>
    <w:qFormat/>
    <w:pPr>
      <w:spacing w:before="180" w:after="180"/>
    </w:pPr>
    <w:rPr/>
  </w:style>
  <w:style w:type="paragraph" w:customStyle="1" w:styleId="style4097">
    <w:name w:val="First Paragraph"/>
    <w:basedOn w:val="style66"/>
    <w:next w:val="style66"/>
    <w:qFormat/>
    <w:pPr/>
  </w:style>
  <w:style w:type="paragraph" w:customStyle="1" w:styleId="style4098">
    <w:name w:val="Compact"/>
    <w:basedOn w:val="style66"/>
    <w:next w:val="style4098"/>
    <w:qFormat/>
    <w:pPr>
      <w:spacing w:before="36" w:after="36"/>
    </w:pPr>
    <w:rPr/>
  </w:style>
  <w:style w:type="paragraph" w:styleId="style62">
    <w:name w:val="Title"/>
    <w:basedOn w:val="style0"/>
    <w:next w:val="style66"/>
    <w:qFormat/>
    <w:pPr>
      <w:keepNext/>
      <w:keepLines/>
      <w:spacing w:before="480" w:after="240"/>
      <w:jc w:val="center"/>
    </w:pPr>
    <w:rPr>
      <w:rFonts w:ascii="Calibri" w:cs="宋体" w:eastAsia="宋体" w:hAnsi="Calibri"/>
      <w:b/>
      <w:bCs/>
      <w:color w:val="345a8a"/>
      <w:sz w:val="36"/>
      <w:szCs w:val="36"/>
    </w:rPr>
  </w:style>
  <w:style w:type="paragraph" w:styleId="style74">
    <w:name w:val="Subtitle"/>
    <w:basedOn w:val="style62"/>
    <w:next w:val="style66"/>
    <w:qFormat/>
    <w:pPr>
      <w:keepNext/>
      <w:keepLines/>
      <w:spacing w:before="240" w:after="240"/>
      <w:jc w:val="center"/>
    </w:pPr>
    <w:rPr>
      <w:sz w:val="30"/>
      <w:szCs w:val="30"/>
    </w:rPr>
  </w:style>
  <w:style w:type="paragraph" w:customStyle="1" w:styleId="style4099">
    <w:name w:val="Author"/>
    <w:next w:val="style66"/>
    <w:qFormat/>
    <w:pPr>
      <w:keepNext/>
      <w:keepLines/>
      <w:jc w:val="center"/>
    </w:pPr>
    <w:rPr/>
  </w:style>
  <w:style w:type="paragraph" w:styleId="style76">
    <w:name w:val="Date"/>
    <w:next w:val="style66"/>
    <w:qFormat/>
    <w:pPr>
      <w:keepNext/>
      <w:keepLines/>
      <w:jc w:val="center"/>
    </w:pPr>
    <w:rPr/>
  </w:style>
  <w:style w:type="paragraph" w:customStyle="1" w:styleId="style4100">
    <w:name w:val="Abstract"/>
    <w:basedOn w:val="style0"/>
    <w:next w:val="style66"/>
    <w:qFormat/>
    <w:pPr>
      <w:keepNext/>
      <w:keepLines/>
      <w:spacing w:before="300" w:after="300"/>
    </w:pPr>
    <w:rPr>
      <w:sz w:val="20"/>
      <w:szCs w:val="20"/>
    </w:rPr>
  </w:style>
  <w:style w:type="paragraph" w:styleId="style265">
    <w:name w:val="Bibliography"/>
    <w:basedOn w:val="style0"/>
    <w:next w:val="style265"/>
    <w:qFormat/>
    <w:pPr/>
  </w:style>
  <w:style w:type="paragraph" w:customStyle="1" w:styleId="style4101">
    <w:name w:val="Heading 1"/>
    <w:basedOn w:val="style0"/>
    <w:next w:val="style66"/>
    <w:qFormat/>
    <w:uiPriority w:val="9"/>
    <w:pPr>
      <w:keepNext/>
      <w:keepLines/>
      <w:spacing w:before="480" w:after="0"/>
      <w:outlineLvl w:val="0"/>
    </w:pPr>
    <w:rPr>
      <w:rFonts w:ascii="Calibri" w:cs="宋体" w:eastAsia="宋体" w:hAnsi="Calibri"/>
      <w:b/>
      <w:bCs/>
      <w:color w:val="4f81bd"/>
      <w:sz w:val="32"/>
      <w:szCs w:val="32"/>
    </w:rPr>
  </w:style>
  <w:style w:type="paragraph" w:customStyle="1" w:styleId="style4102">
    <w:name w:val="Heading 2"/>
    <w:basedOn w:val="style0"/>
    <w:next w:val="style66"/>
    <w:qFormat/>
    <w:uiPriority w:val="9"/>
    <w:pPr>
      <w:keepNext/>
      <w:keepLines/>
      <w:spacing w:before="200" w:after="0"/>
      <w:outlineLvl w:val="1"/>
    </w:pPr>
    <w:rPr>
      <w:rFonts w:ascii="Calibri" w:cs="宋体" w:eastAsia="宋体" w:hAnsi="Calibri"/>
      <w:b/>
      <w:bCs/>
      <w:color w:val="4f81bd"/>
      <w:sz w:val="28"/>
      <w:szCs w:val="28"/>
    </w:rPr>
  </w:style>
  <w:style w:type="paragraph" w:customStyle="1" w:styleId="style4103">
    <w:name w:val="Heading 3"/>
    <w:basedOn w:val="style0"/>
    <w:next w:val="style66"/>
    <w:qFormat/>
    <w:uiPriority w:val="9"/>
    <w:pPr>
      <w:keepNext/>
      <w:keepLines/>
      <w:spacing w:before="200" w:after="0"/>
      <w:outlineLvl w:val="2"/>
    </w:pPr>
    <w:rPr>
      <w:rFonts w:ascii="Calibri" w:cs="宋体" w:eastAsia="宋体" w:hAnsi="Calibri"/>
      <w:b/>
      <w:bCs/>
      <w:color w:val="4f81bd"/>
      <w:sz w:val="24"/>
      <w:szCs w:val="24"/>
    </w:rPr>
  </w:style>
  <w:style w:type="paragraph" w:customStyle="1" w:styleId="style4104">
    <w:name w:val="Heading 4"/>
    <w:basedOn w:val="style0"/>
    <w:next w:val="style66"/>
    <w:qFormat/>
    <w:uiPriority w:val="9"/>
    <w:pPr>
      <w:keepNext/>
      <w:keepLines/>
      <w:spacing w:before="200" w:after="0"/>
      <w:outlineLvl w:val="3"/>
    </w:pPr>
    <w:rPr>
      <w:rFonts w:ascii="Calibri" w:cs="宋体" w:eastAsia="宋体" w:hAnsi="Calibri"/>
      <w:bCs/>
      <w:i/>
      <w:color w:val="4f81bd"/>
      <w:sz w:val="24"/>
      <w:szCs w:val="24"/>
    </w:rPr>
  </w:style>
  <w:style w:type="paragraph" w:customStyle="1" w:styleId="style4105">
    <w:name w:val="Heading 5"/>
    <w:basedOn w:val="style0"/>
    <w:next w:val="style66"/>
    <w:qFormat/>
    <w:uiPriority w:val="9"/>
    <w:pPr>
      <w:keepNext/>
      <w:keepLines/>
      <w:spacing w:before="200" w:after="0"/>
      <w:outlineLvl w:val="4"/>
    </w:pPr>
    <w:rPr>
      <w:rFonts w:ascii="Calibri" w:cs="宋体" w:eastAsia="宋体" w:hAnsi="Calibri"/>
      <w:iCs/>
      <w:color w:val="4f81bd"/>
      <w:sz w:val="24"/>
      <w:szCs w:val="24"/>
    </w:rPr>
  </w:style>
  <w:style w:type="paragraph" w:customStyle="1" w:styleId="style4106">
    <w:name w:val="Heading 6"/>
    <w:basedOn w:val="style0"/>
    <w:next w:val="style66"/>
    <w:qFormat/>
    <w:uiPriority w:val="9"/>
    <w:pPr>
      <w:keepNext/>
      <w:keepLines/>
      <w:spacing w:before="200" w:after="0"/>
      <w:outlineLvl w:val="5"/>
    </w:pPr>
    <w:rPr>
      <w:rFonts w:ascii="Calibri" w:cs="宋体" w:eastAsia="宋体" w:hAnsi="Calibri"/>
      <w:color w:val="4f81bd"/>
      <w:sz w:val="24"/>
      <w:szCs w:val="24"/>
    </w:rPr>
  </w:style>
  <w:style w:type="paragraph" w:customStyle="1" w:styleId="style4107">
    <w:name w:val="Heading 7"/>
    <w:basedOn w:val="style0"/>
    <w:next w:val="style66"/>
    <w:qFormat/>
    <w:uiPriority w:val="9"/>
    <w:pPr>
      <w:keepNext/>
      <w:keepLines/>
      <w:spacing w:before="200" w:after="0"/>
      <w:outlineLvl w:val="6"/>
    </w:pPr>
    <w:rPr>
      <w:rFonts w:ascii="Calibri" w:cs="宋体" w:eastAsia="宋体" w:hAnsi="Calibri"/>
      <w:color w:val="4f81bd"/>
      <w:sz w:val="24"/>
      <w:szCs w:val="24"/>
    </w:rPr>
  </w:style>
  <w:style w:type="paragraph" w:customStyle="1" w:styleId="style4108">
    <w:name w:val="Heading 8"/>
    <w:basedOn w:val="style0"/>
    <w:next w:val="style66"/>
    <w:qFormat/>
    <w:uiPriority w:val="9"/>
    <w:pPr>
      <w:keepNext/>
      <w:keepLines/>
      <w:spacing w:before="200" w:after="0"/>
      <w:outlineLvl w:val="7"/>
    </w:pPr>
    <w:rPr>
      <w:rFonts w:ascii="Calibri" w:cs="宋体" w:eastAsia="宋体" w:hAnsi="Calibri"/>
      <w:color w:val="4f81bd"/>
      <w:sz w:val="24"/>
      <w:szCs w:val="24"/>
    </w:rPr>
  </w:style>
  <w:style w:type="paragraph" w:customStyle="1" w:styleId="style4109">
    <w:name w:val="Heading 9"/>
    <w:basedOn w:val="style0"/>
    <w:next w:val="style66"/>
    <w:qFormat/>
    <w:uiPriority w:val="9"/>
    <w:pPr>
      <w:keepNext/>
      <w:keepLines/>
      <w:spacing w:before="200" w:after="0"/>
      <w:outlineLvl w:val="8"/>
    </w:pPr>
    <w:rPr>
      <w:rFonts w:ascii="Calibri" w:cs="宋体" w:eastAsia="宋体" w:hAnsi="Calibri"/>
      <w:color w:val="4f81bd"/>
      <w:sz w:val="24"/>
      <w:szCs w:val="24"/>
    </w:rPr>
  </w:style>
  <w:style w:type="paragraph" w:styleId="style84">
    <w:name w:val="Block Text"/>
    <w:basedOn w:val="style66"/>
    <w:next w:val="style66"/>
    <w:qFormat/>
    <w:uiPriority w:val="9"/>
    <w:pPr>
      <w:spacing w:before="100" w:after="100"/>
      <w:ind w:left="480" w:right="480" w:firstLine="0"/>
    </w:pPr>
    <w:rPr/>
  </w:style>
  <w:style w:type="paragraph" w:customStyle="1" w:styleId="style4110">
    <w:name w:val="Footnote Text"/>
    <w:basedOn w:val="style0"/>
    <w:next w:val="style4110"/>
    <w:qFormat/>
    <w:uiPriority w:val="9"/>
    <w:pPr>
      <w:spacing w:before="0" w:after="0" w:lineRule="exact" w:line="200"/>
    </w:pPr>
    <w:rPr>
      <w:sz w:val="18"/>
      <w:szCs w:val="18"/>
    </w:rPr>
  </w:style>
  <w:style w:type="character" w:default="1" w:styleId="style65">
    <w:name w:val="Default Paragraph Font"/>
    <w:next w:val="style65"/>
  </w:style>
  <w:style w:type="table" w:customStyle="1" w:styleId="style4111">
    <w:name w:val="Table"/>
    <w:next w:val="style4111"/>
    <w:qFormat/>
    <w:pPr/>
    <w:rPr/>
    <w:tblPr>
      <w:tblInd w:w="0" w:type="dxa"/>
      <w:tblCellMar>
        <w:top w:w="0" w:type="dxa"/>
        <w:left w:w="108" w:type="dxa"/>
        <w:bottom w:w="0" w:type="dxa"/>
        <w:right w:w="108" w:type="dxa"/>
      </w:tblCellMar>
    </w:tblPr>
    <w:tblStylePr w:type="firstRow">
      <w:pPr/>
      <w:tblPr>
        <w:jc w:val="left"/>
        <w:tblInd w:w="0" w:type="dxa"/>
      </w:tblPr>
      <w:tcPr>
        <w:tcBorders>
          <w:bottom w:val="single" w:sz="4" w:space="0" w:color="auto"/>
        </w:tcBorders>
        <w:vAlign w:val="bottom"/>
      </w:tcPr>
    </w:tblStylePr>
    <w:tcPr>
      <w:tcBorders/>
    </w:tcPr>
  </w:style>
  <w:style w:type="paragraph" w:customStyle="1" w:styleId="style4112">
    <w:name w:val="Definition Term"/>
    <w:basedOn w:val="style0"/>
    <w:next w:val="style4113"/>
    <w:pPr>
      <w:keepNext/>
      <w:keepLines/>
      <w:spacing w:after="0"/>
    </w:pPr>
    <w:rPr>
      <w:b/>
    </w:rPr>
  </w:style>
  <w:style w:type="paragraph" w:customStyle="1" w:styleId="style4113">
    <w:name w:val="Definition"/>
    <w:basedOn w:val="style0"/>
    <w:next w:val="style4113"/>
    <w:pPr/>
  </w:style>
  <w:style w:type="paragraph" w:customStyle="1" w:styleId="style4114">
    <w:name w:val="Caption"/>
    <w:basedOn w:val="style0"/>
    <w:next w:val="style4114"/>
    <w:link w:val="style4119"/>
    <w:pPr>
      <w:spacing w:before="0" w:after="120"/>
    </w:pPr>
    <w:rPr>
      <w:i/>
    </w:rPr>
  </w:style>
  <w:style w:type="paragraph" w:customStyle="1" w:styleId="style4115">
    <w:name w:val="Table Caption"/>
    <w:basedOn w:val="style4114"/>
    <w:next w:val="style4115"/>
    <w:pPr>
      <w:keepNext/>
    </w:pPr>
    <w:rPr/>
  </w:style>
  <w:style w:type="paragraph" w:customStyle="1" w:styleId="style4116">
    <w:name w:val="Image Caption"/>
    <w:basedOn w:val="style4114"/>
    <w:next w:val="style4116"/>
    <w:pPr/>
  </w:style>
  <w:style w:type="paragraph" w:customStyle="1" w:styleId="style4117">
    <w:name w:val="Figure"/>
    <w:basedOn w:val="style0"/>
    <w:next w:val="style4117"/>
    <w:pPr/>
  </w:style>
  <w:style w:type="paragraph" w:customStyle="1" w:styleId="style4118">
    <w:name w:val="Captioned Figure"/>
    <w:basedOn w:val="style4117"/>
    <w:next w:val="style4118"/>
    <w:pPr>
      <w:keepNext/>
    </w:pPr>
    <w:rPr/>
  </w:style>
  <w:style w:type="character" w:customStyle="1" w:styleId="style4119">
    <w:name w:val="Body Text Char"/>
    <w:basedOn w:val="style65"/>
    <w:next w:val="style4119"/>
    <w:link w:val="style66"/>
  </w:style>
  <w:style w:type="character" w:customStyle="1" w:styleId="style4120">
    <w:name w:val="Verbatim Char"/>
    <w:basedOn w:val="style4119"/>
    <w:next w:val="style4120"/>
    <w:rPr>
      <w:rFonts w:ascii="Consolas" w:hAnsi="Consolas"/>
      <w:sz w:val="22"/>
    </w:rPr>
  </w:style>
  <w:style w:type="character" w:customStyle="1" w:styleId="style4121">
    <w:name w:val="Section Number"/>
    <w:basedOn w:val="style4119"/>
    <w:next w:val="style4121"/>
  </w:style>
  <w:style w:type="character" w:customStyle="1" w:styleId="style4122">
    <w:name w:val="Footnote Reference"/>
    <w:basedOn w:val="style4119"/>
    <w:next w:val="style4122"/>
    <w:rPr>
      <w:vertAlign w:val="superscript"/>
    </w:rPr>
  </w:style>
  <w:style w:type="character" w:styleId="style85">
    <w:name w:val="Hyperlink"/>
    <w:basedOn w:val="style4119"/>
    <w:next w:val="style85"/>
    <w:rPr>
      <w:color w:val="4f81bd"/>
    </w:rPr>
  </w:style>
  <w:style w:type="paragraph" w:styleId="style266">
    <w:name w:val="TOC Heading"/>
    <w:basedOn w:val="style4101"/>
    <w:next w:val="style66"/>
    <w:qFormat/>
    <w:uiPriority w:val="39"/>
    <w:pPr>
      <w:spacing w:before="240" w:lineRule="auto" w:line="259"/>
      <w:outlineLvl w:val="9"/>
    </w:pPr>
    <w:rPr>
      <w:rFonts w:ascii="Calibri" w:cs="宋体" w:eastAsia="宋体" w:hAnsi="Calibri"/>
      <w:b w:val="false"/>
      <w:bCs w:val="false"/>
      <w:color w:val="365f91"/>
    </w:rPr>
  </w:style>
  <w:style w:type="paragraph" w:customStyle="1" w:styleId="style4123">
    <w:name w:val="Source Code"/>
    <w:basedOn w:val="style0"/>
    <w:next w:val="style4123"/>
    <w:link w:val="style4120"/>
    <w:pPr>
      <w:wordWrap w:val="false"/>
    </w:pPr>
    <w:rPr/>
  </w:style>
  <w:style w:type="character" w:customStyle="1" w:styleId="style4124">
    <w:name w:val="KeywordTok"/>
    <w:basedOn w:val="style4120"/>
    <w:next w:val="style4124"/>
    <w:rPr>
      <w:b/>
      <w:color w:val="007020"/>
    </w:rPr>
  </w:style>
  <w:style w:type="character" w:customStyle="1" w:styleId="style4125">
    <w:name w:val="DataTypeTok"/>
    <w:basedOn w:val="style4120"/>
    <w:next w:val="style4125"/>
    <w:rPr>
      <w:color w:val="902000"/>
    </w:rPr>
  </w:style>
  <w:style w:type="character" w:customStyle="1" w:styleId="style4126">
    <w:name w:val="DecValTok"/>
    <w:basedOn w:val="style4120"/>
    <w:next w:val="style4126"/>
    <w:rPr>
      <w:color w:val="40a070"/>
    </w:rPr>
  </w:style>
  <w:style w:type="character" w:customStyle="1" w:styleId="style4127">
    <w:name w:val="BaseNTok"/>
    <w:basedOn w:val="style4120"/>
    <w:next w:val="style4127"/>
    <w:rPr>
      <w:color w:val="40a070"/>
    </w:rPr>
  </w:style>
  <w:style w:type="character" w:customStyle="1" w:styleId="style4128">
    <w:name w:val="FloatTok"/>
    <w:basedOn w:val="style4120"/>
    <w:next w:val="style4128"/>
    <w:rPr>
      <w:color w:val="40a070"/>
    </w:rPr>
  </w:style>
  <w:style w:type="character" w:customStyle="1" w:styleId="style4129">
    <w:name w:val="ConstantTok"/>
    <w:basedOn w:val="style4120"/>
    <w:next w:val="style4129"/>
    <w:rPr>
      <w:color w:val="880000"/>
    </w:rPr>
  </w:style>
  <w:style w:type="character" w:customStyle="1" w:styleId="style4130">
    <w:name w:val="CharTok"/>
    <w:basedOn w:val="style4120"/>
    <w:next w:val="style4130"/>
    <w:rPr>
      <w:color w:val="4070a0"/>
    </w:rPr>
  </w:style>
  <w:style w:type="character" w:customStyle="1" w:styleId="style4131">
    <w:name w:val="SpecialCharTok"/>
    <w:basedOn w:val="style4120"/>
    <w:next w:val="style4131"/>
    <w:rPr>
      <w:color w:val="4070a0"/>
    </w:rPr>
  </w:style>
  <w:style w:type="character" w:customStyle="1" w:styleId="style4132">
    <w:name w:val="StringTok"/>
    <w:basedOn w:val="style4120"/>
    <w:next w:val="style4132"/>
    <w:rPr>
      <w:color w:val="4070a0"/>
    </w:rPr>
  </w:style>
  <w:style w:type="character" w:customStyle="1" w:styleId="style4133">
    <w:name w:val="VerbatimStringTok"/>
    <w:basedOn w:val="style4120"/>
    <w:next w:val="style4133"/>
    <w:rPr>
      <w:color w:val="4070a0"/>
    </w:rPr>
  </w:style>
  <w:style w:type="character" w:customStyle="1" w:styleId="style4134">
    <w:name w:val="SpecialStringTok"/>
    <w:basedOn w:val="style4120"/>
    <w:next w:val="style4134"/>
    <w:rPr>
      <w:color w:val="bb6688"/>
    </w:rPr>
  </w:style>
  <w:style w:type="character" w:customStyle="1" w:styleId="style4135">
    <w:name w:val="ImportTok"/>
    <w:basedOn w:val="style4120"/>
    <w:next w:val="style4135"/>
    <w:rPr>
      <w:b/>
      <w:color w:val="008000"/>
    </w:rPr>
  </w:style>
  <w:style w:type="character" w:customStyle="1" w:styleId="style4136">
    <w:name w:val="CommentTok"/>
    <w:basedOn w:val="style4120"/>
    <w:next w:val="style4136"/>
    <w:rPr>
      <w:i/>
      <w:color w:val="60a0b0"/>
    </w:rPr>
  </w:style>
  <w:style w:type="character" w:customStyle="1" w:styleId="style4137">
    <w:name w:val="DocumentationTok"/>
    <w:basedOn w:val="style4120"/>
    <w:next w:val="style4137"/>
    <w:rPr>
      <w:i/>
      <w:color w:val="ba2121"/>
    </w:rPr>
  </w:style>
  <w:style w:type="character" w:customStyle="1" w:styleId="style4138">
    <w:name w:val="AnnotationTok"/>
    <w:basedOn w:val="style4120"/>
    <w:next w:val="style4138"/>
    <w:rPr>
      <w:b/>
      <w:i/>
      <w:color w:val="60a0b0"/>
    </w:rPr>
  </w:style>
  <w:style w:type="character" w:customStyle="1" w:styleId="style4139">
    <w:name w:val="CommentVarTok"/>
    <w:basedOn w:val="style4120"/>
    <w:next w:val="style4139"/>
    <w:rPr>
      <w:b/>
      <w:i/>
      <w:color w:val="60a0b0"/>
    </w:rPr>
  </w:style>
  <w:style w:type="character" w:customStyle="1" w:styleId="style4140">
    <w:name w:val="OtherTok"/>
    <w:basedOn w:val="style4120"/>
    <w:next w:val="style4140"/>
    <w:rPr>
      <w:color w:val="007020"/>
    </w:rPr>
  </w:style>
  <w:style w:type="character" w:customStyle="1" w:styleId="style4141">
    <w:name w:val="FunctionTok"/>
    <w:basedOn w:val="style4120"/>
    <w:next w:val="style4141"/>
    <w:rPr>
      <w:color w:val="06287e"/>
    </w:rPr>
  </w:style>
  <w:style w:type="character" w:customStyle="1" w:styleId="style4142">
    <w:name w:val="VariableTok"/>
    <w:basedOn w:val="style4120"/>
    <w:next w:val="style4142"/>
    <w:rPr>
      <w:color w:val="19177c"/>
    </w:rPr>
  </w:style>
  <w:style w:type="character" w:customStyle="1" w:styleId="style4143">
    <w:name w:val="ControlFlowTok"/>
    <w:basedOn w:val="style4120"/>
    <w:next w:val="style4143"/>
    <w:rPr>
      <w:b/>
      <w:color w:val="007020"/>
    </w:rPr>
  </w:style>
  <w:style w:type="character" w:customStyle="1" w:styleId="style4144">
    <w:name w:val="OperatorTok"/>
    <w:basedOn w:val="style4120"/>
    <w:next w:val="style4144"/>
    <w:rPr>
      <w:color w:val="666666"/>
    </w:rPr>
  </w:style>
  <w:style w:type="character" w:customStyle="1" w:styleId="style4145">
    <w:name w:val="BuiltInTok"/>
    <w:basedOn w:val="style4120"/>
    <w:next w:val="style4145"/>
    <w:rPr>
      <w:color w:val="008000"/>
    </w:rPr>
  </w:style>
  <w:style w:type="character" w:customStyle="1" w:styleId="style4146">
    <w:name w:val="ExtensionTok"/>
    <w:basedOn w:val="style4120"/>
    <w:next w:val="style4146"/>
  </w:style>
  <w:style w:type="character" w:customStyle="1" w:styleId="style4147">
    <w:name w:val="PreprocessorTok"/>
    <w:basedOn w:val="style4120"/>
    <w:next w:val="style4147"/>
    <w:rPr>
      <w:color w:val="bc7a00"/>
    </w:rPr>
  </w:style>
  <w:style w:type="character" w:customStyle="1" w:styleId="style4148">
    <w:name w:val="AttributeTok"/>
    <w:basedOn w:val="style4120"/>
    <w:next w:val="style4148"/>
    <w:rPr>
      <w:color w:val="7d9029"/>
    </w:rPr>
  </w:style>
  <w:style w:type="character" w:customStyle="1" w:styleId="style4149">
    <w:name w:val="RegionMarkerTok"/>
    <w:basedOn w:val="style4120"/>
    <w:next w:val="style4149"/>
  </w:style>
  <w:style w:type="character" w:customStyle="1" w:styleId="style4150">
    <w:name w:val="InformationTok"/>
    <w:basedOn w:val="style4120"/>
    <w:next w:val="style4150"/>
    <w:rPr>
      <w:b/>
      <w:i/>
      <w:color w:val="60a0b0"/>
    </w:rPr>
  </w:style>
  <w:style w:type="character" w:customStyle="1" w:styleId="style4151">
    <w:name w:val="WarningTok"/>
    <w:basedOn w:val="style4120"/>
    <w:next w:val="style4151"/>
    <w:rPr>
      <w:b/>
      <w:i/>
      <w:color w:val="60a0b0"/>
    </w:rPr>
  </w:style>
  <w:style w:type="character" w:customStyle="1" w:styleId="style4152">
    <w:name w:val="AlertTok"/>
    <w:basedOn w:val="style4120"/>
    <w:next w:val="style4152"/>
    <w:rPr>
      <w:b/>
      <w:color w:val="ff0000"/>
    </w:rPr>
  </w:style>
  <w:style w:type="character" w:customStyle="1" w:styleId="style4153">
    <w:name w:val="ErrorTok"/>
    <w:basedOn w:val="style4120"/>
    <w:next w:val="style4153"/>
    <w:rPr>
      <w:b/>
      <w:color w:val="ff0000"/>
    </w:rPr>
  </w:style>
  <w:style w:type="character" w:customStyle="1" w:styleId="style4154">
    <w:name w:val="NormalTok"/>
    <w:basedOn w:val="style4120"/>
    <w:next w:val="style4154"/>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tyles" Target="styles.xml"/><Relationship Id="rId14" Type="http://schemas.openxmlformats.org/officeDocument/2006/relationships/footnotes" Target="footnotes.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18" Type="http://schemas.openxmlformats.org/officeDocument/2006/relationships/theme" Target="theme/theme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Words>44872</Words>
  <Pages>1</Pages>
  <Characters>97437</Characters>
  <Application>WPS Office</Application>
  <DocSecurity>0</DocSecurity>
  <Paragraphs>2117</Paragraphs>
  <ScaleCrop>false</ScaleCrop>
  <LinksUpToDate>false</LinksUpToDate>
  <CharactersWithSpaces>105288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2026-06-07T06:19:25Z</dcterms:created>
  <dc:creator>WPS Office</dc:creator>
  <lastModifiedBy>25080RABDC</lastModifiedBy>
  <dcterms:modified xsi:type="dcterms:W3CDTF">2026-06-07T08:10:10Z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8140df19a55e41deab27f6a202532403_23</vt:lpwstr>
  </property>
</Properties>
</file>