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化验员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化验员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陆静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陆静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生产部化验员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（一）1.严格执行安全生产规章制度和安全技术操作规程，严禁违章作业，严格执行工作票审批规定，必须做到持证上岗。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（三）认真检查及操作化验设备，保持设备设施良好的安全运行状态，保持作业环境整洁，发现安全隐患应立即上报。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（四）负责化验药剂的安全储存管理工作。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（五）熟悉并掌握岗位中存在的危险因素及其可能造成的严重后果，掌握与岗位相适应的安全知识，掌握事故隐患排查能力，具备应急自救和逃生技能。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（六）发现事故苗头立即停止作业，立即向上级领导反映。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（七）按要求参加班前会、安全例会、安全培训教育、现场处置方案的演练和安全检查等活动。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（八）有权对安全生产工作提出建议，有权拒绝或制止违章作业、冒险蛮干。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6E5E56"/>
    <w:rsid w:val="06F4327C"/>
    <w:rsid w:val="096C5884"/>
    <w:rsid w:val="0FA751A8"/>
    <w:rsid w:val="11C82415"/>
    <w:rsid w:val="121C25BE"/>
    <w:rsid w:val="129D526D"/>
    <w:rsid w:val="1A921462"/>
    <w:rsid w:val="204C32C9"/>
    <w:rsid w:val="22911F4A"/>
    <w:rsid w:val="261B573F"/>
    <w:rsid w:val="29484147"/>
    <w:rsid w:val="295925DD"/>
    <w:rsid w:val="31B2736E"/>
    <w:rsid w:val="3224751F"/>
    <w:rsid w:val="33CC16F3"/>
    <w:rsid w:val="33EB0DA7"/>
    <w:rsid w:val="35702142"/>
    <w:rsid w:val="36BF3BA4"/>
    <w:rsid w:val="37215218"/>
    <w:rsid w:val="377D2076"/>
    <w:rsid w:val="37F7771A"/>
    <w:rsid w:val="3B8C0686"/>
    <w:rsid w:val="3E9A42B6"/>
    <w:rsid w:val="40EF7D69"/>
    <w:rsid w:val="44257FF1"/>
    <w:rsid w:val="44D21BE7"/>
    <w:rsid w:val="45F6224A"/>
    <w:rsid w:val="47247A9E"/>
    <w:rsid w:val="4E7477D4"/>
    <w:rsid w:val="4F787D90"/>
    <w:rsid w:val="51336378"/>
    <w:rsid w:val="52BD3545"/>
    <w:rsid w:val="55E5665B"/>
    <w:rsid w:val="57E717E5"/>
    <w:rsid w:val="5CCE2541"/>
    <w:rsid w:val="5F343C58"/>
    <w:rsid w:val="608E2824"/>
    <w:rsid w:val="636866CA"/>
    <w:rsid w:val="66FB4953"/>
    <w:rsid w:val="67E47DB6"/>
    <w:rsid w:val="681F684C"/>
    <w:rsid w:val="682B6EB6"/>
    <w:rsid w:val="6B6549EC"/>
    <w:rsid w:val="72307B96"/>
    <w:rsid w:val="7472283C"/>
    <w:rsid w:val="77422AFC"/>
    <w:rsid w:val="777B5852"/>
    <w:rsid w:val="7A0462AB"/>
    <w:rsid w:val="7D7E7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933</Words>
  <Characters>943</Characters>
  <Lines>12</Lines>
  <Paragraphs>3</Paragraphs>
  <TotalTime>1</TotalTime>
  <ScaleCrop>false</ScaleCrop>
  <LinksUpToDate>false</LinksUpToDate>
  <CharactersWithSpaces>1092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2024-01-18T05:27:26Z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C8546EF009D64E6F8C5B2F0C29FD90DD</vt:lpwstr>
  </property>
</Properties>
</file>