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4B09D">
      <w:pPr>
        <w:bidi w:val="0"/>
      </w:pPr>
      <w:r>
        <w:rPr>
          <w:rFonts w:hint="eastAsia"/>
          <w:lang w:val="en-US" w:eastAsia="zh-CN"/>
        </w:rPr>
        <w:t>核心注解</w:t>
      </w:r>
      <w:r>
        <w:t>@Transactional</w:t>
      </w:r>
      <w:r>
        <w:rPr>
          <w:rFonts w:hint="eastAsia"/>
          <w:lang w:val="en-US" w:eastAsia="zh-CN"/>
        </w:rPr>
        <w:t xml:space="preserve"> </w:t>
      </w:r>
      <w:r>
        <w:t>工作原理：代理模式（Proxy），统一开启/提交/回滚</w:t>
      </w:r>
    </w:p>
    <w:p w14:paraId="0112FBA3">
      <w:pPr>
        <w:bidi w:val="0"/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程序内部对SQL写入</w:t>
      </w:r>
      <w:r>
        <w:rPr>
          <w:rFonts w:ascii="SimSun" w:hAnsi="SimSun" w:eastAsia="SimSun" w:cs="SimSun"/>
          <w:sz w:val="24"/>
          <w:szCs w:val="24"/>
        </w:rPr>
        <w:t>COMMIT/ROLLBACK</w:t>
      </w:r>
    </w:p>
    <w:p w14:paraId="39C6E0D6">
      <w:pPr>
        <w:bidi w:val="0"/>
      </w:pPr>
      <w:r>
        <w:rPr>
          <w:rFonts w:hint="eastAsia"/>
          <w:lang w:val="en-US" w:eastAsia="zh-CN"/>
        </w:rPr>
        <w:t>事务特性，</w:t>
      </w:r>
      <w:r>
        <w:t>ACID 特性（原子性、一致性、隔离性、持久性）</w:t>
      </w:r>
    </w:p>
    <w:p w14:paraId="7DD9E8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注解位置，</w:t>
      </w:r>
      <w:bookmarkStart w:id="0" w:name="_GoBack"/>
      <w:bookmarkEnd w:id="0"/>
      <w:r>
        <w:t>类或方法</w:t>
      </w:r>
      <w:r>
        <w:rPr>
          <w:rFonts w:hint="eastAsia"/>
          <w:lang w:val="en-US" w:eastAsia="zh-CN"/>
        </w:rPr>
        <w:t xml:space="preserve">上  </w:t>
      </w:r>
    </w:p>
    <w:p w14:paraId="727E08BB">
      <w:pPr>
        <w:bidi w:val="0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声明事务边界</w:t>
      </w:r>
    </w:p>
    <w:p w14:paraId="63B865EF">
      <w:pPr>
        <w:numPr>
          <w:ilvl w:val="0"/>
          <w:numId w:val="1"/>
        </w:numPr>
        <w:bidi w:val="0"/>
        <w:ind w:firstLine="420" w:firstLineChars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 xml:space="preserve">propagation </w:t>
      </w:r>
      <w:r>
        <w:rPr>
          <w:rFonts w:ascii="SimSun" w:hAnsi="SimSun" w:eastAsia="SimSun" w:cs="SimSun"/>
          <w:sz w:val="20"/>
          <w:szCs w:val="20"/>
        </w:rPr>
        <w:t>(传播行为)</w:t>
      </w:r>
    </w:p>
    <w:tbl>
      <w:tblPr>
        <w:tblStyle w:val="4"/>
        <w:tblW w:w="8441" w:type="dxa"/>
        <w:tblCellSpacing w:w="1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5"/>
        <w:gridCol w:w="2990"/>
        <w:gridCol w:w="3296"/>
      </w:tblGrid>
      <w:tr w14:paraId="051B24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5430B7C">
            <w:pPr>
              <w:bidi w:val="0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值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8D2155D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语义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F3BF374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说明</w:t>
            </w:r>
          </w:p>
        </w:tc>
      </w:tr>
      <w:tr w14:paraId="337243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5DE7509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sz w:val="16"/>
                <w:szCs w:val="16"/>
                <w:lang w:val="en-US" w:eastAsia="zh-CN"/>
              </w:rPr>
              <w:t>REQUIRED</w:t>
            </w:r>
            <w:r>
              <w:rPr>
                <w:rFonts w:hint="default"/>
                <w:sz w:val="16"/>
                <w:szCs w:val="16"/>
                <w:lang w:val="en-US" w:eastAsia="zh-CN"/>
              </w:rPr>
              <w:t>（默认）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B151600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有则加入，无则新建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51EFB84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最常用</w:t>
            </w:r>
          </w:p>
        </w:tc>
      </w:tr>
      <w:tr w14:paraId="5CF33B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242BC68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REQUIRES_NEW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2718E68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挂起当前事务，开启新事务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9068C1A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适合写日志/独立操作</w:t>
            </w:r>
          </w:p>
        </w:tc>
      </w:tr>
      <w:tr w14:paraId="1A8787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C7B3EC7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NESTED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3D7A766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嵌套事务（保存点）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11CD953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依赖底层数据源支持（如 JDBC）</w:t>
            </w:r>
          </w:p>
        </w:tc>
      </w:tr>
      <w:tr w14:paraId="7AD3B3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B173D0A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SUPPORTS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F8DB7CA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有则加入，无则非事务执行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EBA6E4C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读操作可用</w:t>
            </w:r>
          </w:p>
        </w:tc>
      </w:tr>
      <w:tr w14:paraId="22789A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55305FC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MANDATORY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359BE98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必须存在外层事务，否则异常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BFC9D0C">
            <w:pPr>
              <w:bidi w:val="0"/>
              <w:rPr>
                <w:rFonts w:hint="default"/>
                <w:sz w:val="16"/>
                <w:szCs w:val="16"/>
              </w:rPr>
            </w:pPr>
          </w:p>
        </w:tc>
      </w:tr>
      <w:tr w14:paraId="0C3A4B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68B7C58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NOT_SUPPORTED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6007129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始终以非事务方式执行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68674CD">
            <w:pPr>
              <w:bidi w:val="0"/>
              <w:rPr>
                <w:rFonts w:hint="default"/>
                <w:sz w:val="16"/>
                <w:szCs w:val="16"/>
              </w:rPr>
            </w:pPr>
          </w:p>
        </w:tc>
      </w:tr>
      <w:tr w14:paraId="65D085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526257B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NEVER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5D21F3F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必须无事务，否则异常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AB08586">
            <w:pPr>
              <w:bidi w:val="0"/>
              <w:rPr>
                <w:rFonts w:hint="default"/>
                <w:sz w:val="16"/>
                <w:szCs w:val="16"/>
              </w:rPr>
            </w:pPr>
          </w:p>
        </w:tc>
      </w:tr>
    </w:tbl>
    <w:p w14:paraId="68D53A36">
      <w:pPr>
        <w:keepNext w:val="0"/>
        <w:keepLines w:val="0"/>
        <w:widowControl/>
        <w:suppressLineNumbers w:val="0"/>
        <w:jc w:val="left"/>
      </w:pPr>
    </w:p>
    <w:p w14:paraId="1503A454">
      <w:pPr>
        <w:numPr>
          <w:ilvl w:val="0"/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</w:p>
    <w:p w14:paraId="35451F82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isolation (隔离级别)防止脏读、不可重复读、幻读</w:t>
      </w:r>
    </w:p>
    <w:tbl>
      <w:tblPr>
        <w:tblStyle w:val="4"/>
        <w:tblpPr w:leftFromText="180" w:rightFromText="180" w:vertAnchor="text" w:horzAnchor="page" w:tblpX="1081" w:tblpY="326"/>
        <w:tblOverlap w:val="never"/>
        <w:tblW w:w="10635" w:type="dxa"/>
        <w:tblCellSpacing w:w="1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1715"/>
        <w:gridCol w:w="1534"/>
        <w:gridCol w:w="1080"/>
        <w:gridCol w:w="4196"/>
      </w:tblGrid>
      <w:tr w14:paraId="29FCA4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1A3761D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级别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DC6C243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脏读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5530EAE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不可重复读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CC70745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幻读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A894DA7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说明</w:t>
            </w:r>
          </w:p>
        </w:tc>
      </w:tr>
      <w:tr w14:paraId="32D49B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FC772E1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DEFAULT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D73A895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取决于数据库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04E8BE3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C80DA4C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1F0EF74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推荐</w:t>
            </w:r>
          </w:p>
        </w:tc>
      </w:tr>
      <w:tr w14:paraId="371308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26291EE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READ_UNCOMMITTED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41F2A43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可能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ED9C068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可能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8CAD1A1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可能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01F462E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几乎不用</w:t>
            </w:r>
          </w:p>
        </w:tc>
      </w:tr>
      <w:tr w14:paraId="722047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422EE16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READ_COMMITTED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F9F7CB6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842E9B2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可能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4584840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可能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00589BE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常见于 Oracle</w:t>
            </w:r>
          </w:p>
        </w:tc>
      </w:tr>
      <w:tr w14:paraId="7BF6EA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B18011C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REPEATABLE_READ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87694B9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DFCFB17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B5CDFEC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可能*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CB446A0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MySQL 默认（基于 MVCC，通常也避免幻读）</w:t>
            </w:r>
          </w:p>
        </w:tc>
      </w:tr>
      <w:tr w14:paraId="3ACF1A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4E4D23D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SERIALIZABLE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8318F4A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674885B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7F8E8AD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04C9FD1">
            <w:pPr>
              <w:bidi w:val="0"/>
              <w:rPr>
                <w:rFonts w:hint="eastAsia" w:ascii="ＭＳ 明朝" w:hAnsi="ＭＳ 明朝" w:eastAsia="ＭＳ 明朝" w:cs="ＭＳ 明朝"/>
                <w:sz w:val="16"/>
                <w:szCs w:val="16"/>
              </w:rPr>
            </w:pPr>
            <w:r>
              <w:rPr>
                <w:rFonts w:hint="eastAsia" w:ascii="ＭＳ 明朝" w:hAnsi="ＭＳ 明朝" w:eastAsia="ＭＳ 明朝" w:cs="ＭＳ 明朝"/>
                <w:sz w:val="16"/>
                <w:szCs w:val="16"/>
                <w:lang w:val="en-US" w:eastAsia="zh-CN"/>
              </w:rPr>
              <w:t>最严格，吞吐低</w:t>
            </w:r>
          </w:p>
        </w:tc>
      </w:tr>
    </w:tbl>
    <w:p w14:paraId="563B1593">
      <w:pPr>
        <w:bidi w:val="0"/>
        <w:rPr>
          <w:rFonts w:hint="eastAsia" w:ascii="ＭＳ 明朝" w:hAnsi="ＭＳ 明朝" w:eastAsia="ＭＳ 明朝" w:cs="ＭＳ 明朝"/>
          <w:sz w:val="16"/>
          <w:szCs w:val="16"/>
          <w:lang w:val="en-US" w:eastAsia="zh-CN"/>
        </w:rPr>
      </w:pPr>
    </w:p>
    <w:p w14:paraId="4038F477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readOnly (只读)</w:t>
      </w:r>
    </w:p>
    <w:p w14:paraId="3BA1606B">
      <w:pPr>
        <w:numPr>
          <w:ilvl w:val="0"/>
          <w:numId w:val="1"/>
        </w:numPr>
        <w:bidi w:val="0"/>
      </w:pPr>
      <w:r>
        <w:t>rollbackFor </w:t>
      </w:r>
      <w:r>
        <w:rPr>
          <w:rFonts w:hint="default"/>
        </w:rPr>
        <w:t>/ </w:t>
      </w:r>
      <w:r>
        <w:t>noRollbackFor (回滚规则)</w:t>
      </w:r>
    </w:p>
    <w:p w14:paraId="0B767B4B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t>transactionManager：指定事务管理器（多数据源场景）</w:t>
      </w:r>
    </w:p>
    <w:p w14:paraId="312CBAC8">
      <w:pPr>
        <w:pStyle w:val="2"/>
        <w:keepNext w:val="0"/>
        <w:keepLines w:val="0"/>
        <w:widowControl/>
        <w:suppressLineNumbers w:val="0"/>
        <w:shd w:val="clear" w:fill="FFFFFF"/>
        <w:spacing w:before="336" w:beforeAutospacing="0" w:after="168" w:afterAutospacing="0" w:line="23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spacing w:val="-2"/>
          <w:sz w:val="26"/>
          <w:szCs w:val="2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-2"/>
          <w:sz w:val="26"/>
          <w:szCs w:val="26"/>
          <w:shd w:val="clear" w:fill="FFFFFF"/>
        </w:rPr>
        <w:t>回滚规则</w:t>
      </w:r>
    </w:p>
    <w:p w14:paraId="00A8F2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默认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：仅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运行时异常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（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RuntimeException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）与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Error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 自动回滚。</w:t>
      </w:r>
    </w:p>
    <w:p w14:paraId="5D0FCB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若要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受检异常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也回滚：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@Transactional(rollbackFor = Exception.class)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413F93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394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对于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特定异常不回滚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noRollbackFor = SpecificException.class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2F7CB173">
      <w:pPr>
        <w:pStyle w:val="2"/>
        <w:keepNext w:val="0"/>
        <w:keepLines w:val="0"/>
        <w:widowControl/>
        <w:suppressLineNumbers w:val="0"/>
        <w:shd w:val="clear" w:fill="FFFFFF"/>
        <w:spacing w:before="336" w:beforeAutospacing="0" w:after="168" w:afterAutospacing="0" w:line="23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spacing w:val="-2"/>
          <w:sz w:val="26"/>
          <w:szCs w:val="2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-2"/>
          <w:sz w:val="26"/>
          <w:szCs w:val="26"/>
          <w:shd w:val="clear" w:fill="FFFFFF"/>
        </w:rPr>
        <w:t>常见陷阱与最佳实践</w:t>
      </w:r>
    </w:p>
    <w:p w14:paraId="6205C8B3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1)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自调用失效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：同类内一个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@Transactional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 方法调用另一个，不经过代理 → 事务不生效。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- 解决：通过外部 Bean 调用，或注入自身代理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AopContext.currentProxy()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，或使用 AspectJ。</w:t>
      </w:r>
    </w:p>
    <w:p w14:paraId="74382767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2)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只读误解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readOnly = true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 不是强制禁止写入，只是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提示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优化。底层仍可能允许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INSERT/UPDATE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5AB6388E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3)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异常被吞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：捕获异常后未重新抛出 → 事务无法感知失败而提交。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- 解决：捕获后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转抛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运行时异常或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TransactionSystemException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18DAD76A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4)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异步方法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@Async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 新线程不在原事务上下文内。需要单独在异步方法上声明事务。</w:t>
      </w:r>
    </w:p>
    <w:p w14:paraId="5735E5FC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5)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多数据源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：指定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transactionManager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，或使用分布式事务/柔性事务（如 Saga/消息表）。</w:t>
      </w:r>
    </w:p>
    <w:p w14:paraId="664C95A7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6)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测试回滚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@Transactional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 放在测试类/方法上，默认用例执行完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自动回滚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63C4CA5C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7) 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AOP 顺序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：与日志、权限等切面叠加时，用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@Order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  <w:shd w:val="clear" w:fill="FFFFFF"/>
        </w:rPr>
        <w:t> 控制拦截顺序（事务应尽量靠里层）。</w:t>
      </w:r>
    </w:p>
    <w:p w14:paraId="73B9FFC5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06AF8EB4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8A8AF"/>
    <w:multiLevelType w:val="multilevel"/>
    <w:tmpl w:val="E738A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93A9A0B"/>
    <w:multiLevelType w:val="singleLevel"/>
    <w:tmpl w:val="593A9A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A7977"/>
    <w:rsid w:val="05E929C1"/>
    <w:rsid w:val="0A0D0BA8"/>
    <w:rsid w:val="0A1C6FCB"/>
    <w:rsid w:val="0E547045"/>
    <w:rsid w:val="11511F61"/>
    <w:rsid w:val="1B306FCE"/>
    <w:rsid w:val="1F8049DF"/>
    <w:rsid w:val="2360152A"/>
    <w:rsid w:val="2DCD1BB4"/>
    <w:rsid w:val="391A1589"/>
    <w:rsid w:val="4E0F475B"/>
    <w:rsid w:val="58676F42"/>
    <w:rsid w:val="5BE1734D"/>
    <w:rsid w:val="5DEC28A5"/>
    <w:rsid w:val="5E7A598C"/>
    <w:rsid w:val="74DA7977"/>
    <w:rsid w:val="7F572FBC"/>
    <w:rsid w:val="7FCB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character" w:styleId="7">
    <w:name w:val="HTML Code"/>
    <w:basedOn w:val="3"/>
    <w:uiPriority w:val="0"/>
    <w:rPr>
      <w:rFonts w:ascii="Courier New" w:hAnsi="Courier New"/>
      <w:sz w:val="20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2026-03-06T20:15:00Z</dcterms:created>
  <dc:creator>my dream,霓虹国で会います</dc:creator>
  <cp:lastModifiedBy>滕とう</cp:lastModifiedBy>
  <dcterms:modified xsi:type="dcterms:W3CDTF">2026-03-11T05:47:03Z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05D0C7A32FF24A5094E8400C2CB3A3C2_11</vt:lpwstr>
  </property>
  <property fmtid="{D5CDD505-2E9C-101B-9397-08002B2CF9AE}" pid="4" name="KSOTemplateDocerSaveRecord">
    <vt:lpwstr>eyJoZGlkIjoiMjJlZjAxMzRjY2I3ZGE1OWIwMjVmZmNjN2M3ZDZlOTkiLCJ1c2VySWQiOiIyNzgyMTAxNDIifQ==</vt:lpwstr>
  </property>
</Properties>
</file>