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v0.5.3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&lt;POE1 或 POE2 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&lt;POE1 或 POE2 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 游戏根目录&gt;\物价补丁\物价补丁.exe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自动模式依次检查补丁文件夹上一级、环境变量、最近有效目录、GGG 官服注册表、已安装程序、WeGame/Steam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模式还会生成“真实还原物价补丁.zip”，POE1 和 POE2 分别在游戏根目录的 .poe1-price-patch 与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WeGame：POE1 写入 data/simplified chinese/baseitemtypes.datc64，POE2 写入 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POE1 在 GUI 选择自动识别、汉化补丁、简中、繁中或跟随配置；POE2 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物价补丁.exe：统一 GUI 入口；可选择更新或还原、POE1 或 POE2、自动识别或手动路径。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模式的恢复包；POE1 和 POE2 的持久副本分别位于 &lt;游戏根目录&gt;\.poe1-price-patch 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缺少价格：可能是当前数据源暂无该物品，或名称无法匹配本地表。POE1 安装第三方汉化补丁时，请把显示语言设为自动识别或汉化补丁；低匹配会保留未命中的旧价格，数据源完全不可用时保留当前补丁。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