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3.bin" ContentType="application/vnd.openxmlformats-officedocument.oleObject"/>
  <Override PartName="/word/embeddings/oleObject12.bin" ContentType="application/vnd.openxmlformats-officedocument.oleObject"/>
  <Override PartName="/word/embeddings/oleObject11.bin" ContentType="application/vnd.openxmlformats-officedocument.oleObject"/>
  <Override PartName="/word/embeddings/oleObject16.bin" ContentType="application/vnd.openxmlformats-officedocument.oleObject"/>
  <Override PartName="/word/embeddings/oleObject3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14.bin" ContentType="application/vnd.openxmlformats-officedocument.oleObject"/>
  <Override PartName="/word/embeddings/oleObject1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media/image13.wmf" ContentType="image/x-wmf"/>
  <Override PartName="/word/media/image9.wmf" ContentType="image/x-wmf"/>
  <Override PartName="/word/media/image5.jpeg" ContentType="image/jpeg"/>
  <Override PartName="/word/media/image14.wmf" ContentType="image/x-wmf"/>
  <Override PartName="/word/media/image15.wmf" ContentType="image/x-wmf"/>
  <Override PartName="/word/media/image6.wmf" ContentType="image/x-wmf"/>
  <Override PartName="/word/media/image10.wmf" ContentType="image/x-wmf"/>
  <Override PartName="/word/media/image1.wmf" ContentType="image/x-wmf"/>
  <Override PartName="/word/media/image4.jpeg" ContentType="image/jpeg"/>
  <Override PartName="/word/media/image16.wmf" ContentType="image/x-wmf"/>
  <Override PartName="/word/media/image7.wmf" ContentType="image/x-wmf"/>
  <Override PartName="/word/media/image11.wmf" ContentType="image/x-wmf"/>
  <Override PartName="/word/media/image2.wmf" ContentType="image/x-wmf"/>
  <Override PartName="/word/media/image8.wmf" ContentType="image/x-wmf"/>
  <Override PartName="/word/media/image12.wmf" ContentType="image/x-wmf"/>
  <Override PartName="/word/media/image3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100036371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23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4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  <w:lang w:eastAsia="zh-CN"/>
        </w:rPr>
      </w:pPr>
      <w:r>
        <w:rPr>
          <w:rFonts w:eastAsia="黑体" w:cs="宋体" w:ascii="黑体" w:hAnsi="黑体"/>
          <w:b/>
          <w:sz w:val="32"/>
          <w:szCs w:val="32"/>
        </w:rPr>
        <w:t>20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21</w:t>
      </w:r>
      <w:r>
        <w:rPr>
          <w:rFonts w:ascii="黑体" w:hAnsi="黑体" w:cs="宋体" w:eastAsia="黑体"/>
          <w:b/>
          <w:sz w:val="32"/>
          <w:szCs w:val="32"/>
        </w:rPr>
        <w:t>级工业工程专业设计与制造基础Ⅲ终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  <w:r>
        <w:rPr>
          <w:rFonts w:eastAsia="黑体" w:ascii="黑体" w:hAnsi="黑体"/>
          <w:b/>
          <w:bCs/>
          <w:sz w:val="32"/>
          <w:szCs w:val="32"/>
          <w:lang w:val="en-US" w:eastAsia="zh-CN"/>
        </w:rPr>
        <w:t>B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1"/>
      <w:bookmarkStart w:id="1" w:name="OLE_LINK2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  <w:lang w:val="en-US" w:eastAsia="zh-CN"/>
        </w:rPr>
        <w:t xml:space="preserve">    </w:t>
      </w:r>
      <w:r>
        <w:rPr>
          <w:rFonts w:eastAsia="Times New Roman"/>
          <w:sz w:val="28"/>
          <w:u w:val="single"/>
        </w:rPr>
        <w:t xml:space="preserve">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b/>
          <w:bCs/>
          <w:sz w:val="24"/>
        </w:rPr>
      </w:pPr>
      <w:r>
        <w:rPr>
          <w:b/>
          <w:bCs/>
          <w:sz w:val="24"/>
        </w:rPr>
        <w:t>解释下列工艺学名词：（每题</w:t>
      </w:r>
      <w:r>
        <w:rPr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分，共</w:t>
      </w:r>
      <w:r>
        <w:rPr>
          <w:b/>
          <w:bCs/>
          <w:sz w:val="24"/>
          <w:lang w:val="en-US" w:eastAsia="zh-CN"/>
        </w:rPr>
        <w:t>20</w:t>
      </w:r>
      <w:r>
        <w:rPr>
          <w:b/>
          <w:bCs/>
          <w:sz w:val="24"/>
        </w:rPr>
        <w:t>分）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color w:val="000000"/>
          <w:sz w:val="24"/>
        </w:rPr>
      </w:pPr>
      <w:r>
        <w:rPr>
          <w:rFonts w:ascii="Times New Roman" w:hAnsi="Times New Roman" w:cs="Times New Roman"/>
          <w:sz w:val="24"/>
          <w:lang w:val="en-US" w:eastAsia="zh-CN"/>
        </w:rPr>
        <w:t>工序、工位、工步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425" w:end="0"/>
        <w:jc w:val="both"/>
        <w:textAlignment w:val="auto"/>
        <w:rPr>
          <w:rStyle w:val="Style13"/>
          <w:rFonts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Style w:val="Style13"/>
          <w:rFonts w:ascii="仿宋" w:hAnsi="仿宋" w:cs="仿宋" w:eastAsia="仿宋"/>
          <w:b/>
          <w:bCs/>
          <w:sz w:val="21"/>
          <w:szCs w:val="21"/>
          <w:lang w:val="en-US" w:eastAsia="zh-CN"/>
        </w:rPr>
        <w:t>工序：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一个（或同时加工的一组）工件，在一个工作地，由一个（或相互协作的多个）工人所连续完成的工艺过程。</w:t>
      </w:r>
      <w:r>
        <w:rPr>
          <w:rStyle w:val="Style13"/>
          <w:rFonts w:ascii="仿宋" w:hAnsi="仿宋" w:cs="仿宋" w:eastAsia="仿宋"/>
          <w:b/>
          <w:bCs/>
          <w:sz w:val="21"/>
          <w:szCs w:val="21"/>
          <w:lang w:val="en-US" w:eastAsia="zh-CN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Style w:val="Style13"/>
          <w:rFonts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Style w:val="Style13"/>
          <w:rFonts w:ascii="仿宋" w:hAnsi="仿宋" w:cs="仿宋" w:eastAsia="仿宋"/>
          <w:b/>
          <w:bCs/>
          <w:sz w:val="21"/>
          <w:szCs w:val="21"/>
          <w:lang w:val="en-US" w:eastAsia="zh-CN"/>
        </w:rPr>
        <w:t>工位：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在工件的一次安装中，通过分度装置，使工件相对于机床床身变换加工位置，则把每一个加工位置上的安装内装内容称为工位。</w:t>
      </w:r>
      <w:r>
        <w:rPr>
          <w:rStyle w:val="Style13"/>
          <w:rFonts w:ascii="仿宋" w:hAnsi="仿宋" w:cs="仿宋" w:eastAsia="仿宋"/>
          <w:b/>
          <w:bCs/>
          <w:sz w:val="21"/>
          <w:szCs w:val="21"/>
          <w:lang w:val="en-US" w:eastAsia="zh-CN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Style w:val="Style13"/>
          <w:rFonts w:ascii="黑体" w:hAnsi="黑体" w:eastAsia="黑体" w:cs="黑体"/>
          <w:b/>
          <w:bCs/>
          <w:sz w:val="24"/>
          <w:szCs w:val="22"/>
          <w:lang w:val="en-US" w:eastAsia="zh-CN"/>
        </w:rPr>
      </w:pPr>
      <w:r>
        <w:rPr>
          <w:rStyle w:val="Style13"/>
          <w:rFonts w:ascii="仿宋" w:hAnsi="仿宋" w:cs="仿宋" w:eastAsia="仿宋"/>
          <w:b/>
          <w:bCs/>
          <w:sz w:val="21"/>
          <w:szCs w:val="21"/>
          <w:lang w:val="en-US" w:eastAsia="zh-CN"/>
        </w:rPr>
        <w:t>工步：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加工表面，切削刀具，切削速度和进给量都不变的情况下所完成的工位内容。</w:t>
      </w:r>
      <w:r>
        <w:rPr>
          <w:rStyle w:val="Style13"/>
          <w:rFonts w:ascii="黑体" w:hAnsi="黑体" w:cs="黑体" w:eastAsia="黑体"/>
          <w:b/>
          <w:bCs/>
          <w:sz w:val="24"/>
          <w:szCs w:val="22"/>
          <w:lang w:val="en-US" w:eastAsia="zh-CN"/>
        </w:rPr>
        <w:t xml:space="preserve">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color w:val="000000"/>
          <w:sz w:val="24"/>
        </w:rPr>
      </w:pPr>
      <w:r>
        <w:rPr>
          <w:rFonts w:eastAsia="黑体" w:cs="黑体" w:ascii="黑体" w:hAnsi="黑体"/>
          <w:lang w:val="en-US" w:eastAsia="zh-CN"/>
        </w:rPr>
        <w:t xml:space="preserve"> </w:t>
      </w:r>
      <w:r>
        <w:rPr>
          <w:rFonts w:ascii="宋体" w:hAnsi="宋体"/>
          <w:sz w:val="24"/>
        </w:rPr>
        <w:t>生产纲领</w:t>
      </w:r>
      <w:r>
        <w:rPr>
          <w:rFonts w:ascii="宋体" w:hAnsi="宋体"/>
          <w:sz w:val="24"/>
          <w:lang w:val="en-US" w:eastAsia="zh-CN"/>
        </w:rPr>
        <w:t>及计算式</w:t>
      </w:r>
      <w:r>
        <w:rPr>
          <w:sz w:val="24"/>
          <w:lang w:eastAsia="zh-CN"/>
        </w:rPr>
        <w:t>：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是指企业在计划期内应生产的产品产量和进度计划，多数以年计，零件的生产纲领还包括一定的备品和废品数量，</w:t>
      </w:r>
      <w:r>
        <w:rPr>
          <w:rFonts w:eastAsia="黑体" w:cs="黑体" w:ascii="黑体" w:hAnsi="黑体"/>
          <w:lang w:val="en-US" w:eastAsia="zh-CN"/>
        </w:rPr>
        <w:t>N=n(1+α)(1+β</w:t>
      </w:r>
      <w:r>
        <w:rPr>
          <w:rFonts w:ascii="黑体" w:hAnsi="黑体" w:cs="黑体" w:eastAsia="黑体"/>
          <w:lang w:val="en-US" w:eastAsia="zh-CN"/>
        </w:rPr>
        <w:t>）</w:t>
      </w:r>
      <w:r>
        <w:rPr>
          <w:rFonts w:eastAsia="黑体" w:cs="黑体" w:ascii="黑体" w:hAnsi="黑体"/>
          <w:lang w:val="en-US" w:eastAsia="zh-CN"/>
        </w:rPr>
        <w:t>Q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。</w:t>
      </w:r>
      <w:r>
        <w:rPr>
          <w:rFonts w:eastAsia="Times New Roman"/>
          <w:color w:val="000000"/>
          <w:sz w:val="24"/>
        </w:rPr>
        <w:t xml:space="preserve">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自激振动：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是指在没有外界周期变化信号的作用时，系统内产生的具有固定频率和振幅的稳定周期运动。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</w:rPr>
      </w:pPr>
      <w:r>
        <w:rPr>
          <w:sz w:val="24"/>
          <w:lang w:val="en-US" w:eastAsia="zh-CN"/>
        </w:rPr>
        <w:t>加工误差：</w:t>
      </w:r>
      <w:r>
        <w:rPr/>
        <w:t>零件尺寸、位置、形状的实际值与理论值的差异程度，分为系统误差和随机误差。九大误差因素</w:t>
      </w:r>
      <w:r>
        <w:rPr>
          <w:rFonts w:eastAsia="Times New Roman"/>
        </w:rPr>
        <w:t xml:space="preserve">    </w:t>
      </w:r>
      <w:r>
        <w:rPr/>
        <w:t>1.</w:t>
      </w:r>
      <w:r>
        <w:rPr/>
        <w:t>原理（理论）</w:t>
      </w:r>
      <w:r>
        <w:rPr>
          <w:rFonts w:eastAsia="Times New Roman"/>
        </w:rPr>
        <w:t xml:space="preserve"> </w:t>
      </w:r>
      <w:r>
        <w:rPr/>
        <w:t>2.</w:t>
      </w:r>
      <w:r>
        <w:rPr/>
        <w:t>机床、夹具和刀具的制造，机床、夹具的磨损</w:t>
      </w:r>
      <w:r>
        <w:rPr>
          <w:rFonts w:eastAsia="Times New Roman"/>
        </w:rPr>
        <w:t xml:space="preserve"> </w:t>
      </w:r>
      <w:r>
        <w:rPr/>
        <w:t>3.</w:t>
      </w:r>
      <w:r>
        <w:rPr/>
        <w:t>调整（对刀）</w:t>
      </w:r>
      <w:r>
        <w:rPr>
          <w:rFonts w:eastAsia="Times New Roman"/>
        </w:rPr>
        <w:t xml:space="preserve"> </w:t>
      </w:r>
      <w:r>
        <w:rPr/>
        <w:t>4.</w:t>
      </w:r>
      <w:r>
        <w:rPr/>
        <w:t>安装</w:t>
      </w:r>
      <w:r>
        <w:rPr>
          <w:rFonts w:eastAsia="Times New Roman"/>
        </w:rPr>
        <w:t xml:space="preserve"> </w:t>
      </w:r>
      <w:r>
        <w:rPr/>
        <w:t>5.</w:t>
      </w:r>
      <w:r>
        <w:rPr/>
        <w:t>切削加工中的力</w:t>
      </w:r>
      <w:r>
        <w:rPr>
          <w:rFonts w:eastAsia="Times New Roman"/>
        </w:rPr>
        <w:t xml:space="preserve"> </w:t>
      </w:r>
      <w:r>
        <w:rPr/>
        <w:t>6.</w:t>
      </w:r>
      <w:r>
        <w:rPr/>
        <w:t>切削加工中的热</w:t>
      </w:r>
      <w:r>
        <w:rPr>
          <w:rFonts w:eastAsia="Times New Roman"/>
        </w:rPr>
        <w:t xml:space="preserve"> </w:t>
      </w:r>
      <w:r>
        <w:rPr/>
        <w:t>7.</w:t>
      </w:r>
      <w:r>
        <w:rPr/>
        <w:t>刀具磨损</w:t>
      </w:r>
      <w:r>
        <w:rPr>
          <w:rFonts w:eastAsia="Times New Roman"/>
        </w:rPr>
        <w:t xml:space="preserve"> </w:t>
      </w:r>
      <w:r>
        <w:rPr/>
        <w:t>8.</w:t>
      </w:r>
      <w:r>
        <w:rPr/>
        <w:t>残余应力变形</w:t>
      </w:r>
      <w:r>
        <w:rPr>
          <w:rFonts w:eastAsia="Times New Roman"/>
        </w:rPr>
        <w:t xml:space="preserve"> </w:t>
      </w:r>
      <w:r>
        <w:rPr/>
        <w:t>9.</w:t>
      </w:r>
      <w:r>
        <w:rPr/>
        <w:t>测量</w:t>
      </w:r>
      <w:r>
        <w:rPr>
          <w:sz w:val="24"/>
          <w:lang w:eastAsia="zh-CN"/>
        </w:rPr>
        <w:t>。</w:t>
      </w:r>
      <w:r>
        <w:rPr>
          <w:rFonts w:eastAsia="Times New Roman"/>
          <w:sz w:val="24"/>
        </w:rPr>
        <w:t xml:space="preserve">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选择装配法：</w:t>
      </w:r>
      <w:r>
        <w:rPr/>
        <w:t>将尺寸链中组成环的公差放大到经济可行的程度，然后选择合适的零件进行装配，以保证装配精度的要求。</w:t>
      </w:r>
      <w:r>
        <w:rPr>
          <w:lang w:val="en-US" w:eastAsia="zh-CN"/>
        </w:rPr>
        <w:t>包括：</w:t>
      </w:r>
      <w:r>
        <w:rPr/>
        <w:t>直接选配法</w:t>
      </w:r>
      <w:r>
        <w:rPr>
          <w:lang w:eastAsia="zh-CN"/>
        </w:rPr>
        <w:t>、</w:t>
      </w:r>
      <w:r>
        <w:rPr/>
        <w:t>分组选配法</w:t>
      </w:r>
      <w:r>
        <w:rPr>
          <w:lang w:eastAsia="zh-CN"/>
        </w:rPr>
        <w:t>、</w:t>
      </w:r>
      <w:r>
        <w:rPr/>
        <w:t>复合选配法</w:t>
      </w:r>
      <w:r>
        <w:rPr>
          <w:lang w:eastAsia="zh-CN"/>
        </w:rPr>
        <w:t>。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b/>
          <w:bCs/>
          <w:sz w:val="24"/>
        </w:rPr>
      </w:pPr>
      <w:r>
        <w:rPr>
          <w:b/>
          <w:bCs/>
          <w:sz w:val="24"/>
          <w:lang w:val="en-US" w:eastAsia="zh-CN"/>
        </w:rPr>
        <w:t>二</w:t>
      </w:r>
      <w:r>
        <w:rPr>
          <w:b/>
          <w:bCs/>
          <w:sz w:val="24"/>
        </w:rPr>
        <w:t>．简述题（</w:t>
      </w:r>
      <w:r>
        <w:rPr>
          <w:b/>
          <w:bCs/>
          <w:sz w:val="24"/>
          <w:lang w:val="en-US" w:eastAsia="zh-CN"/>
        </w:rPr>
        <w:t>40</w:t>
      </w:r>
      <w:r>
        <w:rPr>
          <w:b/>
          <w:bCs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6.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分）什么是“工艺基准”？简述工艺基准的选择原则</w:t>
      </w:r>
      <w:r>
        <w:rPr>
          <w:rFonts w:ascii="宋体" w:hAnsi="宋体"/>
          <w:sz w:val="24"/>
          <w:lang w:val="en-US" w:eastAsia="zh-CN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>工艺基准：在工艺基准的选择原则，由工艺设计人员决定。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b/>
          <w:bCs/>
          <w:sz w:val="21"/>
          <w:szCs w:val="21"/>
          <w:lang w:val="en-US" w:eastAsia="zh-CN"/>
        </w:rPr>
        <w:t>工艺基准的选择原则</w:t>
      </w:r>
      <w:r>
        <w:rPr>
          <w:rFonts w:ascii="仿宋" w:hAnsi="仿宋" w:cs="仿宋" w:eastAsia="仿宋"/>
          <w:sz w:val="21"/>
          <w:szCs w:val="21"/>
          <w:lang w:val="en-US" w:eastAsia="zh-CN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 xml:space="preserve">工序基准尽可能与设计基准重合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 xml:space="preserve">工序基准尽可能与定位基准重合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 xml:space="preserve">工序基准尽可能与测量基准重合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 xml:space="preserve">定位基准应方便安装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 xml:space="preserve">定位基准应使工件稳定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仿宋" w:hAnsi="仿宋" w:cs="仿宋" w:eastAsia="仿宋"/>
          <w:sz w:val="21"/>
          <w:szCs w:val="21"/>
          <w:lang w:val="en-US" w:eastAsia="zh-CN"/>
        </w:rPr>
        <w:t>测量基准应使测量简单工艺过程中所用到的基准。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hanging="5" w:start="425" w:end="0"/>
        <w:jc w:val="both"/>
        <w:textAlignment w:val="auto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eastAsia="仿宋" w:cs="仿宋" w:ascii="仿宋" w:hAnsi="仿宋"/>
          <w:sz w:val="21"/>
          <w:szCs w:val="21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7.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  <w:lang w:val="en-US" w:eastAsia="zh-CN"/>
        </w:rPr>
        <w:t>机械加工可划分为哪些加工阶段？简述加工阶段划分的意义</w:t>
      </w:r>
      <w:r>
        <w:rPr>
          <w:sz w:val="24"/>
        </w:rPr>
        <w:t>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sz w:val="21"/>
          <w:szCs w:val="21"/>
        </w:rPr>
        <w:t>加工阶段的划分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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粗加工阶段——主要任务是去除加工面多余的材料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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半精加工阶段——使加工面达到一定的加工精度，为精加工作好准备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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精加工阶段——使加工面精度和表面粗糙度达到要求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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光整加工阶段——对于特别精密的零件，安排此阶段，以确保零件的精度要求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sz w:val="21"/>
          <w:szCs w:val="21"/>
        </w:rPr>
        <w:t>加工阶段划分的意义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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有利于保证零件的加工精度；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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有利于设备的合理使用和精密机床的精度保持；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cs="宋体" w:ascii="宋体" w:hAnsi="宋体"/>
          <w:sz w:val="21"/>
          <w:szCs w:val="21"/>
        </w:rPr>
        <w:t></w:t>
      </w: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有利于人员的合理安排；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sz w:val="21"/>
          <w:szCs w:val="21"/>
        </w:rPr>
      </w:pPr>
      <w:r>
        <w:rPr>
          <w:rFonts w:eastAsia="Times New Roman"/>
          <w:sz w:val="21"/>
          <w:szCs w:val="21"/>
        </w:rPr>
        <w:t xml:space="preserve"> </w:t>
      </w:r>
      <w:r>
        <w:rPr>
          <w:sz w:val="21"/>
          <w:szCs w:val="21"/>
        </w:rPr>
        <w:t>可及早发现毛坯缺陷，以减少损失。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eastAsia="宋体" w:cs="Times New Roman"/>
          <w:sz w:val="21"/>
          <w:szCs w:val="21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Times New Roman" w:hAnsi="Times New Roman" w:eastAsia="宋体" w:cs="Times New Roman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8.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Times New Roman" w:hAnsi="Times New Roman" w:cs="Times New Roman"/>
          <w:sz w:val="24"/>
          <w:lang w:val="en-US" w:eastAsia="zh-CN"/>
        </w:rPr>
        <w:t>什么是主轴回转误差？简述提高</w:t>
      </w:r>
      <w:r>
        <w:rPr>
          <w:sz w:val="24"/>
          <w:lang w:val="en-US" w:eastAsia="zh-CN"/>
        </w:rPr>
        <w:t>回转精度的措施</w:t>
      </w:r>
      <w:r>
        <w:rPr>
          <w:sz w:val="24"/>
        </w:rPr>
        <w:t>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宋体" w:ascii="宋体" w:hAnsi="宋体"/>
          <w:sz w:val="21"/>
          <w:szCs w:val="21"/>
        </w:rPr>
        <w:t></w:t>
      </w:r>
      <w:r>
        <w:rPr>
          <w:rFonts w:ascii="Times New Roman" w:hAnsi="Times New Roman" w:cs="Times New Roman"/>
          <w:sz w:val="21"/>
          <w:szCs w:val="21"/>
        </w:rPr>
        <w:t>主轴回转误差是指主轴实际回转线对其理想回转轴线的漂移。为便于研究，可将主轴回转误差分解为径向圆跳动、轴向窜动动和倾角摆动三种基本型式。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rFonts w:ascii="Times New Roman" w:hAnsi="Times New Roman" w:eastAsia="宋体" w:cs="Times New Roman"/>
          <w:i/>
          <w:i/>
          <w:iCs/>
          <w:sz w:val="21"/>
          <w:szCs w:val="21"/>
          <w:lang w:val="en-US" w:eastAsia="zh-CN"/>
        </w:rPr>
      </w:pPr>
      <w:r>
        <w:rPr>
          <w:rFonts w:eastAsia="宋体" w:cs="宋体" w:ascii="宋体" w:hAnsi="宋体"/>
          <w:i/>
          <w:iCs/>
          <w:sz w:val="21"/>
          <w:szCs w:val="21"/>
          <w:lang w:val="en-US" w:eastAsia="zh-CN"/>
        </w:rPr>
        <w:t>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影响主轴回转精度的主要因素：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rFonts w:ascii="Times New Roman" w:hAnsi="Times New Roman" w:eastAsia="宋体" w:cs="Times New Roman"/>
          <w:i/>
          <w:i/>
          <w:iCs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（</w:t>
      </w:r>
      <w:r>
        <w:rPr>
          <w:rFonts w:eastAsia="宋体" w:cs="Times New Roman"/>
          <w:i/>
          <w:iCs/>
          <w:sz w:val="21"/>
          <w:szCs w:val="21"/>
          <w:lang w:val="en-US" w:eastAsia="zh-CN"/>
        </w:rPr>
        <w:t>1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）轴承的误差（</w:t>
      </w:r>
      <w:r>
        <w:rPr>
          <w:rFonts w:eastAsia="宋体" w:cs="Times New Roman"/>
          <w:i/>
          <w:iCs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）轴承间隙（</w:t>
      </w:r>
      <w:r>
        <w:rPr>
          <w:rFonts w:eastAsia="宋体" w:cs="Times New Roman"/>
          <w:i/>
          <w:iCs/>
          <w:sz w:val="21"/>
          <w:szCs w:val="21"/>
          <w:lang w:val="en-US" w:eastAsia="zh-CN"/>
        </w:rPr>
        <w:t>3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）与轴系配合的零件误差（</w:t>
      </w:r>
      <w:r>
        <w:rPr>
          <w:rFonts w:eastAsia="宋体" w:cs="Times New Roman"/>
          <w:i/>
          <w:iCs/>
          <w:sz w:val="21"/>
          <w:szCs w:val="21"/>
          <w:lang w:val="en-US" w:eastAsia="zh-CN"/>
        </w:rPr>
        <w:t>4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）主轴转速（</w:t>
      </w:r>
      <w:r>
        <w:rPr>
          <w:rFonts w:eastAsia="宋体" w:cs="Times New Roman"/>
          <w:i/>
          <w:iCs/>
          <w:sz w:val="21"/>
          <w:szCs w:val="21"/>
          <w:lang w:val="en-US" w:eastAsia="zh-CN"/>
        </w:rPr>
        <w:t>5</w:t>
      </w:r>
      <w:r>
        <w:rPr>
          <w:rFonts w:ascii="Times New Roman" w:hAnsi="Times New Roman" w:cs="Times New Roman"/>
          <w:i/>
          <w:iCs/>
          <w:sz w:val="21"/>
          <w:szCs w:val="21"/>
          <w:lang w:val="en-US" w:eastAsia="zh-CN"/>
        </w:rPr>
        <w:t>）主轴系统的径向不等刚度和热变形等。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rFonts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eastAsia="宋体" w:cs="宋体" w:ascii="宋体" w:hAnsi="宋体"/>
          <w:sz w:val="21"/>
          <w:szCs w:val="21"/>
          <w:lang w:val="en-US" w:eastAsia="zh-CN"/>
        </w:rPr>
        <w:t></w:t>
      </w:r>
      <w:r>
        <w:rPr>
          <w:rFonts w:ascii="Times New Roman" w:hAnsi="Times New Roman" w:cs="Times New Roman"/>
          <w:sz w:val="21"/>
          <w:szCs w:val="21"/>
          <w:lang w:val="en-US" w:eastAsia="zh-CN"/>
        </w:rPr>
        <w:t>提高回转精度的措施：</w:t>
      </w:r>
    </w:p>
    <w:p>
      <w:pPr>
        <w:pStyle w:val="Normal"/>
        <w:numPr>
          <w:ilvl w:val="0"/>
          <w:numId w:val="4"/>
        </w:numPr>
        <w:tabs>
          <w:tab w:val="clear" w:pos="425"/>
          <w:tab w:val="left" w:pos="930" w:leader="none"/>
        </w:tabs>
        <w:jc w:val="start"/>
        <w:rPr>
          <w:rFonts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sz w:val="21"/>
          <w:szCs w:val="21"/>
          <w:lang w:val="en-US" w:eastAsia="zh-CN"/>
        </w:rPr>
        <w:t>提高主轴部件制造精度（</w:t>
      </w:r>
      <w:r>
        <w:rPr>
          <w:rFonts w:eastAsia="宋体" w:cs="Times New Roman"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/>
          <w:sz w:val="21"/>
          <w:szCs w:val="21"/>
          <w:lang w:val="en-US" w:eastAsia="zh-CN"/>
        </w:rPr>
        <w:t>）对滚动轴承进行预紧（</w:t>
      </w:r>
      <w:r>
        <w:rPr>
          <w:rFonts w:eastAsia="宋体" w:cs="Times New Roman"/>
          <w:sz w:val="21"/>
          <w:szCs w:val="21"/>
          <w:lang w:val="en-US" w:eastAsia="zh-CN"/>
        </w:rPr>
        <w:t>3</w:t>
      </w:r>
      <w:r>
        <w:rPr>
          <w:rFonts w:ascii="Times New Roman" w:hAnsi="Times New Roman" w:cs="Times New Roman"/>
          <w:sz w:val="21"/>
          <w:szCs w:val="21"/>
          <w:lang w:val="en-US" w:eastAsia="zh-CN"/>
        </w:rPr>
        <w:t>）使主轴回转精度不反映到工件上。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930" w:leader="none"/>
        </w:tabs>
        <w:ind w:hanging="0" w:start="0"/>
        <w:jc w:val="start"/>
        <w:rPr>
          <w:rFonts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eastAsia="宋体" w:cs="Times New Roman"/>
          <w:sz w:val="21"/>
          <w:szCs w:val="21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9.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</w:rPr>
        <w:t>冷作硬化</w:t>
      </w:r>
      <w:r>
        <w:rPr>
          <w:sz w:val="24"/>
          <w:lang w:val="en-US" w:eastAsia="zh-CN"/>
        </w:rPr>
        <w:t>产生原因以及对</w:t>
      </w:r>
      <w:r>
        <w:rPr>
          <w:rFonts w:ascii="宋体" w:hAnsi="宋体"/>
          <w:sz w:val="24"/>
          <w:lang w:val="en-US" w:eastAsia="zh-CN"/>
        </w:rPr>
        <w:t>耐疲劳性的影响</w:t>
      </w:r>
      <w:r>
        <w:rPr>
          <w:sz w:val="24"/>
        </w:rPr>
        <w:t>。</w:t>
      </w:r>
    </w:p>
    <w:p>
      <w:pPr>
        <w:pStyle w:val="Normal"/>
        <w:ind w:start="630" w:end="0"/>
        <w:rPr>
          <w:rFonts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机械加工时，工件表面层金属受到切削力的作用产生强烈的塑性变形，使晶格扭曲，晶粒间产生剪切滑移，晶粒被拉长、纤维化甚至碎化，从而使表面层的强度和硬度增加，这种现象称为加工硬化，又称冷作硬化和强化。</w:t>
      </w:r>
    </w:p>
    <w:p>
      <w:pPr>
        <w:pStyle w:val="Normal"/>
        <w:ind w:start="630" w:end="0"/>
        <w:rPr>
          <w:rFonts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适度的表面层冷作硬化能阻止疲劳裂纹生长并产生表面压应力，提高零件的疲劳强度。</w:t>
      </w:r>
    </w:p>
    <w:p>
      <w:pPr>
        <w:pStyle w:val="Normal"/>
        <w:ind w:start="630" w:end="0"/>
        <w:rPr>
          <w:rFonts w:ascii="Times New Roman" w:hAnsi="Times New Roman" w:eastAsia="宋体" w:cs="Times New Roman"/>
          <w:lang w:val="en-US" w:eastAsia="zh-CN"/>
        </w:rPr>
      </w:pPr>
      <w:r>
        <w:rPr>
          <w:rFonts w:eastAsia="宋体" w:cs="Times New Roman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三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分析</w:t>
      </w:r>
      <w:r>
        <w:rPr>
          <w:rFonts w:ascii="宋体" w:hAnsi="宋体"/>
          <w:sz w:val="24"/>
          <w:lang w:val="en-US" w:eastAsia="zh-CN"/>
        </w:rPr>
        <w:t>计算</w:t>
      </w:r>
      <w:r>
        <w:rPr>
          <w:rFonts w:ascii="宋体" w:hAnsi="宋体"/>
          <w:sz w:val="24"/>
        </w:rPr>
        <w:t>题（</w:t>
      </w:r>
      <w:r>
        <w:rPr>
          <w:rFonts w:ascii="宋体" w:hAnsi="宋体"/>
          <w:sz w:val="24"/>
          <w:lang w:val="en-US" w:eastAsia="zh-CN"/>
        </w:rPr>
        <w:t>4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/>
          <w:sz w:val="24"/>
          <w:lang w:val="en-US" w:eastAsia="zh-CN"/>
        </w:rPr>
        <w:t>10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  <w:lang w:val="en-US" w:eastAsia="zh-CN"/>
        </w:rPr>
        <w:t>0</w:t>
      </w:r>
      <w:r>
        <w:rPr>
          <w:sz w:val="24"/>
        </w:rPr>
        <w:t>分）</w:t>
      </w:r>
      <w:r>
        <w:rPr>
          <w:rFonts w:ascii="宋体" w:hAnsi="宋体" w:cs="Times New Roman"/>
          <w:sz w:val="24"/>
        </w:rPr>
        <w:t>加工题</w:t>
      </w:r>
      <w:r>
        <w:rPr>
          <w:rFonts w:eastAsia="宋体" w:cs="Times New Roman" w:ascii="宋体" w:hAnsi="宋体"/>
          <w:sz w:val="24"/>
          <w:lang w:val="en-US" w:eastAsia="zh-CN"/>
        </w:rPr>
        <w:t>10</w:t>
      </w:r>
      <w:r>
        <w:rPr>
          <w:rFonts w:ascii="宋体" w:hAnsi="宋体" w:cs="Times New Roman"/>
          <w:sz w:val="24"/>
        </w:rPr>
        <w:t>图所示零件的台阶面，试分析：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 w:cs="Times New Roman"/>
          <w:sz w:val="24"/>
        </w:rPr>
        <w:t>（</w:t>
      </w:r>
      <w:r>
        <w:rPr>
          <w:rFonts w:eastAsia="宋体" w:cs="Times New Roman" w:ascii="宋体" w:hAnsi="宋体"/>
          <w:sz w:val="24"/>
        </w:rPr>
        <w:t>1</w:t>
      </w:r>
      <w:r>
        <w:rPr>
          <w:rFonts w:ascii="宋体" w:hAnsi="宋体" w:cs="Times New Roman"/>
          <w:sz w:val="24"/>
        </w:rPr>
        <w:t>）工序要求必须限制的自由度；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 w:cs="Times New Roman"/>
          <w:sz w:val="24"/>
        </w:rPr>
        <w:t>（</w:t>
      </w:r>
      <w:r>
        <w:rPr>
          <w:rFonts w:eastAsia="宋体" w:cs="Times New Roman" w:ascii="宋体" w:hAnsi="宋体"/>
          <w:sz w:val="24"/>
        </w:rPr>
        <w:t>2</w:t>
      </w:r>
      <w:r>
        <w:rPr>
          <w:rFonts w:ascii="宋体" w:hAnsi="宋体" w:cs="Times New Roman"/>
          <w:sz w:val="24"/>
        </w:rPr>
        <w:t>）设计定位方案，选择定位件；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  <w:lang w:val="en-US" w:eastAsia="zh-CN"/>
        </w:rPr>
      </w:pPr>
      <w:r>
        <w:rPr>
          <w:rFonts w:ascii="宋体" w:hAnsi="宋体" w:cs="Times New Roman"/>
          <w:sz w:val="24"/>
        </w:rPr>
        <w:t>（</w:t>
      </w:r>
      <w:r>
        <w:rPr>
          <w:rFonts w:eastAsia="宋体" w:cs="Times New Roman" w:ascii="宋体" w:hAnsi="宋体"/>
          <w:sz w:val="24"/>
        </w:rPr>
        <w:t>3</w:t>
      </w:r>
      <w:r>
        <w:rPr>
          <w:rFonts w:ascii="宋体" w:hAnsi="宋体" w:cs="Times New Roman"/>
          <w:sz w:val="24"/>
        </w:rPr>
        <w:t>）指出各定位件所限制的自由度。</w:t>
      </w:r>
    </w:p>
    <w:p>
      <w:pPr>
        <w:pStyle w:val="Normal"/>
        <w:jc w:val="center"/>
        <w:rPr/>
      </w:pPr>
      <w:r>
        <w:rPr/>
        <w:object w:dxaOrig="10315" w:dyaOrig="5249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93.25pt;height:149.65pt" filled="f" o:ole="">
            <v:imagedata r:id="rId3" o:title=""/>
          </v:shape>
          <o:OLEObject Type="Embed" ProgID="" ShapeID="ole_rId2" DrawAspect="Content" ObjectID="_2034612053" r:id="rId2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center"/>
        <w:textAlignment w:val="bottom"/>
        <w:rPr/>
      </w:pPr>
      <w:r>
        <w:rPr/>
        <w:t>题</w:t>
      </w:r>
      <w:r>
        <w:rPr>
          <w:lang w:val="en-US" w:eastAsia="zh-CN"/>
        </w:rPr>
        <w:t>10</w:t>
      </w:r>
      <w:r>
        <w:rPr/>
        <w:t>图</w:t>
      </w:r>
    </w:p>
    <w:p>
      <w:pPr>
        <w:pStyle w:val="Normal"/>
        <w:snapToGrid w:val="false"/>
        <w:spacing w:lineRule="exact" w:line="400"/>
        <w:ind w:hanging="474" w:start="921" w:end="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rFonts w:cs="宋体"/>
        </w:rPr>
        <w:t>必须</w:t>
      </w:r>
      <w:r>
        <w:rPr>
          <w:szCs w:val="21"/>
        </w:rPr>
        <w:t>限制</w:t>
      </w:r>
      <w:r>
        <w:rPr/>
        <w:object w:dxaOrig="200" w:dyaOrig="319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0pt;height:15.95pt" filled="f" o:ole="">
            <v:imagedata r:id="rId5" o:title=""/>
          </v:shape>
          <o:OLEObject Type="Embed" ProgID="" ShapeID="ole_rId4" DrawAspect="Content" ObjectID="_1868318671" r:id="rId4"/>
        </w:object>
      </w:r>
      <w:r>
        <w:rPr/>
        <w:t>、</w:t>
      </w:r>
      <w:r>
        <w:rPr/>
        <w:object w:dxaOrig="200" w:dyaOrig="259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0pt;height:12.95pt" filled="f" o:ole="">
            <v:imagedata r:id="rId7" o:title=""/>
          </v:shape>
          <o:OLEObject Type="Embed" ProgID="" ShapeID="ole_rId6" DrawAspect="Content" ObjectID="_1386365857" r:id="rId6"/>
        </w:object>
      </w:r>
      <w:r>
        <w:rPr/>
        <w:t>、</w:t>
      </w:r>
      <w:r>
        <w:rPr/>
        <w:drawing>
          <wp:inline distT="0" distB="0" distL="0" distR="0">
            <wp:extent cx="75565" cy="208915"/>
            <wp:effectExtent l="0" t="0" r="0" b="0"/>
            <wp:docPr id="1" name="图片 7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72" t="-172" r="-472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、</w:t>
      </w:r>
      <w:r>
        <w:rPr/>
        <w:drawing>
          <wp:inline distT="0" distB="0" distL="0" distR="0">
            <wp:extent cx="77470" cy="212090"/>
            <wp:effectExtent l="0" t="0" r="0" b="0"/>
            <wp:docPr id="2" name="图片 7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5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63" t="-170" r="-463" b="-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position w:val="-6"/>
        </w:rPr>
        <w:t xml:space="preserve"> </w:t>
      </w:r>
      <w:r>
        <w:rPr>
          <w:szCs w:val="21"/>
        </w:rPr>
        <w:t>4</w:t>
      </w:r>
      <w:r>
        <w:rPr>
          <w:szCs w:val="21"/>
        </w:rPr>
        <w:t>个自由度；（</w:t>
      </w:r>
      <w:r>
        <w:rPr>
          <w:szCs w:val="21"/>
        </w:rPr>
        <w:t>3</w:t>
      </w:r>
      <w:r>
        <w:rPr>
          <w:szCs w:val="21"/>
        </w:rPr>
        <w:t>分）</w:t>
      </w:r>
    </w:p>
    <w:p>
      <w:pPr>
        <w:pStyle w:val="Normal"/>
        <w:snapToGrid w:val="false"/>
        <w:spacing w:lineRule="exact" w:line="400"/>
        <w:ind w:hanging="474" w:start="1209" w:end="0"/>
        <w:rPr>
          <w:rFonts w:cs="宋体"/>
        </w:rPr>
      </w:pPr>
      <w:r>
        <w:rPr>
          <w:rFonts w:cs="宋体"/>
        </w:rPr>
        <w:t>（</w:t>
      </w:r>
      <w:r>
        <w:rPr>
          <w:rFonts w:cs="宋体"/>
        </w:rPr>
        <w:t>2</w:t>
      </w:r>
      <w:r>
        <w:rPr>
          <w:rFonts w:cs="宋体"/>
        </w:rPr>
        <w:t>）定位方案：以台阶下端面、小直径外圆为定位基准，选择支承板和短</w:t>
      </w:r>
      <w:r>
        <w:rPr>
          <w:rFonts w:cs="宋体"/>
        </w:rPr>
        <w:t>V</w:t>
      </w:r>
      <w:r>
        <w:rPr>
          <w:rFonts w:cs="宋体"/>
        </w:rPr>
        <w:t>形块作为定位元件；（</w:t>
      </w:r>
      <w:r>
        <w:rPr>
          <w:rFonts w:cs="宋体"/>
        </w:rPr>
        <w:t>3</w:t>
      </w:r>
      <w:r>
        <w:rPr>
          <w:rFonts w:cs="宋体"/>
        </w:rPr>
        <w:t>分）</w:t>
      </w:r>
    </w:p>
    <w:p>
      <w:pPr>
        <w:pStyle w:val="Normal"/>
        <w:tabs>
          <w:tab w:val="clear" w:pos="425"/>
          <w:tab w:val="left" w:pos="780" w:leader="none"/>
          <w:tab w:val="left" w:pos="2310" w:leader="none"/>
          <w:tab w:val="left" w:pos="4200" w:leader="none"/>
          <w:tab w:val="left" w:pos="6090" w:leader="none"/>
        </w:tabs>
        <w:snapToGrid w:val="false"/>
        <w:spacing w:lineRule="exact" w:line="400"/>
        <w:ind w:firstLine="315" w:start="420" w:end="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）支承板限制</w:t>
      </w:r>
      <w:r>
        <w:rPr/>
        <w:object w:dxaOrig="200" w:dyaOrig="259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0pt;height:12.95pt" filled="f" o:ole="">
            <v:imagedata r:id="rId11" o:title=""/>
          </v:shape>
          <o:OLEObject Type="Embed" ProgID="" ShapeID="ole_rId10" DrawAspect="Content" ObjectID="_537144388" r:id="rId10"/>
        </w:object>
      </w:r>
      <w:r>
        <w:rPr/>
        <w:t>、</w:t>
      </w:r>
      <w:r>
        <w:rPr/>
        <w:drawing>
          <wp:inline distT="0" distB="0" distL="0" distR="0">
            <wp:extent cx="75565" cy="208915"/>
            <wp:effectExtent l="0" t="0" r="0" b="0"/>
            <wp:docPr id="3" name="图片 7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7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472" t="-172" r="-472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、</w:t>
      </w:r>
      <w:r>
        <w:rPr/>
        <w:drawing>
          <wp:inline distT="0" distB="0" distL="0" distR="0">
            <wp:extent cx="77470" cy="212090"/>
            <wp:effectExtent l="0" t="0" r="0" b="0"/>
            <wp:docPr id="4" name="图片 7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8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463" t="-170" r="-463" b="-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 xml:space="preserve"> </w:t>
      </w:r>
      <w:r>
        <w:rPr>
          <w:szCs w:val="21"/>
        </w:rPr>
        <w:t>3</w:t>
      </w:r>
      <w:r>
        <w:rPr>
          <w:szCs w:val="21"/>
        </w:rPr>
        <w:t>个自由度，短</w:t>
      </w:r>
      <w:r>
        <w:rPr>
          <w:szCs w:val="21"/>
        </w:rPr>
        <w:t>V</w:t>
      </w:r>
      <w:r>
        <w:rPr>
          <w:szCs w:val="21"/>
        </w:rPr>
        <w:t>形块限制</w:t>
      </w:r>
      <w:r>
        <w:rPr/>
        <w:object w:dxaOrig="200" w:dyaOrig="279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0pt;height:13.9pt" filled="f" o:ole="">
            <v:imagedata r:id="rId15" o:title=""/>
          </v:shape>
          <o:OLEObject Type="Embed" ProgID="" ShapeID="ole_rId14" DrawAspect="Content" ObjectID="_1875046834" r:id="rId14"/>
        </w:object>
      </w:r>
      <w:r>
        <w:rPr/>
        <w:t>、</w:t>
      </w:r>
      <w:r>
        <w:rPr/>
        <w:object w:dxaOrig="200" w:dyaOrig="319"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10pt;height:15.95pt" filled="f" o:ole="">
            <v:imagedata r:id="rId17" o:title=""/>
          </v:shape>
          <o:OLEObject Type="Embed" ProgID="" ShapeID="ole_rId16" DrawAspect="Content" ObjectID="_296730491" r:id="rId16"/>
        </w:object>
      </w:r>
      <w:r>
        <w:rPr/>
        <w:t>。（</w:t>
      </w:r>
      <w:r>
        <w:rPr/>
        <w:t>4</w:t>
      </w:r>
      <w:r>
        <w:rPr/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both"/>
        <w:textAlignment w:val="bottom"/>
        <w:rPr>
          <w:szCs w:val="21"/>
        </w:rPr>
      </w:pPr>
      <w:r>
        <w:rPr>
          <w:szCs w:val="21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sz w:val="24"/>
          <w:lang w:val="en-US" w:eastAsia="zh-CN"/>
        </w:rPr>
        <w:t>11.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  <w:lang w:val="en-US" w:eastAsia="zh-CN"/>
        </w:rPr>
        <w:t>0</w:t>
      </w:r>
      <w:r>
        <w:rPr>
          <w:rFonts w:ascii="宋体" w:hAnsi="宋体"/>
          <w:sz w:val="24"/>
        </w:rPr>
        <w:t>分）车削一批轴的外圆，其尺寸要求为</w:t>
      </w:r>
      <w:r>
        <w:rPr>
          <w:rFonts w:ascii="宋体" w:hAnsi="宋体"/>
          <w:sz w:val="24"/>
        </w:rPr>
        <w:t>Φ</w:t>
      </w:r>
      <w:r>
        <w:rPr>
          <w:rFonts w:ascii="宋体" w:hAnsi="宋体"/>
          <w:sz w:val="24"/>
        </w:rPr>
        <w:object w:dxaOrig="899" w:dyaOrig="379"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44.95pt;height:19pt" filled="f" o:ole="">
            <v:imagedata r:id="rId19" o:title=""/>
          </v:shape>
          <o:OLEObject Type="Embed" ProgID="" ShapeID="ole_rId18" DrawAspect="Content" ObjectID="_1365286964" r:id="rId18"/>
        </w:object>
      </w:r>
      <w:r>
        <w:rPr>
          <w:rFonts w:ascii="宋体" w:hAnsi="宋体"/>
          <w:sz w:val="24"/>
        </w:rPr>
        <w:t>，若此工序尺寸按正态分布，均方差</w:t>
      </w:r>
      <w:r>
        <w:rPr>
          <w:rFonts w:ascii="宋体" w:hAnsi="宋体"/>
          <w:sz w:val="24"/>
        </w:rPr>
        <w:t>σ=0.025mm</w:t>
      </w:r>
      <w:r>
        <w:rPr>
          <w:rFonts w:ascii="宋体" w:hAnsi="宋体"/>
          <w:sz w:val="24"/>
        </w:rPr>
        <w:t>，公差带中心大于分布曲线中心，其偏移量</w:t>
      </w:r>
      <w:r>
        <w:rPr>
          <w:rFonts w:ascii="宋体" w:hAnsi="宋体"/>
          <w:sz w:val="24"/>
        </w:rPr>
        <w:t>e=0.0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mm</w:t>
      </w:r>
      <w:r>
        <w:rPr>
          <w:rFonts w:ascii="宋体" w:hAnsi="宋体"/>
          <w:sz w:val="24"/>
        </w:rPr>
        <w:t>。试指出该批工件的常值系统性误差及随机误差多大？并计算合格品率及不合格品率各是多少？</w:t>
      </w:r>
      <w:r>
        <w:rPr>
          <w:rFonts w:ascii="宋体" w:hAnsi="宋体"/>
          <w:sz w:val="24"/>
          <w:lang w:val="en-US" w:eastAsia="zh-CN"/>
        </w:rPr>
        <w:t>多少能够</w:t>
      </w:r>
      <w:r>
        <w:rPr>
          <w:rFonts w:ascii="宋体" w:hAnsi="宋体"/>
          <w:sz w:val="24"/>
        </w:rPr>
        <w:t>修复？</w:t>
      </w:r>
    </w:p>
    <w:p>
      <w:pPr>
        <w:pStyle w:val="Normal"/>
        <w:spacing w:lineRule="atLeast" w:line="360"/>
        <w:ind w:firstLine="21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正态分布</w:t>
      </w:r>
      <w:r>
        <w:rPr>
          <w:rFonts w:cs="宋体" w:ascii="宋体" w:hAnsi="宋体"/>
          <w:szCs w:val="21"/>
        </w:rPr>
        <w:t>Z-F(z)</w:t>
      </w:r>
      <w:r>
        <w:rPr>
          <w:rFonts w:ascii="宋体" w:hAnsi="宋体" w:cs="宋体"/>
          <w:szCs w:val="21"/>
        </w:rPr>
        <w:t>值表</w:t>
      </w:r>
    </w:p>
    <w:tbl>
      <w:tblPr>
        <w:tblW w:w="9102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6"/>
        <w:gridCol w:w="846"/>
        <w:gridCol w:w="846"/>
        <w:gridCol w:w="846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15.87%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13.57%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11.51%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9.68%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8.08%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6.68%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5.48%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4.46%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3.59%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2.87%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</w:tr>
      <w:tr>
        <w:trPr>
          <w:trHeight w:val="101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1.79%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1.39%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0.82%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0.62%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0.47%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0.35%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0.26%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</w:tr>
      <w:tr>
        <w:trPr>
          <w:trHeight w:val="184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4.0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0.10%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0.03%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</w:tr>
    </w:tbl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spacing w:lineRule="exact" w:line="400"/>
        <w:ind w:hanging="456" w:start="399" w:end="0"/>
        <w:rPr/>
      </w:pPr>
      <w:r>
        <w:rPr>
          <w:sz w:val="24"/>
          <w:lang w:val="en-US" w:eastAsia="zh-CN"/>
        </w:rPr>
        <w:t>12</w:t>
      </w:r>
      <w:r>
        <w:rPr>
          <w:sz w:val="24"/>
        </w:rPr>
        <w:t>.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  <w:lang w:val="en-US" w:eastAsia="zh-CN"/>
        </w:rPr>
        <w:t>20</w:t>
      </w:r>
      <w:r>
        <w:rPr>
          <w:rFonts w:ascii="宋体" w:hAnsi="宋体"/>
          <w:sz w:val="24"/>
        </w:rPr>
        <w:t>分）</w:t>
      </w:r>
      <w:r>
        <w:rPr/>
        <w:t>如题</w:t>
      </w:r>
      <w:r>
        <w:rPr>
          <w:lang w:val="en-US" w:eastAsia="zh-CN"/>
        </w:rPr>
        <w:t>12</w:t>
      </w:r>
      <w:r>
        <w:rPr/>
        <w:t>图所示零件图，零件长度</w:t>
      </w:r>
      <w:r>
        <w:rPr/>
        <w:object w:dxaOrig="639" w:dyaOrig="379"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31.95pt;height:19pt" filled="f" o:ole="">
            <v:imagedata r:id="rId21" o:title=""/>
          </v:shape>
          <o:OLEObject Type="Embed" ProgID="" ShapeID="ole_rId20" DrawAspect="Content" ObjectID="_139048600" r:id="rId20"/>
        </w:object>
      </w:r>
      <w:r>
        <w:rPr/>
        <w:t>mm</w:t>
      </w:r>
      <w:r>
        <w:rPr/>
        <w:t>和台阶长度</w:t>
      </w:r>
      <w:r>
        <w:rPr/>
        <w:object w:dxaOrig="938" w:dyaOrig="279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46.95pt;height:13.95pt" filled="f" o:ole="">
            <v:imagedata r:id="rId23" o:title=""/>
          </v:shape>
          <o:OLEObject Type="Embed" ProgID="" ShapeID="ole_rId22" DrawAspect="Content" ObjectID="_909956784" r:id="rId22"/>
        </w:object>
      </w:r>
      <w:r>
        <w:rPr/>
        <w:t>mm</w:t>
      </w:r>
      <w:r>
        <w:rPr/>
        <w:t>已加工完成，在加工孔时，尺寸</w:t>
      </w:r>
      <w:r>
        <w:rPr/>
        <w:object w:dxaOrig="679" w:dyaOrig="279"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34pt;height:13.95pt" filled="f" o:ole="">
            <v:imagedata r:id="rId25" o:title=""/>
          </v:shape>
          <o:OLEObject Type="Embed" ProgID="" ShapeID="ole_rId24" DrawAspect="Content" ObjectID="_948042441" r:id="rId24"/>
        </w:object>
      </w:r>
      <w:r>
        <w:rPr/>
        <w:t>mm</w:t>
      </w:r>
      <w:r>
        <w:rPr/>
        <w:t>不便测量，实际生产中一般通过测量尺寸</w:t>
      </w:r>
      <w:r>
        <w:rPr/>
        <w:t>L</w:t>
      </w:r>
      <w:r>
        <w:rPr/>
        <w:t>作间接测量。试分析计算</w:t>
      </w:r>
      <w:r>
        <w:rPr/>
        <w:t>L</w:t>
      </w:r>
      <w:r>
        <w:rPr/>
        <w:t>及偏差。</w:t>
      </w:r>
    </w:p>
    <w:p>
      <w:pPr>
        <w:pStyle w:val="Normal"/>
        <w:jc w:val="center"/>
        <w:rPr/>
      </w:pPr>
      <w:r>
        <w:rPr/>
        <w:object w:dxaOrig="7193" w:dyaOrig="5631">
          <v:shapetype id="_x0000_tole_rId26" coordsize="21600,21600" o:spt="ole_rId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81.7pt;height:141.75pt" filled="f" o:ole="">
            <v:imagedata r:id="rId27" o:title=""/>
          </v:shape>
          <o:OLEObject Type="Embed" ProgID="" ShapeID="ole_rId26" DrawAspect="Content" ObjectID="_1085279767" r:id="rId26"/>
        </w:object>
      </w:r>
    </w:p>
    <w:p>
      <w:pPr>
        <w:pStyle w:val="Normal"/>
        <w:spacing w:lineRule="auto" w:line="240"/>
        <w:jc w:val="center"/>
        <w:rPr/>
      </w:pPr>
      <w:r>
        <w:rPr/>
        <w:t>题</w:t>
      </w:r>
      <w:r>
        <w:rPr>
          <w:lang w:val="en-US" w:eastAsia="zh-CN"/>
        </w:rPr>
        <w:t>12</w:t>
      </w:r>
      <w:r>
        <w:rPr/>
        <w:t>图</w:t>
      </w:r>
    </w:p>
    <w:p>
      <w:pPr>
        <w:pStyle w:val="Normal"/>
        <w:spacing w:lineRule="auto" w:line="360"/>
        <w:ind w:start="420" w:end="0"/>
        <w:rPr/>
      </w:pPr>
      <w:r>
        <w:rPr/>
        <w:t>建立尺寸链如答</w:t>
      </w:r>
      <w:r>
        <w:rPr/>
        <w:t>33</w:t>
      </w:r>
      <w:r>
        <w:rPr/>
        <w:t>图所示：（</w:t>
      </w:r>
      <w:r>
        <w:rPr>
          <w:lang w:val="en-US" w:eastAsia="zh-CN"/>
        </w:rPr>
        <w:t>4</w:t>
      </w:r>
      <w:r>
        <w:rPr/>
        <w:t>分）</w:t>
      </w:r>
    </w:p>
    <w:p>
      <w:pPr>
        <w:pStyle w:val="Normal"/>
        <w:spacing w:lineRule="auto" w:line="360"/>
        <w:ind w:firstLine="840" w:end="0"/>
        <w:rPr/>
      </w:pPr>
      <w:r>
        <w:object w:dxaOrig="3568" w:dyaOrig="2098">
          <v:shapetype id="_x0000_tole_rId28" coordsize="21600,21600" o:spt="ole_rId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position:absolute;margin-left:223.6pt;margin-top:20.75pt;width:168.45pt;height:99.65pt;mso-wrap-distance-left:9.05pt;mso-wrap-distance-right:9.05pt;mso-position-horizontal-relative:text;mso-position-vertical-relative:text" filled="f" o:ole="">
            <v:imagedata r:id="rId29" o:title=""/>
          </v:shape>
          <o:OLEObject Type="Embed" ProgID="" ShapeID="ole_rId28" DrawAspect="Content" ObjectID="_1302188798" r:id="rId28"/>
        </w:object>
      </w:r>
      <w:r>
        <w:rPr/>
        <w:t>封闭环为：</w:t>
      </w:r>
      <w:r>
        <w:rPr/>
        <w:object w:dxaOrig="679" w:dyaOrig="279">
          <v:shapetype id="_x0000_tole_rId30" coordsize="21600,21600" o:spt="ole_rId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34pt;height:13.95pt" filled="f" o:ole="">
            <v:imagedata r:id="rId31" o:title=""/>
          </v:shape>
          <o:OLEObject Type="Embed" ProgID="" ShapeID="ole_rId30" DrawAspect="Content" ObjectID="_259450028" r:id="rId30"/>
        </w:object>
      </w:r>
      <w:r>
        <w:rPr/>
        <w:t>（</w:t>
      </w:r>
      <w:r>
        <w:rPr/>
        <w:t>2</w:t>
      </w:r>
      <w:r>
        <w:rPr/>
        <w:t>分）</w:t>
      </w:r>
    </w:p>
    <w:p>
      <w:pPr>
        <w:pStyle w:val="Normal"/>
        <w:spacing w:lineRule="auto" w:line="360"/>
        <w:ind w:firstLine="840" w:end="0"/>
        <w:rPr/>
      </w:pPr>
      <w:r>
        <w:rPr>
          <w:szCs w:val="21"/>
        </w:rPr>
        <w:t>增环：</w:t>
      </w:r>
      <w:r>
        <w:rPr>
          <w:szCs w:val="21"/>
        </w:rPr>
        <w:object w:dxaOrig="838" w:dyaOrig="260">
          <v:shapetype id="_x0000_tole_rId32" coordsize="21600,21600" o:spt="ole_rId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44.8pt;height:13.5pt" filled="f" o:ole="">
            <v:imagedata r:id="rId33" o:title=""/>
          </v:shape>
          <o:OLEObject Type="Embed" ProgID="" ShapeID="ole_rId32" DrawAspect="Content" ObjectID="_1236544198" r:id="rId32"/>
        </w:object>
      </w:r>
      <w:r>
        <w:rPr>
          <w:szCs w:val="21"/>
        </w:rPr>
        <w:t>，</w:t>
      </w:r>
      <w:r>
        <w:rPr>
          <w:szCs w:val="21"/>
        </w:rPr>
        <w:t>L</w:t>
      </w:r>
      <w:r>
        <w:rPr>
          <w:szCs w:val="21"/>
        </w:rPr>
        <w:t>（</w:t>
      </w:r>
      <w:r>
        <w:rPr>
          <w:lang w:val="en-US" w:eastAsia="zh-CN"/>
        </w:rPr>
        <w:t>2</w:t>
      </w:r>
      <w:r>
        <w:rPr/>
        <w:t>分）</w:t>
      </w:r>
    </w:p>
    <w:p>
      <w:pPr>
        <w:pStyle w:val="Normal"/>
        <w:spacing w:lineRule="auto" w:line="360"/>
        <w:ind w:firstLine="840" w:end="0"/>
        <w:rPr/>
      </w:pPr>
      <w:r>
        <w:rPr>
          <w:szCs w:val="21"/>
        </w:rPr>
        <w:t>减环：</w:t>
      </w:r>
      <w:r>
        <w:rPr>
          <w:szCs w:val="21"/>
        </w:rPr>
        <w:object w:dxaOrig="559" w:dyaOrig="339">
          <v:shapetype id="_x0000_tole_rId34" coordsize="21600,21600" o:spt="ole_rId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29.85pt;height:17.65pt" filled="f" o:ole="">
            <v:imagedata r:id="rId35" o:title=""/>
          </v:shape>
          <o:OLEObject Type="Embed" ProgID="" ShapeID="ole_rId34" DrawAspect="Content" ObjectID="_868571371" r:id="rId34"/>
        </w:object>
      </w:r>
      <w:r>
        <w:rPr/>
        <w:t>（</w:t>
      </w:r>
      <w:r>
        <w:rPr>
          <w:lang w:val="en-US" w:eastAsia="zh-CN"/>
        </w:rPr>
        <w:t>2</w:t>
      </w:r>
      <w:r>
        <w:rPr/>
        <w:t>分）</w:t>
      </w:r>
    </w:p>
    <w:p>
      <w:pPr>
        <w:pStyle w:val="Normal"/>
        <w:spacing w:lineRule="auto" w:line="360"/>
        <w:ind w:firstLine="840" w:end="0"/>
        <w:rPr/>
      </w:pPr>
      <w:r>
        <w:rPr/>
        <w:t>根据尺寸链的基本计算公式</w:t>
      </w:r>
    </w:p>
    <w:p>
      <w:pPr>
        <w:pStyle w:val="Normal"/>
        <w:spacing w:lineRule="auto" w:line="360"/>
        <w:ind w:firstLine="840" w:end="0"/>
        <w:rPr/>
      </w:pPr>
      <w:r>
        <w:rPr/>
        <w:t>（</w:t>
      </w:r>
      <w:r>
        <w:rPr>
          <w:lang w:val="en-US" w:eastAsia="zh-CN"/>
        </w:rPr>
        <w:t>基本尺寸，上下偏差</w:t>
      </w:r>
      <w:r>
        <w:rPr>
          <w:lang w:val="en-US" w:eastAsia="zh-CN"/>
        </w:rPr>
        <w:t>2+2+2</w:t>
      </w:r>
      <w:r>
        <w:rPr/>
        <w:t>分）</w:t>
      </w:r>
    </w:p>
    <w:p>
      <w:pPr>
        <w:pStyle w:val="Normal"/>
        <w:spacing w:lineRule="auto" w:line="240"/>
        <w:jc w:val="both"/>
        <w:rPr/>
      </w:pPr>
      <w:r>
        <w:rPr>
          <w:szCs w:val="21"/>
        </w:rPr>
        <w:t>求得：</w:t>
      </w:r>
      <w:r>
        <w:rPr>
          <w:szCs w:val="21"/>
        </w:rPr>
        <w:t>L=</w:t>
      </w:r>
      <w:r>
        <w:rPr>
          <w:szCs w:val="21"/>
        </w:rPr>
        <w:object w:dxaOrig="1519" w:dyaOrig="379">
          <v:shapetype id="_x0000_tole_rId36" coordsize="21600,21600" o:spt="ole_rId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81.25pt;height:19.65pt" filled="f" o:ole="">
            <v:imagedata r:id="rId37" o:title=""/>
          </v:shape>
          <o:OLEObject Type="Embed" ProgID="" ShapeID="ole_rId36" DrawAspect="Content" ObjectID="_1473240307" r:id="rId36"/>
        </w:object>
      </w:r>
      <w:r>
        <w:rPr/>
        <w:t>（</w:t>
      </w:r>
      <w:r>
        <w:rPr>
          <w:lang w:val="en-US" w:eastAsia="zh-CN"/>
        </w:rPr>
        <w:t>2</w:t>
      </w:r>
      <w:r>
        <w:rPr/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</w:r>
    </w:p>
    <w:sectPr>
      <w:footerReference w:type="default" r:id="rId38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华文中宋">
    <w:charset w:val="86"/>
    <w:family w:val="auto"/>
    <w:pitch w:val="default"/>
  </w:font>
  <w:font w:name="黑体">
    <w:charset w:val="86"/>
    <w:family w:val="auto"/>
    <w:pitch w:val="default"/>
  </w:font>
  <w:font w:name="仿宋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．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4z0">
    <w:name w:val="WW8Num4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解释 Char"/>
    <w:qFormat/>
    <w:rPr>
      <w:rFonts w:eastAsia="宋体"/>
      <w:sz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5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Style19">
    <w:name w:val="解释"/>
    <w:basedOn w:val="Normal"/>
    <w:next w:val="Normal"/>
    <w:qFormat/>
    <w:pPr/>
    <w:rPr>
      <w:rFonts w:eastAsia="宋体"/>
      <w:sz w:val="21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华文中宋" w:hAnsi="华文中宋" w:eastAsia="华文中宋" w:cs="华文中宋"/>
      <w:color w:val="000000"/>
      <w:kern w:val="0"/>
      <w:sz w:val="24"/>
      <w:szCs w:val="24"/>
      <w:lang w:val="en-US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oleObject" Target="embeddings/oleObject4.bin"/><Relationship Id="rId11" Type="http://schemas.openxmlformats.org/officeDocument/2006/relationships/image" Target="media/image6.wmf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oleObject" Target="embeddings/oleObject5.bin"/><Relationship Id="rId15" Type="http://schemas.openxmlformats.org/officeDocument/2006/relationships/image" Target="media/image7.wmf"/><Relationship Id="rId16" Type="http://schemas.openxmlformats.org/officeDocument/2006/relationships/oleObject" Target="embeddings/oleObject6.bin"/><Relationship Id="rId17" Type="http://schemas.openxmlformats.org/officeDocument/2006/relationships/image" Target="media/image2.wmf"/><Relationship Id="rId18" Type="http://schemas.openxmlformats.org/officeDocument/2006/relationships/oleObject" Target="embeddings/oleObject7.bin"/><Relationship Id="rId19" Type="http://schemas.openxmlformats.org/officeDocument/2006/relationships/image" Target="media/image8.wmf"/><Relationship Id="rId20" Type="http://schemas.openxmlformats.org/officeDocument/2006/relationships/oleObject" Target="embeddings/oleObject8.bin"/><Relationship Id="rId21" Type="http://schemas.openxmlformats.org/officeDocument/2006/relationships/image" Target="media/image9.wmf"/><Relationship Id="rId22" Type="http://schemas.openxmlformats.org/officeDocument/2006/relationships/oleObject" Target="embeddings/oleObject9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1" Type="http://schemas.openxmlformats.org/officeDocument/2006/relationships/image" Target="media/image11.wmf"/><Relationship Id="rId32" Type="http://schemas.openxmlformats.org/officeDocument/2006/relationships/oleObject" Target="embeddings/oleObject14.bin"/><Relationship Id="rId33" Type="http://schemas.openxmlformats.org/officeDocument/2006/relationships/image" Target="media/image14.wmf"/><Relationship Id="rId34" Type="http://schemas.openxmlformats.org/officeDocument/2006/relationships/oleObject" Target="embeddings/oleObject15.bin"/><Relationship Id="rId35" Type="http://schemas.openxmlformats.org/officeDocument/2006/relationships/image" Target="media/image15.wmf"/><Relationship Id="rId36" Type="http://schemas.openxmlformats.org/officeDocument/2006/relationships/oleObject" Target="embeddings/oleObject16.bin"/><Relationship Id="rId37" Type="http://schemas.openxmlformats.org/officeDocument/2006/relationships/image" Target="media/image16.wmf"/><Relationship Id="rId38" Type="http://schemas.openxmlformats.org/officeDocument/2006/relationships/footer" Target="footer1.xml"/><Relationship Id="rId39" Type="http://schemas.openxmlformats.org/officeDocument/2006/relationships/numbering" Target="numbering.xml"/><Relationship Id="rId40" Type="http://schemas.openxmlformats.org/officeDocument/2006/relationships/fontTable" Target="fontTable.xml"/><Relationship Id="rId41" Type="http://schemas.openxmlformats.org/officeDocument/2006/relationships/settings" Target="settings.xml"/><Relationship Id="rId4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Jason Wayne</cp:lastModifiedBy>
  <cp:lastPrinted>2019-05-16T15:17:00Z</cp:lastPrinted>
  <dcterms:modified xsi:type="dcterms:W3CDTF">2024-06-16T03:47:06Z</dcterms:modified>
  <cp:revision>39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