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wmf" ContentType="image/x-wmf"/>
  <Override PartName="/word/media/image3.wmf" ContentType="image/x-wmf"/>
  <Override PartName="/word/media/image4.jpeg" ContentType="image/jpeg"/>
  <Override PartName="/word/embeddings/oleObject1.bin" ContentType="application/vnd.openxmlformats-officedocument.oleObject"/>
  <Override PartName="/word/embeddings/oleObject2.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10036309   </w:t>
      </w:r>
      <w:r>
        <w:rPr>
          <w:sz w:val="24"/>
        </w:rPr>
        <w:t>北京理工大学</w:t>
      </w:r>
      <w:r>
        <w:rPr>
          <w:rFonts w:eastAsia="Times New Roman"/>
          <w:sz w:val="24"/>
        </w:rPr>
        <w:t xml:space="preserve"> </w:t>
      </w:r>
      <w:r>
        <w:rPr>
          <w:sz w:val="24"/>
        </w:rPr>
        <w:t>20</w:t>
      </w:r>
      <w:r>
        <w:rPr>
          <w:sz w:val="24"/>
          <w:lang w:val="en-US" w:eastAsia="zh-CN"/>
        </w:rPr>
        <w:t>20</w:t>
      </w:r>
      <w:r>
        <w:rPr>
          <w:sz w:val="24"/>
        </w:rPr>
        <w:t>-</w:t>
      </w:r>
      <w:r>
        <w:rPr>
          <w:sz w:val="24"/>
        </w:rPr>
        <w:t xml:space="preserve"> 202</w:t>
      </w:r>
      <w:r>
        <w:rPr>
          <w:sz w:val="24"/>
          <w:lang w:val="en-US" w:eastAsia="zh-CN"/>
        </w:rPr>
        <w:t>1</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rPr>
      </w:pPr>
      <w:r>
        <w:rPr>
          <w:rFonts w:eastAsia="黑体" w:cs="宋体" w:ascii="黑体" w:hAnsi="黑体"/>
          <w:b/>
          <w:sz w:val="32"/>
          <w:szCs w:val="32"/>
        </w:rPr>
        <w:t>201</w:t>
      </w:r>
      <w:r>
        <w:rPr>
          <w:rFonts w:eastAsia="黑体" w:cs="宋体" w:ascii="黑体" w:hAnsi="黑体"/>
          <w:b/>
          <w:sz w:val="32"/>
          <w:szCs w:val="32"/>
          <w:lang w:val="en-US" w:eastAsia="zh-CN"/>
        </w:rPr>
        <w:t>9</w:t>
      </w:r>
      <w:r>
        <w:rPr>
          <w:rFonts w:ascii="黑体" w:hAnsi="黑体" w:cs="宋体" w:eastAsia="黑体"/>
          <w:b/>
          <w:sz w:val="32"/>
          <w:szCs w:val="32"/>
        </w:rPr>
        <w:t>级工业工程专业机械制造工程学</w:t>
      </w:r>
      <w:r>
        <w:rPr>
          <w:rFonts w:eastAsia="黑体" w:cs="宋体" w:ascii="黑体" w:hAnsi="黑体"/>
          <w:b/>
          <w:sz w:val="32"/>
          <w:szCs w:val="32"/>
        </w:rPr>
        <w:t>B</w:t>
      </w:r>
      <w:r>
        <w:rPr>
          <w:rFonts w:ascii="黑体" w:hAnsi="黑体" w:cs="宋体" w:eastAsia="黑体"/>
          <w:b/>
          <w:sz w:val="32"/>
          <w:szCs w:val="32"/>
        </w:rPr>
        <w:t>终</w:t>
      </w:r>
      <w:r>
        <w:rPr>
          <w:rFonts w:ascii="黑体" w:hAnsi="黑体" w:eastAsia="黑体"/>
          <w:b/>
          <w:bCs/>
          <w:sz w:val="32"/>
          <w:szCs w:val="32"/>
        </w:rPr>
        <w:t>考试题</w:t>
      </w:r>
      <w:r>
        <w:rPr>
          <w:rFonts w:eastAsia="黑体" w:ascii="黑体" w:hAnsi="黑体"/>
          <w:b/>
          <w:bCs/>
          <w:sz w:val="32"/>
          <w:szCs w:val="32"/>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1"/>
      <w:bookmarkStart w:id="1" w:name="OLE_LINK2"/>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Normal"/>
        <w:numPr>
          <w:ilvl w:val="0"/>
          <w:numId w:val="2"/>
        </w:numPr>
        <w:spacing w:lineRule="auto" w:line="360" w:before="240" w:after="0"/>
        <w:jc w:val="start"/>
        <w:rPr>
          <w:sz w:val="24"/>
        </w:rPr>
      </w:pPr>
      <w:r>
        <w:rPr>
          <w:sz w:val="24"/>
        </w:rPr>
        <w:t>解释下列工艺学名词：（每题</w:t>
      </w:r>
      <w:r>
        <w:rPr>
          <w:sz w:val="24"/>
          <w:lang w:val="en-US" w:eastAsia="zh-CN"/>
        </w:rPr>
        <w:t>4</w:t>
      </w:r>
      <w:r>
        <w:rPr>
          <w:sz w:val="24"/>
        </w:rPr>
        <w:t>分，共</w:t>
      </w:r>
      <w:r>
        <w:rPr>
          <w:sz w:val="24"/>
          <w:lang w:val="en-US" w:eastAsia="zh-CN"/>
        </w:rPr>
        <w:t>20</w:t>
      </w:r>
      <w:r>
        <w:rPr>
          <w:sz w:val="24"/>
        </w:rPr>
        <w:t>分）</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机械加工工艺过程</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rFonts w:cs="宋体"/>
        </w:rPr>
        <w:t>用切削加工的方法，直接改变工件几何形状及表面机械物理性能的过程。简称“工艺过程”。</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工序、工步、工位</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工序：一个（或同时加工的一组）工件，在一个工作地，由一个（或相互协作的多个）工人所连续完成的工艺过程。</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加工工具不变的条件下，所连续完成的那一部分工序内容称为工步。</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工件相对于机床的每一个位置所完成的那部分工序，称一个工位。</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过定位</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工件的一个或几个自由度被不同的定位元件重复限制的定位称为过定位。</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机械加工精度</w:t>
      </w:r>
    </w:p>
    <w:p>
      <w:pPr>
        <w:pStyle w:val="Normal"/>
        <w:numPr>
          <w:ilvl w:val="0"/>
          <w:numId w:val="0"/>
        </w:numPr>
        <w:tabs>
          <w:tab w:val="clear" w:pos="425"/>
          <w:tab w:val="left" w:pos="1800" w:leader="none"/>
        </w:tabs>
        <w:spacing w:lineRule="auto" w:line="480" w:before="0" w:after="120"/>
        <w:ind w:hanging="0" w:start="0"/>
        <w:jc w:val="start"/>
        <w:rPr>
          <w:sz w:val="24"/>
          <w:lang w:val="en-US" w:eastAsia="zh-CN"/>
        </w:rPr>
      </w:pPr>
      <w:r>
        <w:rPr>
          <w:sz w:val="24"/>
          <w:lang w:val="en-US" w:eastAsia="zh-CN"/>
        </w:rPr>
        <w:t>机械加工精度是指零件加工后的实际几何参数（尺寸、形状和位置）与理想几何参数相符合的程度。</w:t>
      </w:r>
    </w:p>
    <w:p>
      <w:pPr>
        <w:pStyle w:val="Normal"/>
        <w:numPr>
          <w:ilvl w:val="0"/>
          <w:numId w:val="4"/>
        </w:numPr>
        <w:tabs>
          <w:tab w:val="clear" w:pos="425"/>
          <w:tab w:val="left" w:pos="1800" w:leader="none"/>
        </w:tabs>
        <w:spacing w:lineRule="auto" w:line="480" w:before="0" w:after="120"/>
        <w:ind w:firstLine="480" w:start="0" w:end="0"/>
        <w:jc w:val="start"/>
        <w:rPr>
          <w:sz w:val="24"/>
          <w:lang w:val="en-US" w:eastAsia="zh-CN"/>
        </w:rPr>
      </w:pPr>
      <w:r>
        <w:rPr>
          <w:sz w:val="24"/>
          <w:lang w:val="en-US" w:eastAsia="zh-CN"/>
        </w:rPr>
        <w:t>总装</w:t>
      </w:r>
    </w:p>
    <w:p>
      <w:pPr>
        <w:pStyle w:val="Normal"/>
        <w:widowControl w:val="false"/>
        <w:numPr>
          <w:ilvl w:val="0"/>
          <w:numId w:val="0"/>
        </w:numPr>
        <w:tabs>
          <w:tab w:val="clear" w:pos="425"/>
          <w:tab w:val="left" w:pos="1800" w:leader="none"/>
        </w:tabs>
        <w:spacing w:lineRule="auto" w:line="480" w:before="0" w:after="120"/>
        <w:ind w:hanging="0" w:start="0"/>
        <w:jc w:val="start"/>
        <w:textAlignment w:val="baseline"/>
        <w:rPr>
          <w:sz w:val="24"/>
          <w:lang w:val="en-US" w:eastAsia="zh-CN"/>
        </w:rPr>
      </w:pPr>
      <w:r>
        <w:rPr>
          <w:sz w:val="24"/>
          <w:lang w:val="en-US" w:eastAsia="zh-CN"/>
        </w:rPr>
        <w:t>以一个零件为基准，将若干零和部件接装配成机器（产品）的过程叫总装。</w:t>
      </w:r>
    </w:p>
    <w:p>
      <w:pPr>
        <w:pStyle w:val="Normal"/>
        <w:tabs>
          <w:tab w:val="clear" w:pos="425"/>
          <w:tab w:val="left" w:pos="1800" w:leader="none"/>
        </w:tabs>
        <w:spacing w:lineRule="auto" w:line="360" w:before="0" w:after="120"/>
        <w:jc w:val="start"/>
        <w:rPr>
          <w:sz w:val="24"/>
        </w:rPr>
      </w:pPr>
      <w:r>
        <w:rPr>
          <w:sz w:val="24"/>
          <w:lang w:val="en-US" w:eastAsia="zh-CN"/>
        </w:rPr>
        <w:t>二</w:t>
      </w:r>
      <w:r>
        <w:rPr>
          <w:sz w:val="24"/>
        </w:rPr>
        <w:t>．简述题（</w:t>
      </w:r>
      <w:r>
        <w:rPr>
          <w:sz w:val="24"/>
          <w:lang w:val="en-US" w:eastAsia="zh-CN"/>
        </w:rPr>
        <w:t>40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lang w:val="en-US" w:eastAsia="zh-CN"/>
        </w:rPr>
        <w:t>6</w:t>
      </w:r>
      <w:r>
        <w:rPr>
          <w:rFonts w:ascii="宋体" w:hAnsi="宋体"/>
          <w:sz w:val="24"/>
        </w:rPr>
        <w:t>．</w:t>
      </w:r>
      <w:r>
        <w:rPr>
          <w:sz w:val="24"/>
        </w:rPr>
        <w:t>（</w:t>
      </w:r>
      <w:r>
        <w:rPr>
          <w:sz w:val="24"/>
        </w:rPr>
        <w:t>10</w:t>
      </w:r>
      <w:r>
        <w:rPr>
          <w:sz w:val="24"/>
        </w:rPr>
        <w:t>分）什么是</w:t>
      </w:r>
      <w:r>
        <w:rPr>
          <w:sz w:val="24"/>
          <w:lang w:val="en-US" w:eastAsia="zh-CN"/>
        </w:rPr>
        <w:t>精基准</w:t>
      </w:r>
      <w:r>
        <w:rPr>
          <w:sz w:val="24"/>
        </w:rPr>
        <w:t>？简述</w:t>
      </w:r>
      <w:r>
        <w:rPr>
          <w:sz w:val="24"/>
          <w:lang w:val="en-US" w:eastAsia="zh-CN"/>
        </w:rPr>
        <w:t>精基准的选择原则</w:t>
      </w:r>
      <w:r>
        <w:rPr>
          <w:sz w:val="24"/>
          <w:lang w:eastAsia="zh-CN"/>
        </w:rPr>
        <w:t>。</w:t>
      </w:r>
      <w:r>
        <w:rPr>
          <w:rFonts w:ascii="宋体" w:hAnsi="宋体"/>
          <w:sz w:val="24"/>
          <w:szCs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用已加工过的表面所作的定位基准，这种定位基准称为精基准。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精基准原则：</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1</w:t>
      </w:r>
      <w:r>
        <w:rPr>
          <w:rFonts w:ascii="宋体" w:hAnsi="宋体"/>
          <w:sz w:val="24"/>
          <w:szCs w:val="24"/>
        </w:rPr>
        <w:t>、基准重合原则 ：应尽量选用被加工表面的设计基准作为精基准。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lang w:eastAsia="zh-CN"/>
        </w:rPr>
      </w:pPr>
      <w:r>
        <w:rPr>
          <w:rFonts w:cs="宋体" w:ascii="宋体" w:hAnsi="宋体"/>
          <w:sz w:val="24"/>
          <w:szCs w:val="24"/>
        </w:rPr>
        <w:t xml:space="preserve"> </w:t>
      </w:r>
      <w:r>
        <w:rPr>
          <w:rFonts w:ascii="宋体" w:hAnsi="宋体"/>
          <w:sz w:val="24"/>
          <w:szCs w:val="24"/>
        </w:rPr>
        <w:t>2</w:t>
      </w:r>
      <w:r>
        <w:rPr>
          <w:rFonts w:ascii="宋体" w:hAnsi="宋体"/>
          <w:sz w:val="24"/>
          <w:szCs w:val="24"/>
        </w:rPr>
        <w:t>基准统一原则：应尽可能选择同一组精基准加工工件上尽可能多的加工表面，以保证各加工表面之间的相对位置关系</w:t>
      </w:r>
      <w:r>
        <w:rPr>
          <w:rFonts w:ascii="宋体" w:hAnsi="宋体"/>
          <w:sz w:val="24"/>
          <w:szCs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lang w:eastAsia="zh-CN"/>
        </w:rPr>
      </w:pPr>
      <w:r>
        <w:rPr>
          <w:rFonts w:ascii="宋体" w:hAnsi="宋体"/>
          <w:sz w:val="24"/>
          <w:szCs w:val="24"/>
        </w:rPr>
        <w:t xml:space="preserve">3 </w:t>
      </w:r>
      <w:r>
        <w:rPr>
          <w:rFonts w:ascii="宋体" w:hAnsi="宋体"/>
          <w:sz w:val="24"/>
          <w:szCs w:val="24"/>
        </w:rPr>
        <w:t>互为基准原则：当工件上两个加工表面之间的位置精度要求比较高时，可以采用两个加工表面互为基准反复加工的方法</w:t>
      </w:r>
      <w:r>
        <w:rPr>
          <w:rFonts w:ascii="宋体" w:hAnsi="宋体"/>
          <w:sz w:val="24"/>
          <w:szCs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 xml:space="preserve">4 </w:t>
      </w:r>
      <w:r>
        <w:rPr>
          <w:rFonts w:ascii="宋体" w:hAnsi="宋体"/>
          <w:sz w:val="24"/>
          <w:szCs w:val="24"/>
        </w:rPr>
        <w:t>自为基准原则 ：一些表面的精加工工序，要求加工余量小而均匀，常以加工表面自身为精基准。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cs="宋体" w:ascii="宋体" w:hAnsi="宋体"/>
          <w:sz w:val="24"/>
          <w:szCs w:val="24"/>
        </w:rPr>
        <w:t xml:space="preserve"> </w:t>
      </w:r>
      <w:r>
        <w:rPr>
          <w:rFonts w:ascii="宋体" w:hAnsi="宋体"/>
          <w:sz w:val="24"/>
          <w:szCs w:val="24"/>
        </w:rPr>
        <w:t xml:space="preserve">5 </w:t>
      </w:r>
      <w:r>
        <w:rPr>
          <w:rFonts w:ascii="宋体" w:hAnsi="宋体"/>
          <w:sz w:val="24"/>
          <w:szCs w:val="24"/>
        </w:rPr>
        <w:t>便于装夹原则：所选择的精基准，应能保证定位准确、可靠、夹紧机构简单，操作方便。</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rFonts w:ascii="宋体" w:hAnsi="宋体"/>
          <w:sz w:val="24"/>
          <w:szCs w:val="24"/>
          <w:lang w:val="en-US" w:eastAsia="zh-CN"/>
        </w:rPr>
        <w:t>7</w:t>
      </w:r>
      <w:r>
        <w:rPr>
          <w:rFonts w:ascii="宋体" w:hAnsi="宋体"/>
          <w:sz w:val="24"/>
          <w:szCs w:val="24"/>
        </w:rPr>
        <w:t>．</w:t>
      </w:r>
      <w:r>
        <w:rPr>
          <w:sz w:val="24"/>
        </w:rPr>
        <w:t>（</w:t>
      </w:r>
      <w:r>
        <w:rPr>
          <w:sz w:val="24"/>
        </w:rPr>
        <w:t>10</w:t>
      </w:r>
      <w:r>
        <w:rPr>
          <w:sz w:val="24"/>
        </w:rPr>
        <w:t>分）</w:t>
      </w:r>
      <w:r>
        <w:rPr>
          <w:sz w:val="24"/>
          <w:lang w:val="en-US" w:eastAsia="zh-CN"/>
        </w:rPr>
        <w:t>简述工艺顺序的安排原则。</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机械加工工序先后顺序的安排，一般应遵循以下几个原则：</w:t>
      </w:r>
      <w:r>
        <w:rPr>
          <w:rFonts w:eastAsia="Times New Roman"/>
          <w:sz w:val="24"/>
          <w:lang w:val="en-US" w:eastAsia="zh-CN"/>
        </w:rPr>
        <w:t xml:space="preserve"> </w:t>
      </w:r>
      <w:r>
        <w:rPr>
          <w:sz w:val="24"/>
          <w:lang w:val="en-US" w:eastAsia="zh-CN"/>
        </w:rPr>
        <w:t>1</w:t>
      </w:r>
      <w:r>
        <w:rPr>
          <w:sz w:val="24"/>
          <w:lang w:val="en-US" w:eastAsia="zh-CN"/>
        </w:rPr>
        <w:t>）先加工定位基面，再加工其它表面；</w:t>
      </w:r>
      <w:r>
        <w:rPr>
          <w:rFonts w:eastAsia="Times New Roman"/>
          <w:sz w:val="24"/>
          <w:lang w:val="en-US" w:eastAsia="zh-CN"/>
        </w:rPr>
        <w:t xml:space="preserve"> </w:t>
      </w:r>
      <w:r>
        <w:rPr>
          <w:sz w:val="24"/>
          <w:lang w:val="en-US" w:eastAsia="zh-CN"/>
        </w:rPr>
        <w:t>2</w:t>
      </w:r>
      <w:r>
        <w:rPr>
          <w:sz w:val="24"/>
          <w:lang w:val="en-US" w:eastAsia="zh-CN"/>
        </w:rPr>
        <w:t>）先加工主要表面，后加工次要表面；</w:t>
      </w:r>
      <w:r>
        <w:rPr>
          <w:rFonts w:eastAsia="Times New Roman"/>
          <w:sz w:val="24"/>
          <w:lang w:val="en-US" w:eastAsia="zh-CN"/>
        </w:rPr>
        <w:t xml:space="preserve"> </w:t>
      </w:r>
      <w:r>
        <w:rPr>
          <w:sz w:val="24"/>
          <w:lang w:val="en-US" w:eastAsia="zh-CN"/>
        </w:rPr>
        <w:t>3</w:t>
      </w:r>
      <w:r>
        <w:rPr>
          <w:sz w:val="24"/>
          <w:lang w:val="en-US" w:eastAsia="zh-CN"/>
        </w:rPr>
        <w:t>）先安排粗加工工序，后安排精加工工序；</w:t>
      </w:r>
      <w:r>
        <w:rPr>
          <w:rFonts w:eastAsia="Times New Roman"/>
          <w:sz w:val="24"/>
          <w:lang w:val="en-US" w:eastAsia="zh-CN"/>
        </w:rPr>
        <w:t xml:space="preserve"> </w:t>
      </w:r>
      <w:r>
        <w:rPr>
          <w:sz w:val="24"/>
          <w:lang w:val="en-US" w:eastAsia="zh-CN"/>
        </w:rPr>
        <w:t>4</w:t>
      </w:r>
      <w:r>
        <w:rPr>
          <w:sz w:val="24"/>
          <w:lang w:val="en-US" w:eastAsia="zh-CN"/>
        </w:rPr>
        <w:t>）先加工平面，后加工孔。</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eastAsia="宋体"/>
          <w:sz w:val="24"/>
          <w:lang w:val="en-US" w:eastAsia="zh-CN"/>
        </w:rPr>
      </w:pPr>
      <w:r>
        <w:rPr>
          <w:rFonts w:cs="宋体" w:ascii="宋体" w:hAnsi="宋体"/>
          <w:sz w:val="24"/>
          <w:szCs w:val="24"/>
          <w:lang w:val="en-US" w:eastAsia="zh-CN"/>
        </w:rPr>
        <w:t>8</w:t>
      </w:r>
      <w:r>
        <w:rPr>
          <w:rFonts w:ascii="宋体" w:hAnsi="宋体" w:cs="宋体"/>
          <w:sz w:val="24"/>
          <w:szCs w:val="24"/>
        </w:rPr>
        <w:t>．</w:t>
      </w:r>
      <w:r>
        <w:rPr>
          <w:sz w:val="24"/>
        </w:rPr>
        <w:t>（</w:t>
      </w:r>
      <w:r>
        <w:rPr>
          <w:sz w:val="24"/>
        </w:rPr>
        <w:t>10</w:t>
      </w:r>
      <w:r>
        <w:rPr>
          <w:sz w:val="24"/>
        </w:rPr>
        <w:t>分）</w:t>
      </w:r>
      <w:r>
        <w:rPr>
          <w:sz w:val="24"/>
          <w:lang w:val="en-US" w:eastAsia="zh-CN"/>
        </w:rPr>
        <w:t>什么是</w:t>
      </w:r>
      <w:r>
        <w:rPr>
          <w:rFonts w:ascii="宋体" w:hAnsi="宋体"/>
          <w:sz w:val="24"/>
          <w:lang w:val="en-US" w:eastAsia="zh-CN"/>
        </w:rPr>
        <w:t>工艺系统刚度</w:t>
      </w:r>
      <w:r>
        <w:rPr>
          <w:rFonts w:ascii="宋体" w:hAnsi="宋体"/>
          <w:sz w:val="24"/>
          <w:lang w:eastAsia="zh-CN"/>
        </w:rPr>
        <w:t>？</w:t>
      </w:r>
      <w:r>
        <w:rPr>
          <w:rFonts w:ascii="宋体" w:hAnsi="宋体"/>
          <w:sz w:val="24"/>
          <w:lang w:val="en-US" w:eastAsia="zh-CN"/>
        </w:rPr>
        <w:t>简述加工细长轴时由于工艺系统刚度不足产生鼓形误差的原因。</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工件加工表面在切削力法向分力</w:t>
      </w:r>
      <w:r>
        <w:rPr>
          <w:rFonts w:cs="宋体" w:ascii="宋体" w:hAnsi="宋体"/>
          <w:sz w:val="24"/>
          <w:szCs w:val="24"/>
          <w:lang w:val="en-US" w:eastAsia="zh-CN"/>
        </w:rPr>
        <w:t>Fp</w:t>
      </w:r>
      <w:r>
        <w:rPr>
          <w:rFonts w:ascii="宋体" w:hAnsi="宋体" w:cs="宋体"/>
          <w:sz w:val="24"/>
          <w:szCs w:val="24"/>
          <w:lang w:val="en-US" w:eastAsia="zh-CN"/>
        </w:rPr>
        <w:t>的作用下，刀具相对工件在该方向上位移</w:t>
      </w:r>
      <w:r>
        <w:rPr>
          <w:rFonts w:cs="宋体" w:ascii="宋体" w:hAnsi="宋体"/>
          <w:sz w:val="24"/>
          <w:szCs w:val="24"/>
          <w:lang w:val="en-US" w:eastAsia="zh-CN"/>
        </w:rPr>
        <w:t>y</w:t>
      </w:r>
      <w:r>
        <w:rPr>
          <w:rFonts w:ascii="宋体" w:hAnsi="宋体" w:cs="宋体"/>
          <w:sz w:val="24"/>
          <w:szCs w:val="24"/>
          <w:lang w:val="en-US" w:eastAsia="zh-CN"/>
        </w:rPr>
        <w:t>的比值。</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工艺系统刚度是等于机床、夹具、刀具及工件刚度的倒数之和的倒数。</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原因：材料刚度不足，两端切削量大，中间切削量少；</w:t>
      </w:r>
    </w:p>
    <w:p>
      <w:pPr>
        <w:pStyle w:val="Normal"/>
        <w:widowControl/>
        <w:numPr>
          <w:ilvl w:val="0"/>
          <w:numId w:val="3"/>
        </w:numPr>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rPr>
        <w:t>（</w:t>
      </w:r>
      <w:r>
        <w:rPr>
          <w:sz w:val="24"/>
        </w:rPr>
        <w:t>10</w:t>
      </w:r>
      <w:r>
        <w:rPr>
          <w:sz w:val="24"/>
        </w:rPr>
        <w:t>分）</w:t>
      </w:r>
      <w:r>
        <w:rPr>
          <w:sz w:val="24"/>
          <w:lang w:val="en-US" w:eastAsia="zh-CN"/>
        </w:rPr>
        <w:t>加工表面质量包括哪些内容？</w:t>
      </w:r>
      <w:r>
        <w:rPr>
          <w:sz w:val="24"/>
        </w:rPr>
        <w:t>简述</w:t>
      </w:r>
      <w:r>
        <w:rPr>
          <w:rFonts w:ascii="宋体" w:hAnsi="宋体"/>
          <w:sz w:val="24"/>
          <w:lang w:val="en-US" w:eastAsia="zh-CN"/>
        </w:rPr>
        <w:t>表面粗糙度对耐疲劳性的影响</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加工表面质量包括两个方面的内容</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w:t>
      </w:r>
      <w:r>
        <w:rPr>
          <w:rFonts w:ascii="宋体" w:hAnsi="宋体"/>
          <w:sz w:val="24"/>
        </w:rPr>
        <w:t>1</w:t>
      </w:r>
      <w:r>
        <w:rPr>
          <w:rFonts w:ascii="宋体" w:hAnsi="宋体"/>
          <w:sz w:val="24"/>
        </w:rPr>
        <w:t>）已加工表面的几何形状特征，主要指已加工表面的粗糙度、波纹和纹理方向。</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w:t>
      </w:r>
      <w:r>
        <w:rPr>
          <w:rFonts w:ascii="宋体" w:hAnsi="宋体"/>
          <w:sz w:val="24"/>
        </w:rPr>
        <w:t>2</w:t>
      </w:r>
      <w:r>
        <w:rPr>
          <w:rFonts w:ascii="宋体" w:hAnsi="宋体"/>
          <w:sz w:val="24"/>
        </w:rPr>
        <w:t>）已加工表面层的物理品质，主要包括表面层的加工硬化程度及冷硬层深度，表面层残余应力的性质、大小及分布状况，加工表面层的金相组织变化。</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零件表面质量对其疲劳强度有以下影响：</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eastAsia="zh-CN"/>
        </w:rPr>
      </w:pPr>
      <w:r>
        <w:rPr>
          <w:rFonts w:ascii="宋体" w:hAnsi="宋体"/>
          <w:sz w:val="24"/>
        </w:rPr>
        <w:t>表面粗糙度越大，抗疲劳破坏的能力越差</w:t>
      </w:r>
      <w:r>
        <w:rPr>
          <w:rFonts w:ascii="宋体" w:hAnsi="宋体"/>
          <w:sz w:val="24"/>
          <w:lang w:eastAsia="zh-CN"/>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val="en-US" w:eastAsia="zh-CN"/>
        </w:rPr>
      </w:pPr>
      <w:r>
        <w:rPr>
          <w:rFonts w:ascii="宋体" w:hAnsi="宋体"/>
          <w:sz w:val="24"/>
        </w:rPr>
        <w:t>表面层冷作硬化</w:t>
      </w:r>
      <w:r>
        <w:rPr>
          <w:rFonts w:ascii="宋体" w:hAnsi="宋体"/>
          <w:sz w:val="24"/>
          <w:lang w:val="en-US" w:eastAsia="zh-CN"/>
        </w:rPr>
        <w:t>有助于提高</w:t>
      </w:r>
      <w:r>
        <w:rPr>
          <w:rFonts w:ascii="宋体" w:hAnsi="宋体"/>
          <w:sz w:val="24"/>
        </w:rPr>
        <w:t>抗疲劳</w:t>
      </w:r>
      <w:r>
        <w:rPr>
          <w:rFonts w:ascii="宋体" w:hAnsi="宋体"/>
          <w:sz w:val="24"/>
          <w:lang w:val="en-US" w:eastAsia="zh-CN"/>
        </w:rPr>
        <w:t>能力；</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val="en-US" w:eastAsia="zh-CN"/>
        </w:rPr>
      </w:pPr>
      <w:r>
        <w:rPr>
          <w:rFonts w:ascii="宋体" w:hAnsi="宋体"/>
          <w:sz w:val="24"/>
        </w:rPr>
        <w:t>残余应力</w:t>
      </w:r>
      <w:r>
        <w:rPr>
          <w:rFonts w:ascii="宋体" w:hAnsi="宋体"/>
          <w:sz w:val="24"/>
          <w:lang w:val="en-US" w:eastAsia="zh-CN"/>
        </w:rPr>
        <w:t>中压应力有助于提高</w:t>
      </w:r>
      <w:r>
        <w:rPr>
          <w:rFonts w:ascii="宋体" w:hAnsi="宋体"/>
          <w:sz w:val="24"/>
        </w:rPr>
        <w:t>零件疲劳强度</w:t>
      </w:r>
      <w:r>
        <w:rPr>
          <w:rFonts w:ascii="宋体" w:hAnsi="宋体"/>
          <w:sz w:val="24"/>
          <w:lang w:eastAsia="zh-CN"/>
        </w:rPr>
        <w:t>，</w:t>
      </w:r>
      <w:r>
        <w:rPr>
          <w:rFonts w:ascii="宋体" w:hAnsi="宋体"/>
          <w:sz w:val="24"/>
          <w:lang w:val="en-US" w:eastAsia="zh-CN"/>
        </w:rPr>
        <w:t>拉应力降低</w:t>
      </w:r>
      <w:r>
        <w:rPr>
          <w:rFonts w:ascii="宋体" w:hAnsi="宋体"/>
          <w:sz w:val="24"/>
        </w:rPr>
        <w:t>零件疲劳强度</w:t>
      </w:r>
      <w:r>
        <w:rPr>
          <w:rFonts w:ascii="宋体" w:hAnsi="宋体"/>
          <w:sz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lang w:val="en-US" w:eastAsia="zh-CN"/>
        </w:rPr>
        <w:t>三</w:t>
      </w:r>
      <w:r>
        <w:rPr>
          <w:rFonts w:ascii="宋体" w:hAnsi="宋体"/>
          <w:sz w:val="24"/>
        </w:rPr>
        <w:t>.</w:t>
      </w:r>
      <w:r>
        <w:rPr>
          <w:rFonts w:ascii="宋体" w:hAnsi="宋体"/>
          <w:sz w:val="24"/>
        </w:rPr>
        <w:t>分析</w:t>
      </w:r>
      <w:r>
        <w:rPr>
          <w:rFonts w:ascii="宋体" w:hAnsi="宋体"/>
          <w:sz w:val="24"/>
          <w:lang w:val="en-US" w:eastAsia="zh-CN"/>
        </w:rPr>
        <w:t>计算</w:t>
      </w:r>
      <w:r>
        <w:rPr>
          <w:rFonts w:ascii="宋体" w:hAnsi="宋体"/>
          <w:sz w:val="24"/>
        </w:rPr>
        <w:t>题（</w:t>
      </w:r>
      <w:r>
        <w:rPr>
          <w:rFonts w:ascii="宋体" w:hAnsi="宋体"/>
          <w:sz w:val="24"/>
          <w:lang w:val="en-US" w:eastAsia="zh-CN"/>
        </w:rPr>
        <w:t>4</w:t>
      </w:r>
      <w:r>
        <w:rPr>
          <w:rFonts w:ascii="宋体" w:hAnsi="宋体"/>
          <w:sz w:val="24"/>
        </w:rPr>
        <w:t>0</w:t>
      </w:r>
      <w:r>
        <w:rPr>
          <w:rFonts w:ascii="宋体" w:hAnsi="宋体"/>
          <w:sz w:val="24"/>
        </w:rPr>
        <w:t>分）</w:t>
      </w:r>
    </w:p>
    <w:p>
      <w:pPr>
        <w:pStyle w:val="Normal"/>
        <w:rPr>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分）试分析图</w:t>
      </w:r>
      <w:r>
        <w:rPr>
          <w:sz w:val="24"/>
          <w:lang w:val="en-US" w:eastAsia="zh-CN"/>
        </w:rPr>
        <w:t>1</w:t>
      </w:r>
      <w:r>
        <w:rPr>
          <w:sz w:val="24"/>
        </w:rPr>
        <w:t>中所示工件在加工</w:t>
      </w:r>
      <w:r>
        <w:rPr>
          <w:rFonts w:eastAsia="宋体" w:cs="宋体" w:ascii="宋体" w:hAnsi="宋体"/>
          <w:sz w:val="24"/>
        </w:rPr>
        <w:t>φ</w:t>
      </w:r>
      <w:r>
        <w:rPr>
          <w:rFonts w:cs="宋体" w:ascii="宋体" w:hAnsi="宋体"/>
          <w:sz w:val="24"/>
          <w:lang w:val="en-US" w:eastAsia="zh-CN"/>
        </w:rPr>
        <w:t>2</w:t>
      </w:r>
      <w:r>
        <w:rPr>
          <w:rFonts w:ascii="宋体" w:hAnsi="宋体" w:cs="宋体"/>
          <w:sz w:val="24"/>
          <w:lang w:val="en-US" w:eastAsia="zh-CN"/>
        </w:rPr>
        <w:t>孔所需限制的自由度</w:t>
      </w:r>
      <w:r>
        <w:rPr>
          <w:sz w:val="24"/>
        </w:rPr>
        <w:t>？</w:t>
      </w:r>
      <w:r>
        <w:rPr>
          <w:sz w:val="24"/>
          <w:lang w:val="en-US" w:eastAsia="zh-CN"/>
        </w:rPr>
        <w:t>试给出定位方式</w:t>
      </w:r>
      <w:r>
        <w:rPr>
          <w:sz w:val="24"/>
        </w:rPr>
        <w:t>？</w:t>
      </w:r>
      <w:r>
        <w:rPr>
          <w:rFonts w:eastAsia="Times New Roman"/>
          <w:sz w:val="24"/>
        </w:rPr>
        <w:t xml:space="preserve"> </w:t>
      </w:r>
    </w:p>
    <w:p>
      <w:pPr>
        <w:pStyle w:val="Normal"/>
        <w:jc w:val="center"/>
        <w:rPr>
          <w:rFonts w:ascii="宋体" w:hAnsi="宋体" w:cs="宋体"/>
          <w:sz w:val="22"/>
          <w:szCs w:val="22"/>
        </w:rPr>
      </w:pPr>
      <w:r>
        <w:rPr/>
        <w:drawing>
          <wp:inline distT="0" distB="0" distL="0" distR="0">
            <wp:extent cx="1871345" cy="1807845"/>
            <wp:effectExtent l="0" t="0" r="0" b="0"/>
            <wp:docPr id="1" name="图片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descr="" title=""/>
                    <pic:cNvPicPr>
                      <a:picLocks noChangeAspect="1" noChangeArrowheads="1"/>
                    </pic:cNvPicPr>
                  </pic:nvPicPr>
                  <pic:blipFill>
                    <a:blip r:embed="rId2"/>
                    <a:srcRect l="-13" t="-13" r="-13" b="-13"/>
                    <a:stretch>
                      <a:fillRect/>
                    </a:stretch>
                  </pic:blipFill>
                  <pic:spPr bwMode="auto">
                    <a:xfrm>
                      <a:off x="0" y="0"/>
                      <a:ext cx="1871345" cy="1807845"/>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jc w:val="center"/>
        <w:textAlignment w:val="bottom"/>
        <w:rPr>
          <w:szCs w:val="21"/>
        </w:rPr>
      </w:pPr>
      <w:r>
        <w:rPr>
          <w:szCs w:val="21"/>
        </w:rPr>
        <w:t>图</w:t>
      </w:r>
      <w:r>
        <w:rPr>
          <w:szCs w:val="21"/>
          <w:lang w:val="en-US" w:eastAsia="zh-CN"/>
        </w:rPr>
        <w:t xml:space="preserve">1 </w:t>
      </w:r>
      <w:r>
        <w:rPr>
          <w:szCs w:val="21"/>
        </w:rPr>
        <w:t>零件图</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X</w:t>
      </w:r>
      <w:r>
        <w:rPr>
          <w:sz w:val="24"/>
          <w:lang w:val="en-US" w:eastAsia="zh-CN"/>
        </w:rPr>
        <w:t>旋转，</w:t>
      </w:r>
      <w:r>
        <w:rPr>
          <w:sz w:val="24"/>
          <w:lang w:val="en-US" w:eastAsia="zh-CN"/>
        </w:rPr>
        <w:t>Z</w:t>
      </w:r>
      <w:r>
        <w:rPr>
          <w:sz w:val="24"/>
          <w:lang w:val="en-US" w:eastAsia="zh-CN"/>
        </w:rPr>
        <w:t>平移不需限制；</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可用</w:t>
      </w:r>
      <w:r>
        <w:rPr>
          <w:sz w:val="24"/>
          <w:lang w:val="en-US" w:eastAsia="zh-CN"/>
        </w:rPr>
        <w:t>V</w:t>
      </w:r>
      <w:r>
        <w:rPr>
          <w:sz w:val="24"/>
          <w:lang w:val="en-US" w:eastAsia="zh-CN"/>
        </w:rPr>
        <w:t>形块</w:t>
      </w:r>
      <w:r>
        <w:rPr>
          <w:sz w:val="24"/>
          <w:lang w:val="en-US" w:eastAsia="zh-CN"/>
        </w:rPr>
        <w:t>+X</w:t>
      </w:r>
      <w:r>
        <w:rPr>
          <w:sz w:val="24"/>
          <w:lang w:val="en-US" w:eastAsia="zh-CN"/>
        </w:rPr>
        <w:t>方向限位件。</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lang w:val="en-US" w:eastAsia="zh-CN"/>
        </w:rPr>
        <w:t>11.</w:t>
      </w:r>
      <w:r>
        <w:rPr>
          <w:rFonts w:ascii="宋体" w:hAnsi="宋体" w:cs="宋体"/>
          <w:sz w:val="24"/>
          <w:szCs w:val="24"/>
        </w:rPr>
        <w:t>（</w:t>
      </w:r>
      <w:r>
        <w:rPr>
          <w:rFonts w:cs="宋体" w:ascii="宋体" w:hAnsi="宋体"/>
          <w:sz w:val="24"/>
          <w:szCs w:val="24"/>
        </w:rPr>
        <w:t>1</w:t>
      </w:r>
      <w:r>
        <w:rPr>
          <w:rFonts w:cs="宋体" w:ascii="宋体" w:hAnsi="宋体"/>
          <w:sz w:val="24"/>
          <w:szCs w:val="24"/>
          <w:lang w:val="en-US" w:eastAsia="zh-CN"/>
        </w:rPr>
        <w:t>0</w:t>
      </w:r>
      <w:r>
        <w:rPr>
          <w:rFonts w:ascii="宋体" w:hAnsi="宋体" w:cs="宋体"/>
          <w:sz w:val="24"/>
          <w:szCs w:val="24"/>
        </w:rPr>
        <w:t>分）</w:t>
      </w:r>
      <w:r>
        <w:rPr>
          <w:rFonts w:ascii="宋体" w:hAnsi="宋体"/>
          <w:sz w:val="24"/>
        </w:rPr>
        <w:t>车削一批轴的外圆，其尺寸要求为</w:t>
      </w:r>
      <w:r>
        <w:rPr>
          <w:rFonts w:ascii="宋体" w:hAnsi="宋体"/>
          <w:sz w:val="24"/>
        </w:rPr>
        <w:t>Φ</w:t>
      </w:r>
      <w:r>
        <w:rPr>
          <w:rFonts w:ascii="宋体" w:hAnsi="宋体"/>
          <w:sz w:val="24"/>
        </w:rPr>
        <w:object w:dxaOrig="899" w:dyaOrig="379">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44.95pt;height:19pt" filled="f" o:ole="">
            <v:imagedata r:id="rId4" o:title=""/>
          </v:shape>
          <o:OLEObject Type="Embed" ProgID="" ShapeID="ole_rId3" DrawAspect="Content" ObjectID="_368785682" r:id="rId3"/>
        </w:object>
      </w:r>
      <w:r>
        <w:rPr>
          <w:rFonts w:ascii="宋体" w:hAnsi="宋体"/>
          <w:sz w:val="24"/>
        </w:rPr>
        <w:t>，若此工序尺寸按正态分布，均方差</w:t>
      </w:r>
      <w:r>
        <w:rPr>
          <w:rFonts w:ascii="宋体" w:hAnsi="宋体"/>
          <w:sz w:val="24"/>
        </w:rPr>
        <w:t>σ=0.025mm</w:t>
      </w:r>
      <w:r>
        <w:rPr>
          <w:rFonts w:ascii="宋体" w:hAnsi="宋体"/>
          <w:sz w:val="24"/>
        </w:rPr>
        <w:t>，公差带中心大于分布曲线中心，其偏移量</w:t>
      </w:r>
      <w:r>
        <w:rPr>
          <w:rFonts w:ascii="宋体" w:hAnsi="宋体"/>
          <w:sz w:val="24"/>
        </w:rPr>
        <w:t>e=0.0</w:t>
      </w:r>
      <w:r>
        <w:rPr>
          <w:rFonts w:ascii="宋体" w:hAnsi="宋体"/>
          <w:sz w:val="24"/>
        </w:rPr>
        <w:t>2</w:t>
      </w:r>
      <w:r>
        <w:rPr>
          <w:rFonts w:ascii="宋体" w:hAnsi="宋体"/>
          <w:sz w:val="24"/>
        </w:rPr>
        <w:t>mm</w:t>
      </w:r>
      <w:r>
        <w:rPr>
          <w:rFonts w:ascii="宋体" w:hAnsi="宋体"/>
          <w:sz w:val="24"/>
        </w:rPr>
        <w:t>。试指出该批工件的常值系统性误差及随机误差多大？并计算合格品率及不合格品率各是多少？</w:t>
      </w:r>
      <w:r>
        <w:rPr>
          <w:rFonts w:ascii="宋体" w:hAnsi="宋体"/>
          <w:sz w:val="24"/>
          <w:lang w:val="en-US" w:eastAsia="zh-CN"/>
        </w:rPr>
        <w:t>多少能够</w:t>
      </w:r>
      <w:r>
        <w:rPr>
          <w:rFonts w:ascii="宋体" w:hAnsi="宋体"/>
          <w:sz w:val="24"/>
        </w:rPr>
        <w:t>修复？</w:t>
      </w:r>
    </w:p>
    <w:p>
      <w:pPr>
        <w:pStyle w:val="Normal"/>
        <w:spacing w:lineRule="atLeast" w:line="360"/>
        <w:ind w:firstLine="210" w:end="0"/>
        <w:rPr>
          <w:rFonts w:ascii="宋体" w:hAnsi="宋体" w:cs="宋体"/>
          <w:szCs w:val="21"/>
        </w:rPr>
      </w:pPr>
      <w:r>
        <w:rPr>
          <w:rFonts w:ascii="宋体" w:hAnsi="宋体" w:cs="宋体"/>
          <w:szCs w:val="21"/>
        </w:rPr>
        <w:t>正态分布</w:t>
      </w:r>
      <w:r>
        <w:rPr>
          <w:rFonts w:cs="宋体" w:ascii="宋体" w:hAnsi="宋体"/>
          <w:szCs w:val="21"/>
        </w:rPr>
        <w:t>Z-F(z)</w:t>
      </w:r>
      <w:r>
        <w:rPr>
          <w:rFonts w:ascii="宋体" w:hAnsi="宋体" w:cs="宋体"/>
          <w:szCs w:val="21"/>
        </w:rPr>
        <w:t>值表</w:t>
      </w:r>
    </w:p>
    <w:tbl>
      <w:tblPr>
        <w:tblW w:w="9102" w:type="dxa"/>
        <w:jc w:val="start"/>
        <w:tblInd w:w="93" w:type="dxa"/>
        <w:tblLayout w:type="fixed"/>
        <w:tblCellMar>
          <w:top w:w="0" w:type="dxa"/>
          <w:start w:w="108" w:type="dxa"/>
          <w:bottom w:w="0" w:type="dxa"/>
          <w:end w:w="108" w:type="dxa"/>
        </w:tblCellMar>
      </w:tblPr>
      <w:tblGrid>
        <w:gridCol w:w="636"/>
        <w:gridCol w:w="846"/>
        <w:gridCol w:w="846"/>
        <w:gridCol w:w="846"/>
        <w:gridCol w:w="741"/>
        <w:gridCol w:w="741"/>
        <w:gridCol w:w="741"/>
        <w:gridCol w:w="741"/>
        <w:gridCol w:w="741"/>
        <w:gridCol w:w="741"/>
        <w:gridCol w:w="741"/>
        <w:gridCol w:w="741"/>
      </w:tblGrid>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15.87%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13.57%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11.51%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9.68%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8.08%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6.68%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5.48%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4.46%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3.59%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2.87%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r>
      <w:tr>
        <w:trPr>
          <w:trHeight w:val="101"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1.79%</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0.82%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0.62%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0.47%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0.35%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0.26%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r>
      <w:tr>
        <w:trPr>
          <w:trHeight w:val="184"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4.0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0.10%</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0.03%</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r>
    </w:tbl>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eastAsia="zh-CN"/>
        </w:rPr>
      </w:pPr>
      <w:r>
        <w:rPr>
          <w:sz w:val="24"/>
          <w:lang w:eastAsia="zh-CN"/>
        </w:rPr>
      </w:r>
    </w:p>
    <w:p>
      <w:pPr>
        <w:pStyle w:val="Normal"/>
        <w:jc w:val="start"/>
        <w:rPr>
          <w:sz w:val="24"/>
          <w:lang w:val="en-US" w:eastAsia="zh-CN"/>
        </w:rPr>
      </w:pPr>
      <w:r>
        <w:rPr>
          <w:sz w:val="24"/>
          <w:lang w:val="en-US" w:eastAsia="zh-CN"/>
        </w:rPr>
        <w:t>常值系统性误差：</w:t>
      </w:r>
      <w:r>
        <w:rPr>
          <w:sz w:val="24"/>
          <w:lang w:val="en-US" w:eastAsia="zh-CN"/>
        </w:rPr>
        <w:t>0.02mm</w:t>
      </w:r>
    </w:p>
    <w:p>
      <w:pPr>
        <w:pStyle w:val="Normal"/>
        <w:jc w:val="start"/>
        <w:rPr>
          <w:rFonts w:ascii="宋体" w:hAnsi="宋体"/>
          <w:sz w:val="24"/>
        </w:rPr>
      </w:pPr>
      <w:r>
        <w:rPr>
          <w:sz w:val="24"/>
          <w:lang w:val="en-US" w:eastAsia="zh-CN"/>
        </w:rPr>
        <w:t>随机误差：</w:t>
      </w:r>
      <w:r>
        <w:rPr>
          <w:sz w:val="24"/>
          <w:lang w:val="en-US" w:eastAsia="zh-CN"/>
        </w:rPr>
        <w:t>6</w:t>
      </w:r>
      <w:r>
        <w:rPr>
          <w:rFonts w:ascii="宋体" w:hAnsi="宋体"/>
          <w:sz w:val="24"/>
        </w:rPr>
        <w:t>σ=0.</w:t>
      </w:r>
      <w:r>
        <w:rPr>
          <w:rFonts w:ascii="宋体" w:hAnsi="宋体"/>
          <w:sz w:val="24"/>
          <w:lang w:val="en-US" w:eastAsia="zh-CN"/>
        </w:rPr>
        <w:t>15</w:t>
      </w:r>
      <w:r>
        <w:rPr>
          <w:rFonts w:ascii="宋体" w:hAnsi="宋体"/>
          <w:sz w:val="24"/>
        </w:rPr>
        <w:t>mm</w:t>
      </w:r>
    </w:p>
    <w:p>
      <w:pPr>
        <w:pStyle w:val="Normal"/>
        <w:jc w:val="start"/>
        <w:rPr>
          <w:rFonts w:ascii="宋体" w:hAnsi="宋体"/>
          <w:sz w:val="24"/>
          <w:lang w:val="en-US" w:eastAsia="zh-CN"/>
        </w:rPr>
      </w:pPr>
      <w:r>
        <w:rPr>
          <w:rFonts w:ascii="宋体" w:hAnsi="宋体"/>
          <w:sz w:val="24"/>
          <w:lang w:val="en-US" w:eastAsia="zh-CN"/>
        </w:rPr>
        <w:t>工序能力不足；</w:t>
      </w:r>
    </w:p>
    <w:p>
      <w:pPr>
        <w:pStyle w:val="Normal"/>
        <w:jc w:val="start"/>
        <w:rPr>
          <w:rFonts w:ascii="宋体" w:hAnsi="宋体"/>
          <w:sz w:val="24"/>
          <w:lang w:val="en-US" w:eastAsia="zh-CN"/>
        </w:rPr>
      </w:pPr>
      <w:r>
        <w:rPr>
          <w:rFonts w:ascii="宋体" w:hAnsi="宋体"/>
          <w:sz w:val="24"/>
          <w:lang w:val="en-US" w:eastAsia="zh-CN"/>
        </w:rPr>
        <w:t>过大超差：</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z1</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20-19.93</w:t>
      </w:r>
      <w:r>
        <w:rPr>
          <w:rFonts w:ascii="宋体" w:hAnsi="宋体"/>
          <w:sz w:val="24"/>
          <w:lang w:val="en-US" w:eastAsia="zh-CN"/>
        </w:rPr>
        <w:t>）</w:t>
      </w:r>
      <w:r>
        <w:rPr>
          <w:rFonts w:ascii="宋体" w:hAnsi="宋体"/>
          <w:sz w:val="24"/>
          <w:lang w:val="en-US" w:eastAsia="zh-CN"/>
        </w:rPr>
        <w:t>/0.025</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2.8</w:t>
      </w:r>
      <w:r>
        <w:rPr>
          <w:rFonts w:ascii="宋体" w:hAnsi="宋体"/>
          <w:sz w:val="24"/>
          <w:lang w:val="en-US" w:eastAsia="zh-CN"/>
        </w:rPr>
        <w:t>）</w:t>
      </w:r>
      <w:r>
        <w:rPr>
          <w:rFonts w:ascii="宋体" w:hAnsi="宋体"/>
          <w:sz w:val="24"/>
          <w:lang w:val="en-US" w:eastAsia="zh-CN"/>
        </w:rPr>
        <w:t>=0.26%</w:t>
      </w:r>
      <w:r>
        <w:rPr>
          <w:rFonts w:ascii="宋体" w:hAnsi="宋体"/>
          <w:sz w:val="24"/>
          <w:lang w:val="en-US" w:eastAsia="zh-CN"/>
        </w:rPr>
        <w:t>（可修复）</w:t>
      </w:r>
    </w:p>
    <w:p>
      <w:pPr>
        <w:pStyle w:val="Normal"/>
        <w:jc w:val="start"/>
        <w:rPr>
          <w:rFonts w:ascii="宋体" w:hAnsi="宋体"/>
          <w:sz w:val="24"/>
          <w:lang w:val="en-US" w:eastAsia="zh-CN"/>
        </w:rPr>
      </w:pPr>
      <w:r>
        <w:rPr>
          <w:rFonts w:ascii="宋体" w:hAnsi="宋体"/>
          <w:sz w:val="24"/>
          <w:lang w:val="en-US" w:eastAsia="zh-CN"/>
        </w:rPr>
        <w:t>过小超差：</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z2</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19.93-19.9</w:t>
      </w:r>
      <w:r>
        <w:rPr>
          <w:rFonts w:ascii="宋体" w:hAnsi="宋体"/>
          <w:sz w:val="24"/>
          <w:lang w:val="en-US" w:eastAsia="zh-CN"/>
        </w:rPr>
        <w:t>）</w:t>
      </w:r>
      <w:r>
        <w:rPr>
          <w:rFonts w:ascii="宋体" w:hAnsi="宋体"/>
          <w:sz w:val="24"/>
          <w:lang w:val="en-US" w:eastAsia="zh-CN"/>
        </w:rPr>
        <w:t>/0.025</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1.2</w:t>
      </w:r>
      <w:r>
        <w:rPr>
          <w:rFonts w:ascii="宋体" w:hAnsi="宋体"/>
          <w:sz w:val="24"/>
          <w:lang w:val="en-US" w:eastAsia="zh-CN"/>
        </w:rPr>
        <w:t>）</w:t>
      </w:r>
      <w:r>
        <w:rPr>
          <w:rFonts w:ascii="宋体" w:hAnsi="宋体"/>
          <w:sz w:val="24"/>
          <w:lang w:val="en-US" w:eastAsia="zh-CN"/>
        </w:rPr>
        <w:t>=11.5%</w:t>
      </w:r>
      <w:r>
        <w:rPr>
          <w:rFonts w:ascii="宋体" w:hAnsi="宋体"/>
          <w:sz w:val="24"/>
          <w:lang w:val="en-US" w:eastAsia="zh-CN"/>
        </w:rPr>
        <w:t>（不可修复）</w:t>
      </w:r>
    </w:p>
    <w:p>
      <w:pPr>
        <w:pStyle w:val="Normal"/>
        <w:jc w:val="start"/>
        <w:rPr>
          <w:rFonts w:ascii="宋体" w:hAnsi="宋体"/>
          <w:sz w:val="24"/>
          <w:lang w:val="en-US" w:eastAsia="zh-CN"/>
        </w:rPr>
      </w:pPr>
      <w:r>
        <w:rPr>
          <w:rFonts w:ascii="宋体" w:hAnsi="宋体"/>
          <w:sz w:val="24"/>
          <w:lang w:val="en-US" w:eastAsia="zh-CN"/>
        </w:rPr>
        <w:t>不合格品类</w:t>
      </w:r>
      <w:r>
        <w:rPr>
          <w:rFonts w:ascii="宋体" w:hAnsi="宋体"/>
          <w:sz w:val="24"/>
          <w:lang w:val="en-US" w:eastAsia="zh-CN"/>
        </w:rPr>
        <w:t>0.26% + 11.5% = 11.76%</w:t>
      </w:r>
    </w:p>
    <w:p>
      <w:pPr>
        <w:pStyle w:val="Normal"/>
        <w:jc w:val="start"/>
        <w:rPr>
          <w:rFonts w:ascii="宋体" w:hAnsi="宋体"/>
          <w:sz w:val="24"/>
          <w:lang w:val="en-US" w:eastAsia="zh-CN"/>
        </w:rPr>
      </w:pPr>
      <w:r>
        <w:rPr>
          <w:rFonts w:ascii="宋体" w:hAnsi="宋体"/>
          <w:sz w:val="24"/>
          <w:lang w:val="en-US" w:eastAsia="zh-CN"/>
        </w:rPr>
      </w:r>
    </w:p>
    <w:p>
      <w:pPr>
        <w:pStyle w:val="Normal"/>
        <w:jc w:val="start"/>
        <w:rPr>
          <w:rFonts w:ascii="宋体" w:hAnsi="宋体"/>
          <w:sz w:val="24"/>
          <w:lang w:val="en-US" w:eastAsia="zh-CN"/>
        </w:rPr>
      </w:pPr>
      <w:r>
        <w:rPr>
          <w:rFonts w:ascii="宋体" w:hAnsi="宋体"/>
          <w:sz w:val="24"/>
          <w:lang w:val="en-US" w:eastAsia="zh-CN"/>
        </w:rPr>
      </w:r>
    </w:p>
    <w:p>
      <w:pPr>
        <w:pStyle w:val="Normal"/>
        <w:jc w:val="start"/>
        <w:rPr>
          <w:rFonts w:ascii="宋体" w:hAnsi="宋体"/>
          <w:sz w:val="24"/>
        </w:rPr>
      </w:pPr>
      <w:r>
        <w:rPr>
          <w:sz w:val="24"/>
          <w:lang w:val="en-US" w:eastAsia="zh-CN"/>
        </w:rPr>
        <w:t>12</w:t>
      </w:r>
      <w:r>
        <w:rPr>
          <w:sz w:val="24"/>
        </w:rPr>
        <w:t>.</w:t>
      </w:r>
      <w:r>
        <w:rPr>
          <w:rFonts w:ascii="宋体" w:hAnsi="宋体"/>
          <w:sz w:val="24"/>
        </w:rPr>
        <w:t xml:space="preserve"> </w:t>
      </w:r>
      <w:r>
        <w:rPr>
          <w:rFonts w:ascii="宋体" w:hAnsi="宋体" w:cs="宋体"/>
          <w:sz w:val="24"/>
          <w:szCs w:val="24"/>
        </w:rPr>
        <w:t>（</w:t>
      </w:r>
      <w:r>
        <w:rPr>
          <w:rFonts w:cs="宋体" w:ascii="宋体" w:hAnsi="宋体"/>
          <w:sz w:val="24"/>
          <w:szCs w:val="24"/>
          <w:lang w:val="en-US" w:eastAsia="zh-CN"/>
        </w:rPr>
        <w:t>20</w:t>
      </w:r>
      <w:r>
        <w:rPr>
          <w:rFonts w:ascii="宋体" w:hAnsi="宋体" w:cs="宋体"/>
          <w:sz w:val="24"/>
          <w:szCs w:val="24"/>
        </w:rPr>
        <w:t>分）</w:t>
      </w:r>
      <w:r>
        <w:rPr>
          <w:rFonts w:ascii="宋体" w:hAnsi="宋体"/>
          <w:sz w:val="24"/>
        </w:rPr>
        <w:t>如下图中</w:t>
      </w:r>
      <w:r>
        <w:rPr>
          <w:rFonts w:ascii="宋体" w:hAnsi="宋体"/>
          <w:sz w:val="24"/>
        </w:rPr>
        <w:t>零件图</w:t>
      </w:r>
      <w:r>
        <w:rPr>
          <w:rFonts w:ascii="宋体" w:hAnsi="宋体"/>
          <w:sz w:val="24"/>
        </w:rPr>
        <w:t>所示为</w:t>
      </w:r>
      <w:r>
        <w:rPr>
          <w:sz w:val="24"/>
        </w:rPr>
        <w:t>凸轮挺杆的轴向设计尺寸</w:t>
      </w:r>
      <w:r>
        <w:rPr>
          <w:rFonts w:ascii="宋体" w:hAnsi="宋体"/>
          <w:sz w:val="24"/>
        </w:rPr>
        <w:t>要求，相关工序如下：</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5   </w:t>
      </w:r>
      <w:r>
        <w:rPr>
          <w:rFonts w:ascii="宋体" w:hAnsi="宋体"/>
          <w:sz w:val="24"/>
        </w:rPr>
        <w:t>车</w:t>
      </w:r>
      <w:r>
        <w:rPr>
          <w:rFonts w:ascii="宋体" w:hAnsi="宋体"/>
          <w:sz w:val="24"/>
        </w:rPr>
        <w:t>外形及切断</w:t>
      </w:r>
      <w:r>
        <w:rPr>
          <w:rFonts w:ascii="宋体" w:hAnsi="宋体"/>
          <w:sz w:val="24"/>
        </w:rPr>
        <w:t>，</w:t>
      </w:r>
      <w:r>
        <w:rPr>
          <w:rFonts w:ascii="宋体" w:hAnsi="宋体"/>
          <w:sz w:val="24"/>
        </w:rPr>
        <w:t>保证工序尺寸</w:t>
      </w:r>
      <w:r>
        <w:rPr>
          <w:rFonts w:ascii="宋体" w:hAnsi="宋体"/>
          <w:sz w:val="24"/>
        </w:rPr>
        <w:t>A</w:t>
      </w:r>
      <w:r>
        <w:rPr>
          <w:rFonts w:ascii="宋体" w:hAnsi="宋体"/>
          <w:sz w:val="24"/>
        </w:rPr>
        <w:t>和</w:t>
      </w:r>
      <w:r>
        <w:rPr>
          <w:rFonts w:ascii="宋体" w:hAnsi="宋体"/>
          <w:sz w:val="24"/>
        </w:rPr>
        <w:t xml:space="preserve">B </w:t>
      </w:r>
      <w:r>
        <w:rPr>
          <w:rFonts w:ascii="宋体" w:hAnsi="宋体"/>
          <w:sz w:val="24"/>
        </w:rPr>
        <w:t>；</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10  </w:t>
      </w:r>
      <w:r>
        <w:rPr>
          <w:rFonts w:ascii="宋体" w:hAnsi="宋体"/>
          <w:sz w:val="24"/>
        </w:rPr>
        <w:t>平</w:t>
      </w:r>
      <w:r>
        <w:rPr>
          <w:rFonts w:ascii="宋体" w:hAnsi="宋体"/>
          <w:sz w:val="24"/>
        </w:rPr>
        <w:t>端面，保证</w:t>
      </w:r>
      <w:r>
        <w:rPr>
          <w:rFonts w:ascii="宋体" w:hAnsi="宋体"/>
          <w:sz w:val="24"/>
        </w:rPr>
        <w:t>工序</w:t>
      </w:r>
      <w:r>
        <w:rPr>
          <w:rFonts w:ascii="宋体" w:hAnsi="宋体"/>
          <w:sz w:val="24"/>
        </w:rPr>
        <w:t>尺寸</w:t>
      </w:r>
      <w:r>
        <w:rPr>
          <w:rFonts w:ascii="宋体" w:hAnsi="宋体"/>
          <w:sz w:val="24"/>
        </w:rPr>
        <w:t>C</w:t>
      </w:r>
      <w:r>
        <w:rPr>
          <w:rFonts w:ascii="宋体" w:hAnsi="宋体"/>
          <w:sz w:val="24"/>
        </w:rPr>
        <w:t>。</w:t>
      </w:r>
    </w:p>
    <w:p>
      <w:pPr>
        <w:pStyle w:val="Normal"/>
        <w:spacing w:lineRule="atLeast" w:line="360" w:before="158" w:after="0"/>
        <w:ind w:firstLine="424" w:end="0"/>
        <w:jc w:val="start"/>
        <w:rPr>
          <w:rFonts w:ascii="宋体" w:hAnsi="宋体"/>
          <w:sz w:val="24"/>
        </w:rPr>
      </w:pPr>
      <w:r>
        <w:rPr>
          <w:rFonts w:ascii="宋体" w:hAnsi="宋体"/>
          <w:sz w:val="24"/>
        </w:rPr>
        <w:t>平端面</w:t>
      </w:r>
      <w:r>
        <w:rPr>
          <w:rFonts w:ascii="宋体" w:hAnsi="宋体"/>
          <w:sz w:val="24"/>
          <w:lang w:val="en-US" w:eastAsia="zh-CN"/>
        </w:rPr>
        <w:t>C</w:t>
      </w:r>
      <w:r>
        <w:rPr>
          <w:rFonts w:ascii="宋体" w:hAnsi="宋体"/>
          <w:sz w:val="24"/>
        </w:rPr>
        <w:t>时的</w:t>
      </w:r>
      <w:r>
        <w:rPr>
          <w:rFonts w:ascii="宋体" w:hAnsi="宋体"/>
          <w:sz w:val="24"/>
        </w:rPr>
        <w:t>车削</w:t>
      </w:r>
      <w:r>
        <w:rPr>
          <w:rFonts w:ascii="宋体" w:hAnsi="宋体"/>
          <w:sz w:val="24"/>
        </w:rPr>
        <w:t>余量</w:t>
      </w:r>
      <w:r>
        <w:rPr>
          <w:rFonts w:ascii="宋体" w:hAnsi="宋体"/>
          <w:sz w:val="24"/>
          <w:lang w:val="en-US" w:eastAsia="zh-CN"/>
        </w:rPr>
        <w:t>为</w:t>
      </w:r>
      <w:r>
        <w:rPr>
          <w:rFonts w:ascii="宋体" w:hAnsi="宋体"/>
          <w:sz w:val="24"/>
        </w:rPr>
        <w:t>0.</w:t>
      </w:r>
      <w:r>
        <w:rPr>
          <w:rFonts w:ascii="宋体" w:hAnsi="宋体"/>
          <w:sz w:val="24"/>
          <w:lang w:val="en-US" w:eastAsia="zh-CN"/>
        </w:rPr>
        <w:t>4</w:t>
      </w:r>
      <w:r>
        <w:rPr>
          <w:rFonts w:ascii="宋体" w:hAnsi="宋体"/>
          <w:sz w:val="24"/>
        </w:rPr>
        <w:t>，</w:t>
      </w:r>
      <w:r>
        <w:rPr>
          <w:rFonts w:ascii="宋体" w:hAnsi="宋体"/>
          <w:sz w:val="24"/>
        </w:rPr>
        <w:t>请</w:t>
      </w:r>
      <w:r>
        <w:rPr>
          <w:rFonts w:ascii="宋体" w:hAnsi="宋体"/>
          <w:sz w:val="24"/>
        </w:rPr>
        <w:t>安排相关工序尺寸及公差要求</w:t>
      </w:r>
      <w:r>
        <w:rPr>
          <w:rFonts w:ascii="宋体" w:hAnsi="宋体"/>
          <w:sz w:val="24"/>
        </w:rPr>
        <w:t>。</w:t>
      </w:r>
    </w:p>
    <w:p>
      <w:pPr>
        <w:pStyle w:val="Normal"/>
        <w:spacing w:lineRule="auto" w:line="240" w:before="158" w:after="0"/>
        <w:ind w:firstLine="371" w:end="0"/>
        <w:jc w:val="start"/>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object w:dxaOrig="15113" w:dyaOrig="4057">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453.55pt;height:121.75pt" filled="f" o:ole="">
            <v:imagedata r:id="rId6" o:title=""/>
          </v:shape>
          <o:OLEObject Type="Embed" ProgID="" ShapeID="ole_rId5" DrawAspect="Content" ObjectID="_943199957" r:id="rId5"/>
        </w:object>
      </w:r>
    </w:p>
    <w:p>
      <w:pPr>
        <w:pStyle w:val="Style18"/>
        <w:ind w:end="567"/>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C</w:t>
      </w:r>
      <w:r>
        <w:rPr>
          <w:sz w:val="24"/>
          <w:lang w:val="en-US" w:eastAsia="zh-CN"/>
        </w:rPr>
        <w:t>直接保证设计尺寸</w:t>
      </w:r>
      <w:r>
        <w:rPr>
          <w:sz w:val="24"/>
          <w:lang w:val="en-US" w:eastAsia="zh-CN"/>
        </w:rPr>
        <w:t>25</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初步安排加工量：</w:t>
      </w:r>
      <w:r>
        <w:rPr>
          <w:sz w:val="24"/>
          <w:lang w:val="en-US" w:eastAsia="zh-CN"/>
        </w:rPr>
        <w:t>0.4</w:t>
      </w:r>
      <w:r>
        <w:rPr>
          <w:sz w:val="24"/>
          <w:lang w:val="en-US" w:eastAsia="zh-CN"/>
        </w:rPr>
        <w:t>（</w:t>
      </w:r>
      <w:r>
        <w:rPr>
          <w:sz w:val="24"/>
          <w:lang w:val="en-US" w:eastAsia="zh-CN"/>
        </w:rPr>
        <w:t>0.2</w:t>
      </w:r>
      <w:r>
        <w:rPr>
          <w:sz w:val="24"/>
          <w:lang w:val="en-US" w:eastAsia="zh-CN"/>
        </w:rPr>
        <w:t>，</w:t>
      </w:r>
      <w:r>
        <w:rPr>
          <w:sz w:val="24"/>
          <w:lang w:val="en-US" w:eastAsia="zh-CN"/>
        </w:rPr>
        <w:t>0</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w:t>
      </w:r>
      <w:r>
        <w:rPr>
          <w:sz w:val="24"/>
          <w:lang w:val="en-US" w:eastAsia="zh-CN"/>
        </w:rPr>
        <w:t>间接保证设计尺寸；</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B</w:t>
      </w:r>
      <w:r>
        <w:rPr>
          <w:sz w:val="24"/>
          <w:lang w:val="en-US" w:eastAsia="zh-CN"/>
        </w:rPr>
        <w:t>间接保证设计尺寸</w:t>
      </w:r>
      <w:r>
        <w:rPr>
          <w:sz w:val="24"/>
          <w:lang w:val="en-US" w:eastAsia="zh-CN"/>
        </w:rPr>
        <w:t>25</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w:t>
      </w:r>
      <w:r>
        <w:rPr>
          <w:sz w:val="24"/>
          <w:lang w:val="en-US" w:eastAsia="zh-CN"/>
        </w:rPr>
        <w:t>公差范围小，取</w:t>
      </w:r>
      <w:r>
        <w:rPr>
          <w:sz w:val="24"/>
          <w:lang w:val="en-US" w:eastAsia="zh-CN"/>
        </w:rPr>
        <w:t>A</w:t>
      </w:r>
      <w:r>
        <w:rPr>
          <w:sz w:val="24"/>
          <w:lang w:val="en-US" w:eastAsia="zh-CN"/>
        </w:rPr>
        <w:t>做尺寸链：</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drawing>
          <wp:inline distT="0" distB="0" distL="0" distR="0">
            <wp:extent cx="1231900" cy="1149350"/>
            <wp:effectExtent l="0" t="0" r="0" b="0"/>
            <wp:docPr id="2" name="图片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descr="" title=""/>
                    <pic:cNvPicPr>
                      <a:picLocks noChangeAspect="1" noChangeArrowheads="1"/>
                    </pic:cNvPicPr>
                  </pic:nvPicPr>
                  <pic:blipFill>
                    <a:blip r:embed="rId7"/>
                    <a:srcRect l="-29" t="-31" r="-29" b="-31"/>
                    <a:stretch>
                      <a:fillRect/>
                    </a:stretch>
                  </pic:blipFill>
                  <pic:spPr bwMode="auto">
                    <a:xfrm>
                      <a:off x="0" y="0"/>
                      <a:ext cx="1231900" cy="1149350"/>
                    </a:xfrm>
                    <a:prstGeom prst="rect">
                      <a:avLst/>
                    </a:prstGeom>
                  </pic:spPr>
                </pic:pic>
              </a:graphicData>
            </a:graphic>
          </wp:inline>
        </w:drawing>
      </w:r>
      <w:r>
        <w:rPr>
          <w:lang w:eastAsia="zh-CN"/>
        </w:rPr>
        <w:t>，</w:t>
      </w:r>
      <w:r>
        <w:rPr>
          <w:lang w:val="en-US" w:eastAsia="zh-CN"/>
        </w:rPr>
        <w:t>设计尺寸</w:t>
      </w:r>
      <w:r>
        <w:rPr>
          <w:lang w:val="en-US" w:eastAsia="zh-CN"/>
        </w:rPr>
        <w:t>25</w:t>
      </w:r>
      <w:r>
        <w:rPr>
          <w:lang w:val="en-US" w:eastAsia="zh-CN"/>
        </w:rPr>
        <w:t>为封闭环</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70=A - Δ</w:t>
      </w:r>
      <w:r>
        <w:rPr>
          <w:lang w:val="en-US" w:eastAsia="zh-CN"/>
        </w:rPr>
        <w:t>，</w:t>
      </w:r>
      <w:r>
        <w:rPr>
          <w:lang w:val="en-US" w:eastAsia="zh-CN"/>
        </w:rPr>
        <w:t>A=70.4</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0=ESA - 0</w:t>
      </w:r>
      <w:r>
        <w:rPr>
          <w:lang w:val="en-US" w:eastAsia="zh-CN"/>
        </w:rPr>
        <w:t>，</w:t>
      </w:r>
      <w:r>
        <w:rPr>
          <w:lang w:val="en-US" w:eastAsia="zh-CN"/>
        </w:rPr>
        <w:t>ESA = 0</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-0.2=EIA - 0.2</w:t>
      </w:r>
      <w:r>
        <w:rPr>
          <w:lang w:val="en-US" w:eastAsia="zh-CN"/>
        </w:rPr>
        <w:t>，</w:t>
      </w:r>
      <w:r>
        <w:rPr>
          <w:lang w:val="en-US" w:eastAsia="zh-CN"/>
        </w:rPr>
        <w:t>EIA = 0</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调整加工量：</w:t>
      </w:r>
      <w:r>
        <w:rPr>
          <w:lang w:val="en-US" w:eastAsia="zh-CN"/>
        </w:rPr>
        <w:t>0.4</w:t>
      </w:r>
      <w:r>
        <w:rPr>
          <w:lang w:val="en-US" w:eastAsia="zh-CN"/>
        </w:rPr>
        <w:t>（</w:t>
      </w:r>
      <w:r>
        <w:rPr>
          <w:lang w:val="en-US" w:eastAsia="zh-CN"/>
        </w:rPr>
        <w:t>0.1</w:t>
      </w:r>
      <w:r>
        <w:rPr>
          <w:lang w:val="en-US" w:eastAsia="zh-CN"/>
        </w:rPr>
        <w:t>，</w:t>
      </w:r>
      <w:r>
        <w:rPr>
          <w:rFonts w:eastAsia="Times New Roman"/>
          <w:lang w:val="en-US" w:eastAsia="zh-CN"/>
        </w:rPr>
        <w:t xml:space="preserve"> </w:t>
      </w:r>
      <w:r>
        <w:rPr>
          <w:lang w:val="en-US" w:eastAsia="zh-CN"/>
        </w:rPr>
        <w:t>0</w:t>
      </w:r>
      <w:r>
        <w:rPr>
          <w:lang w:val="en-US" w:eastAsia="zh-CN"/>
        </w:rPr>
        <w:t>），则</w:t>
      </w:r>
      <w:r>
        <w:rPr>
          <w:lang w:val="en-US" w:eastAsia="zh-CN"/>
        </w:rPr>
        <w:t>A=70.4</w:t>
      </w:r>
      <w:r>
        <w:rPr>
          <w:lang w:val="en-US" w:eastAsia="zh-CN"/>
        </w:rPr>
        <w:t>（</w:t>
      </w:r>
      <w:r>
        <w:rPr>
          <w:lang w:val="en-US" w:eastAsia="zh-CN"/>
        </w:rPr>
        <w:t>0</w:t>
      </w:r>
      <w:r>
        <w:rPr>
          <w:lang w:val="en-US" w:eastAsia="zh-CN"/>
        </w:rPr>
        <w:t>，</w:t>
      </w:r>
      <w:r>
        <w:rPr>
          <w:lang w:val="en-US" w:eastAsia="zh-CN"/>
        </w:rPr>
        <w:t>-0.1</w:t>
      </w:r>
      <w:r>
        <w:rPr>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与</w:t>
      </w:r>
      <w:r>
        <w:rPr>
          <w:lang w:val="en-US" w:eastAsia="zh-CN"/>
        </w:rPr>
        <w:t>A</w:t>
      </w:r>
      <w:r>
        <w:rPr>
          <w:lang w:val="en-US" w:eastAsia="zh-CN"/>
        </w:rPr>
        <w:t>方法相同，可得：</w:t>
      </w:r>
      <w:r>
        <w:rPr>
          <w:lang w:val="en-US" w:eastAsia="zh-CN"/>
        </w:rPr>
        <w:t>B=25.4</w:t>
      </w:r>
      <w:r>
        <w:rPr>
          <w:lang w:val="en-US" w:eastAsia="zh-CN"/>
        </w:rPr>
        <w:t>（</w:t>
      </w:r>
      <w:r>
        <w:rPr>
          <w:lang w:val="en-US" w:eastAsia="zh-CN"/>
        </w:rPr>
        <w:t>0</w:t>
      </w:r>
      <w:r>
        <w:rPr>
          <w:lang w:val="en-US" w:eastAsia="zh-CN"/>
        </w:rPr>
        <w:t>，</w:t>
      </w:r>
      <w:r>
        <w:rPr>
          <w:lang w:val="en-US" w:eastAsia="zh-CN"/>
        </w:rPr>
        <w:t>-0.2</w:t>
      </w:r>
      <w:r>
        <w:rPr>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r>
    </w:p>
    <w:sectPr>
      <w:footerReference w:type="default" r:id="rId8"/>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7</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7</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9"/>
      <w:numFmt w:val="decimal"/>
      <w:suff w:val="nothing"/>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style>
  <w:style w:type="character" w:styleId="WW8Num4z0">
    <w:name w:val="WW8Num4z0"/>
    <w:qFormat/>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5"/>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4.jpe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WEN</cp:lastModifiedBy>
  <cp:lastPrinted>2019-05-16T15:17:00Z</cp:lastPrinted>
  <dcterms:modified xsi:type="dcterms:W3CDTF">2023-04-16T14:10:43Z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2052-11.1.0.9991</vt:lpwstr>
  </property>
</Properties>
</file>