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3.bin" ContentType="application/vnd.openxmlformats-officedocument.oleObject"/>
  <Override PartName="/word/embeddings/oleObject12.bin" ContentType="application/vnd.openxmlformats-officedocument.oleObject"/>
  <Override PartName="/word/embeddings/oleObject11.bin" ContentType="application/vnd.openxmlformats-officedocument.oleObject"/>
  <Override PartName="/word/embeddings/oleObject10.bin" ContentType="application/vnd.openxmlformats-officedocument.oleObject"/>
  <Override PartName="/word/embeddings/oleObject17.bin" ContentType="application/vnd.openxmlformats-officedocument.oleObject"/>
  <Override PartName="/word/embeddings/oleObject4.bin" ContentType="application/vnd.openxmlformats-officedocument.oleObject"/>
  <Override PartName="/word/embeddings/oleObject16.bin" ContentType="application/vnd.openxmlformats-officedocument.oleObject"/>
  <Override PartName="/word/embeddings/oleObject3.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14.bin" ContentType="application/vnd.openxmlformats-officedocument.oleObject"/>
  <Override PartName="/word/embeddings/oleObject1.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media/image14.wmf" ContentType="image/x-wmf"/>
  <Override PartName="/word/media/image5.wmf" ContentType="image/x-wmf"/>
  <Override PartName="/word/media/image6.wmf" ContentType="image/x-wmf"/>
  <Override PartName="/word/media/image10.wmf" ContentType="image/x-wmf"/>
  <Override PartName="/word/media/image1.wmf" ContentType="image/x-wmf"/>
  <Override PartName="/word/media/image7.wmf" ContentType="image/x-wmf"/>
  <Override PartName="/word/media/image11.wmf" ContentType="image/x-wmf"/>
  <Override PartName="/word/media/image2.wmf" ContentType="image/x-wmf"/>
  <Override PartName="/word/media/image8.wmf" ContentType="image/x-wmf"/>
  <Override PartName="/word/media/image12.wmf" ContentType="image/x-wmf"/>
  <Override PartName="/word/media/image3.wmf" ContentType="image/x-wmf"/>
  <Override PartName="/word/media/image9.wmf" ContentType="image/x-wmf"/>
  <Override PartName="/word/media/image13.wmf" ContentType="image/x-wmf"/>
  <Override PartName="/word/media/image4.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宋体;SimSun" w:hAnsi="宋体;SimSun"/>
          <w:sz w:val="18"/>
        </w:rPr>
        <w:t>编号（</w:t>
      </w:r>
      <w:r>
        <w:rPr>
          <w:rFonts w:ascii="宋体;SimSun" w:hAnsi="宋体;SimSun"/>
          <w:sz w:val="18"/>
        </w:rPr>
        <w:t>23</w:t>
      </w:r>
      <w:r>
        <w:rPr>
          <w:rFonts w:ascii="宋体;SimSun" w:hAnsi="宋体;SimSun"/>
          <w:sz w:val="18"/>
        </w:rPr>
        <w:t xml:space="preserve">）       </w:t>
      </w:r>
      <w:r>
        <w:rPr>
          <w:rFonts w:ascii="宋体;SimSun" w:hAnsi="宋体;SimSun"/>
          <w:sz w:val="24"/>
        </w:rPr>
        <w:t>北京理工大学远程教育</w:t>
      </w:r>
      <w:r>
        <w:rPr>
          <w:rFonts w:ascii="宋体;SimSun" w:hAnsi="宋体;SimSun"/>
          <w:sz w:val="24"/>
        </w:rPr>
        <w:t>200</w:t>
      </w:r>
      <w:r>
        <w:rPr>
          <w:rFonts w:ascii="宋体;SimSun" w:hAnsi="宋体;SimSun"/>
          <w:sz w:val="24"/>
        </w:rPr>
        <w:t>4</w:t>
      </w:r>
      <w:r>
        <w:rPr>
          <w:rFonts w:ascii="宋体;SimSun" w:hAnsi="宋体;SimSun"/>
          <w:sz w:val="24"/>
        </w:rPr>
        <w:t>-200</w:t>
      </w:r>
      <w:r>
        <w:rPr>
          <w:rFonts w:ascii="宋体;SimSun" w:hAnsi="宋体;SimSun"/>
          <w:sz w:val="24"/>
        </w:rPr>
        <w:t>5</w:t>
      </w:r>
      <w:r>
        <w:rPr>
          <w:rFonts w:ascii="宋体;SimSun" w:hAnsi="宋体;SimSun"/>
          <w:sz w:val="24"/>
        </w:rPr>
        <w:t>学年第二学期</w:t>
      </w:r>
    </w:p>
    <w:p>
      <w:pPr>
        <w:pStyle w:val="Normal"/>
        <w:spacing w:lineRule="auto" w:line="480"/>
        <w:jc w:val="center"/>
        <w:rPr/>
      </w:pPr>
      <w:r>
        <w:rPr>
          <w:rFonts w:ascii="宋体;SimSun" w:hAnsi="宋体;SimSun"/>
          <w:sz w:val="32"/>
        </w:rPr>
        <w:t>《机械制造工程学》期末试卷</w:t>
      </w:r>
      <w:r>
        <w:rPr>
          <w:rFonts w:ascii="宋体;SimSun" w:hAnsi="宋体;SimSun"/>
          <w:sz w:val="32"/>
        </w:rPr>
        <w:t>(A</w:t>
      </w:r>
      <w:r>
        <w:rPr>
          <w:rFonts w:ascii="宋体;SimSun" w:hAnsi="宋体;SimSun"/>
          <w:sz w:val="32"/>
        </w:rPr>
        <w:t>卷</w:t>
      </w:r>
      <w:r>
        <w:rPr>
          <w:rFonts w:ascii="宋体;SimSun" w:hAnsi="宋体;SimSun"/>
          <w:sz w:val="32"/>
        </w:rPr>
        <w:t xml:space="preserve">) </w:t>
      </w:r>
    </w:p>
    <w:p>
      <w:pPr>
        <w:pStyle w:val="Normal"/>
        <w:spacing w:lineRule="exact" w:line="320"/>
        <w:rPr>
          <w:rFonts w:ascii="宋体;SimSun" w:hAnsi="宋体;SimSun"/>
          <w:sz w:val="28"/>
          <w:u w:val="single"/>
        </w:rPr>
      </w:pPr>
      <w:r>
        <w:rPr>
          <w:rFonts w:ascii="宋体;SimSun" w:hAnsi="宋体;SimSun"/>
          <w:sz w:val="28"/>
          <w:u w:val="single"/>
        </w:rPr>
      </w:r>
    </w:p>
    <w:p>
      <w:pPr>
        <w:pStyle w:val="Normal"/>
        <w:spacing w:lineRule="atLeast" w:line="360" w:before="240" w:after="0"/>
        <w:jc w:val="start"/>
        <w:rPr>
          <w:sz w:val="24"/>
        </w:rPr>
      </w:pPr>
      <w:r>
        <w:rPr>
          <w:sz w:val="24"/>
        </w:rPr>
        <w:t>一．解释下列工艺学名词：（每题</w:t>
      </w:r>
      <w:r>
        <w:rPr>
          <w:sz w:val="24"/>
        </w:rPr>
        <w:t>3</w:t>
      </w:r>
      <w:r>
        <w:rPr>
          <w:sz w:val="24"/>
        </w:rPr>
        <w:t>分，共</w:t>
      </w:r>
      <w:r>
        <w:rPr>
          <w:sz w:val="24"/>
        </w:rPr>
        <w:t>15</w:t>
      </w:r>
      <w:r>
        <w:rPr>
          <w:sz w:val="24"/>
        </w:rPr>
        <w:t>分）</w:t>
      </w:r>
    </w:p>
    <w:p>
      <w:pPr>
        <w:pStyle w:val="Normal"/>
        <w:tabs>
          <w:tab w:val="clear" w:pos="420"/>
          <w:tab w:val="left" w:pos="1800" w:leader="none"/>
        </w:tabs>
        <w:spacing w:lineRule="atLeast" w:line="360" w:before="0" w:after="120"/>
        <w:ind w:firstLine="480" w:end="0"/>
        <w:jc w:val="start"/>
        <w:rPr/>
      </w:pPr>
      <w:r>
        <w:rPr>
          <w:sz w:val="24"/>
        </w:rPr>
        <w:t>1</w:t>
      </w:r>
      <w:r>
        <w:rPr>
          <w:sz w:val="24"/>
        </w:rPr>
        <w:t>．工序——一个工件（或一组同时加工的工件），在一个工作地，由一个工人（或相互协作的多个工人）连续完成的加工工作。</w:t>
      </w:r>
    </w:p>
    <w:p>
      <w:pPr>
        <w:pStyle w:val="Normal"/>
        <w:tabs>
          <w:tab w:val="clear" w:pos="420"/>
          <w:tab w:val="left" w:pos="1800" w:leader="none"/>
        </w:tabs>
        <w:spacing w:lineRule="atLeast" w:line="360" w:before="0" w:after="120"/>
        <w:ind w:firstLine="480" w:end="0"/>
        <w:jc w:val="start"/>
        <w:rPr/>
      </w:pPr>
      <w:r>
        <w:rPr>
          <w:sz w:val="24"/>
        </w:rPr>
        <w:t>2</w:t>
      </w:r>
      <w:r>
        <w:rPr>
          <w:sz w:val="24"/>
        </w:rPr>
        <w:t>．加工精度——零件表面的几何形状、尺寸、位置实际值与理论值的符合程度。</w:t>
      </w:r>
    </w:p>
    <w:p>
      <w:pPr>
        <w:pStyle w:val="Normal"/>
        <w:tabs>
          <w:tab w:val="clear" w:pos="420"/>
          <w:tab w:val="left" w:pos="1800" w:leader="none"/>
        </w:tabs>
        <w:spacing w:lineRule="atLeast" w:line="360" w:before="0" w:after="120"/>
        <w:ind w:firstLine="480" w:end="0"/>
        <w:jc w:val="start"/>
        <w:rPr>
          <w:sz w:val="24"/>
        </w:rPr>
      </w:pPr>
      <w:r>
        <w:rPr>
          <w:sz w:val="24"/>
        </w:rPr>
        <w:t>3</w:t>
      </w:r>
      <w:r>
        <w:rPr>
          <w:sz w:val="24"/>
        </w:rPr>
        <w:t>．工艺系统刚度——在工艺系统中，刀尖在误差敏感方向受到的切削力与刀尖相对于工件的位移之比称为工艺系统的刚度。</w:t>
      </w:r>
    </w:p>
    <w:p>
      <w:pPr>
        <w:pStyle w:val="Normal"/>
        <w:tabs>
          <w:tab w:val="clear" w:pos="420"/>
          <w:tab w:val="left" w:pos="1800" w:leader="none"/>
        </w:tabs>
        <w:spacing w:lineRule="atLeast" w:line="360" w:before="0" w:after="120"/>
        <w:ind w:firstLine="480" w:end="0"/>
        <w:jc w:val="start"/>
        <w:rPr>
          <w:sz w:val="24"/>
        </w:rPr>
      </w:pPr>
      <w:r>
        <w:rPr>
          <w:sz w:val="24"/>
        </w:rPr>
        <w:t>4</w:t>
      </w:r>
      <w:r>
        <w:rPr>
          <w:sz w:val="24"/>
        </w:rPr>
        <w:t>．刀具耐用度——当刀具磨损到一定的程度，使加工精度或者加工效率不能满足工艺要求，或者继续使用在经济上与不合算，这个时间限度被称为刀具耐用度。</w:t>
      </w:r>
    </w:p>
    <w:p>
      <w:pPr>
        <w:pStyle w:val="Normal"/>
        <w:tabs>
          <w:tab w:val="clear" w:pos="420"/>
          <w:tab w:val="left" w:pos="1800" w:leader="none"/>
        </w:tabs>
        <w:spacing w:lineRule="atLeast" w:line="360" w:before="0" w:after="120"/>
        <w:ind w:firstLine="480" w:end="0"/>
        <w:jc w:val="start"/>
        <w:rPr>
          <w:sz w:val="24"/>
        </w:rPr>
      </w:pPr>
      <w:r>
        <w:rPr>
          <w:sz w:val="24"/>
        </w:rPr>
        <w:t>5</w:t>
      </w:r>
      <w:r>
        <w:rPr>
          <w:sz w:val="24"/>
        </w:rPr>
        <w:t>．生产率——单位时间生产的产品数量，或生产单位产品所需要的时间，包括企业生产率和劳动生产率。</w:t>
      </w:r>
    </w:p>
    <w:p>
      <w:pPr>
        <w:pStyle w:val="Normal"/>
        <w:tabs>
          <w:tab w:val="clear" w:pos="420"/>
          <w:tab w:val="left" w:pos="1800" w:leader="none"/>
        </w:tabs>
        <w:spacing w:lineRule="atLeast" w:line="360" w:before="0" w:after="120"/>
        <w:ind w:firstLine="480" w:end="0"/>
        <w:jc w:val="start"/>
        <w:rPr>
          <w:sz w:val="24"/>
        </w:rPr>
      </w:pPr>
      <w:r>
        <w:rPr>
          <w:sz w:val="24"/>
        </w:rPr>
      </w:r>
    </w:p>
    <w:p>
      <w:pPr>
        <w:pStyle w:val="Normal"/>
        <w:widowControl/>
        <w:tabs>
          <w:tab w:val="clear" w:pos="420"/>
          <w:tab w:val="left" w:pos="3403" w:leader="none"/>
        </w:tabs>
        <w:autoSpaceDE w:val="false"/>
        <w:spacing w:lineRule="atLeast" w:line="360" w:before="0" w:after="120"/>
        <w:ind w:hanging="504" w:start="504" w:end="0"/>
        <w:textAlignment w:val="bottom"/>
        <w:rPr/>
      </w:pPr>
      <w:r>
        <w:rPr>
          <w:rFonts w:ascii="宋体;SimSun" w:hAnsi="宋体;SimSun"/>
          <w:sz w:val="24"/>
        </w:rPr>
        <w:t>二．常见的通孔精加工都有哪些方法？针对其中的两种方法各试举一例说明。</w:t>
      </w:r>
      <w:r>
        <w:rPr>
          <w:sz w:val="24"/>
        </w:rPr>
        <w:t>（</w:t>
      </w:r>
      <w:r>
        <w:rPr>
          <w:sz w:val="24"/>
        </w:rPr>
        <w:t>10</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t>通孔精加工的方法包括：</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t>扩孔——使用扩孔钻头扩大以加工孔，提高空的尺寸和形状精度，降低表面粗糙度值；</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t>铰孔——使用铰刀切削少量余量，提高空的尺寸和形状精度，降低表面粗糙度值；</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t>镗孔——使用镗刀加工，扩大底孔尺寸，同时修正孔的位置偏差，提高空的尺寸和形状精度，降低表面粗糙度值；</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t>珩孔——使用珩磨头对孔进行加工（旋转和轴向往复运动），去除极少量的加工余量，提高空的尺寸和形状精度，降低表面粗糙度值；</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rFonts w:ascii="宋体;SimSun" w:hAnsi="宋体;SimSun"/>
          <w:sz w:val="24"/>
        </w:rPr>
        <w:t>研孔——利用研磨棒涂抹研磨剂对孔加工，去除极少量的加工余量，提高空的尺寸和形状精度，降低表面粗糙度值；</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r>
    </w:p>
    <w:p>
      <w:pPr>
        <w:pStyle w:val="Normal"/>
        <w:spacing w:lineRule="atLeast" w:line="360"/>
        <w:jc w:val="start"/>
        <w:rPr/>
      </w:pPr>
      <w:r>
        <w:rPr>
          <w:sz w:val="24"/>
        </w:rPr>
        <w:t>三．请给出粗基准的选择原则，并请说明理由。（</w:t>
      </w:r>
      <w:r>
        <w:rPr>
          <w:sz w:val="24"/>
        </w:rPr>
        <w:t>1</w:t>
      </w:r>
      <w:r>
        <w:rPr>
          <w:sz w:val="24"/>
        </w:rPr>
        <w:t>5</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numPr>
          <w:ilvl w:val="0"/>
          <w:numId w:val="4"/>
        </w:numPr>
        <w:spacing w:lineRule="atLeast" w:line="360"/>
        <w:jc w:val="start"/>
        <w:rPr>
          <w:sz w:val="24"/>
        </w:rPr>
      </w:pPr>
      <w:r>
        <w:rPr>
          <w:sz w:val="24"/>
        </w:rPr>
        <w:t>为保证重要表面在加工使用均匀的加工余量，使复映误差产生的形状误差最小，应选用该重要表面。</w:t>
      </w:r>
    </w:p>
    <w:p>
      <w:pPr>
        <w:pStyle w:val="Normal"/>
        <w:numPr>
          <w:ilvl w:val="0"/>
          <w:numId w:val="4"/>
        </w:numPr>
        <w:spacing w:lineRule="atLeast" w:line="360"/>
        <w:jc w:val="start"/>
        <w:rPr>
          <w:sz w:val="24"/>
        </w:rPr>
      </w:pPr>
      <w:r>
        <w:rPr>
          <w:sz w:val="24"/>
        </w:rPr>
        <w:t>如工件上的不加工表面与加工表面之间有较高的位置精度要求，为保证这个位置尺寸，应选用该不加工表面做粗基准。</w:t>
      </w:r>
    </w:p>
    <w:p>
      <w:pPr>
        <w:pStyle w:val="Normal"/>
        <w:numPr>
          <w:ilvl w:val="0"/>
          <w:numId w:val="4"/>
        </w:numPr>
        <w:spacing w:lineRule="atLeast" w:line="360"/>
        <w:jc w:val="start"/>
        <w:rPr>
          <w:sz w:val="24"/>
        </w:rPr>
      </w:pPr>
      <w:r>
        <w:rPr>
          <w:sz w:val="24"/>
        </w:rPr>
        <w:t>由于分型面、浇冒口、飞边、毛刺等部位表面起伏过大，因此粗基准不能是分型面、浇冒口、飞边、毛刺。</w:t>
      </w:r>
    </w:p>
    <w:p>
      <w:pPr>
        <w:pStyle w:val="Normal"/>
        <w:numPr>
          <w:ilvl w:val="0"/>
          <w:numId w:val="4"/>
        </w:numPr>
        <w:spacing w:lineRule="atLeast" w:line="360"/>
        <w:jc w:val="start"/>
        <w:rPr>
          <w:sz w:val="24"/>
        </w:rPr>
      </w:pPr>
      <w:r>
        <w:rPr>
          <w:sz w:val="24"/>
        </w:rPr>
        <w:t>为保证基准的一致性，由于粗基准精度较差，减少多次定位带来的重复误差，因此一个粗基准只能使用一次。</w:t>
      </w:r>
    </w:p>
    <w:p>
      <w:pPr>
        <w:pStyle w:val="Normal"/>
        <w:spacing w:lineRule="atLeast" w:line="360"/>
        <w:jc w:val="start"/>
        <w:rPr>
          <w:sz w:val="24"/>
        </w:rPr>
      </w:pPr>
      <w:r>
        <w:rPr>
          <w:sz w:val="24"/>
        </w:rPr>
      </w:r>
    </w:p>
    <w:p>
      <w:pPr>
        <w:pStyle w:val="Normal"/>
        <w:spacing w:lineRule="atLeast" w:line="360" w:before="0" w:after="120"/>
        <w:jc w:val="start"/>
        <w:rPr/>
      </w:pPr>
      <w:r>
        <w:rPr/>
        <w:t>四．</w:t>
      </w:r>
      <w:r>
        <w:rPr>
          <w:sz w:val="24"/>
        </w:rPr>
        <w:t>试列举三种提高表面质量的加工方法，并说明它们的加工原理和大致的精度范围（</w:t>
      </w:r>
      <w:r>
        <w:rPr>
          <w:sz w:val="24"/>
        </w:rPr>
        <w:t>1</w:t>
      </w:r>
      <w:r>
        <w:rPr>
          <w:sz w:val="24"/>
        </w:rPr>
        <w:t>5</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numPr>
          <w:ilvl w:val="0"/>
          <w:numId w:val="1"/>
        </w:numPr>
        <w:spacing w:lineRule="atLeast" w:line="360" w:before="0" w:after="120"/>
        <w:jc w:val="start"/>
        <w:rPr>
          <w:rFonts w:ascii="宋体;SimSun" w:hAnsi="宋体;SimSun"/>
          <w:sz w:val="24"/>
        </w:rPr>
      </w:pPr>
      <w:r>
        <w:rPr>
          <w:rFonts w:ascii="宋体;SimSun" w:hAnsi="宋体;SimSun"/>
          <w:sz w:val="24"/>
        </w:rPr>
        <w:t>珩磨——使用珩磨头上的油石以一定的恒力（大致</w:t>
      </w:r>
      <w:r>
        <w:rPr>
          <w:rFonts w:ascii="宋体;SimSun" w:hAnsi="宋体;SimSun"/>
          <w:sz w:val="24"/>
        </w:rPr>
        <w:t>0.2-0.3 MPa</w:t>
      </w:r>
      <w:r>
        <w:rPr>
          <w:rFonts w:ascii="宋体;SimSun" w:hAnsi="宋体;SimSun"/>
          <w:sz w:val="24"/>
        </w:rPr>
        <w:t>）压在被加工表面做近似无规运动，使高点的局部余量被去除，主要提高形状和尺寸精度，以及减少表面粗糙度值。加工精度在</w:t>
      </w:r>
      <w:r>
        <w:rPr>
          <w:rFonts w:ascii="宋体;SimSun" w:hAnsi="宋体;SimSun"/>
          <w:sz w:val="24"/>
        </w:rPr>
        <w:t>0.01-0.001mm</w:t>
      </w:r>
      <w:r>
        <w:rPr>
          <w:rFonts w:ascii="宋体;SimSun" w:hAnsi="宋体;SimSun"/>
          <w:sz w:val="24"/>
        </w:rPr>
        <w:t>之间，表面粗糙度值</w:t>
      </w:r>
      <w:r>
        <w:rPr>
          <w:rFonts w:ascii="宋体;SimSun" w:hAnsi="宋体;SimSun"/>
          <w:sz w:val="24"/>
        </w:rPr>
        <w:t>Ra</w:t>
      </w:r>
      <w:r>
        <w:rPr>
          <w:rFonts w:ascii="宋体;SimSun" w:hAnsi="宋体;SimSun"/>
          <w:sz w:val="24"/>
        </w:rPr>
        <w:t>在</w:t>
      </w:r>
      <w:r>
        <w:rPr>
          <w:rFonts w:ascii="宋体;SimSun" w:hAnsi="宋体;SimSun"/>
          <w:sz w:val="24"/>
        </w:rPr>
        <w:t>0.8-0.1</w:t>
      </w:r>
      <w:r>
        <w:rPr>
          <w:rFonts w:cs="宋体;SimSun" w:ascii="宋体;SimSun" w:hAnsi="宋体;SimSun"/>
          <w:i/>
          <w:sz w:val="24"/>
        </w:rPr>
        <w:t>μ</w:t>
      </w:r>
      <w:r>
        <w:rPr>
          <w:rFonts w:ascii="宋体;SimSun" w:hAnsi="宋体;SimSun"/>
          <w:sz w:val="24"/>
        </w:rPr>
        <w:t>m</w:t>
      </w:r>
      <w:r>
        <w:rPr>
          <w:rFonts w:ascii="宋体;SimSun" w:hAnsi="宋体;SimSun"/>
          <w:sz w:val="24"/>
        </w:rPr>
        <w:t>之间。</w:t>
      </w:r>
    </w:p>
    <w:p>
      <w:pPr>
        <w:pStyle w:val="Normal"/>
        <w:numPr>
          <w:ilvl w:val="0"/>
          <w:numId w:val="1"/>
        </w:numPr>
        <w:spacing w:lineRule="atLeast" w:line="360" w:before="0" w:after="120"/>
        <w:jc w:val="start"/>
        <w:rPr>
          <w:rFonts w:ascii="宋体;SimSun" w:hAnsi="宋体;SimSun"/>
          <w:sz w:val="24"/>
        </w:rPr>
      </w:pPr>
      <w:r>
        <w:rPr>
          <w:rFonts w:ascii="宋体;SimSun" w:hAnsi="宋体;SimSun"/>
          <w:sz w:val="24"/>
        </w:rPr>
        <w:t>研磨——使用研磨工具涂抹上研磨剂在加工表面上做配合运动，利用研磨剂与加工表面高点的摩擦，去除极少的加工余量，能得到极高的形状和尺寸精度，以及减少表面粗糙度值。加工精度在</w:t>
      </w:r>
      <w:r>
        <w:rPr>
          <w:rFonts w:ascii="宋体;SimSun" w:hAnsi="宋体;SimSun"/>
          <w:sz w:val="24"/>
        </w:rPr>
        <w:t>0.001-0.0001mm</w:t>
      </w:r>
      <w:r>
        <w:rPr>
          <w:rFonts w:ascii="宋体;SimSun" w:hAnsi="宋体;SimSun"/>
          <w:sz w:val="24"/>
        </w:rPr>
        <w:t>之间，表面粗糙度值</w:t>
      </w:r>
      <w:r>
        <w:rPr>
          <w:rFonts w:ascii="宋体;SimSun" w:hAnsi="宋体;SimSun"/>
          <w:sz w:val="24"/>
        </w:rPr>
        <w:t>Ra</w:t>
      </w:r>
      <w:r>
        <w:rPr>
          <w:rFonts w:ascii="宋体;SimSun" w:hAnsi="宋体;SimSun"/>
          <w:sz w:val="24"/>
        </w:rPr>
        <w:t>在</w:t>
      </w:r>
      <w:r>
        <w:rPr>
          <w:rFonts w:ascii="宋体;SimSun" w:hAnsi="宋体;SimSun"/>
          <w:sz w:val="24"/>
        </w:rPr>
        <w:t>0.8-0.02</w:t>
      </w:r>
      <w:r>
        <w:rPr>
          <w:rFonts w:cs="宋体;SimSun" w:ascii="宋体;SimSun" w:hAnsi="宋体;SimSun"/>
          <w:i/>
          <w:sz w:val="24"/>
        </w:rPr>
        <w:t>μ</w:t>
      </w:r>
      <w:r>
        <w:rPr>
          <w:rFonts w:ascii="宋体;SimSun" w:hAnsi="宋体;SimSun"/>
          <w:sz w:val="24"/>
        </w:rPr>
        <w:t>m</w:t>
      </w:r>
      <w:r>
        <w:rPr>
          <w:rFonts w:ascii="宋体;SimSun" w:hAnsi="宋体;SimSun"/>
          <w:sz w:val="24"/>
        </w:rPr>
        <w:t>之间。</w:t>
      </w:r>
    </w:p>
    <w:p>
      <w:pPr>
        <w:pStyle w:val="Normal"/>
        <w:numPr>
          <w:ilvl w:val="0"/>
          <w:numId w:val="1"/>
        </w:numPr>
        <w:spacing w:lineRule="atLeast" w:line="360" w:before="0" w:after="120"/>
        <w:jc w:val="start"/>
        <w:rPr>
          <w:sz w:val="24"/>
        </w:rPr>
      </w:pPr>
      <w:r>
        <w:rPr>
          <w:rFonts w:ascii="宋体;SimSun" w:hAnsi="宋体;SimSun"/>
          <w:sz w:val="24"/>
        </w:rPr>
        <w:t>抛光——利用抛光轮（一般是软质布料做成）涂抹抛光膏（由极细的硬质磨料、连接油脂和一定的酸性化学物质组成）高速与加工表面摩擦，用物理及化学方法去除表面粗糙度的高点，由于抛光基本不能去除余量，因此只能减少表面粗糙度值，而不能提高加工精度。表面粗糙度值</w:t>
      </w:r>
      <w:r>
        <w:rPr>
          <w:rFonts w:ascii="宋体;SimSun" w:hAnsi="宋体;SimSun"/>
          <w:sz w:val="24"/>
        </w:rPr>
        <w:t>Ra</w:t>
      </w:r>
      <w:r>
        <w:rPr>
          <w:rFonts w:ascii="宋体;SimSun" w:hAnsi="宋体;SimSun"/>
          <w:sz w:val="24"/>
        </w:rPr>
        <w:t>在</w:t>
      </w:r>
      <w:r>
        <w:rPr>
          <w:rFonts w:ascii="宋体;SimSun" w:hAnsi="宋体;SimSun"/>
          <w:sz w:val="24"/>
        </w:rPr>
        <w:t>0.01-0.001</w:t>
      </w:r>
      <w:r>
        <w:rPr>
          <w:rFonts w:cs="宋体;SimSun" w:ascii="宋体;SimSun" w:hAnsi="宋体;SimSun"/>
          <w:i/>
          <w:sz w:val="24"/>
        </w:rPr>
        <w:t>μ</w:t>
      </w:r>
      <w:r>
        <w:rPr>
          <w:rFonts w:ascii="宋体;SimSun" w:hAnsi="宋体;SimSun"/>
          <w:sz w:val="24"/>
        </w:rPr>
        <w:t>m</w:t>
      </w:r>
      <w:r>
        <w:rPr>
          <w:rFonts w:ascii="宋体;SimSun" w:hAnsi="宋体;SimSun"/>
          <w:sz w:val="24"/>
        </w:rPr>
        <w:t>之间，达到镜面效果。</w:t>
      </w:r>
    </w:p>
    <w:p>
      <w:pPr>
        <w:pStyle w:val="Normal"/>
        <w:spacing w:lineRule="atLeast" w:line="360" w:before="0" w:after="120"/>
        <w:jc w:val="start"/>
        <w:rPr>
          <w:sz w:val="24"/>
        </w:rPr>
      </w:pPr>
      <w:r>
        <w:rPr>
          <w:sz w:val="24"/>
        </w:rPr>
      </w:r>
    </w:p>
    <w:p>
      <w:pPr>
        <w:pStyle w:val="Normal"/>
        <w:spacing w:lineRule="atLeast" w:line="360" w:before="0" w:after="120"/>
        <w:jc w:val="start"/>
        <w:rPr/>
      </w:pPr>
      <w:r>
        <w:rPr>
          <w:rFonts w:ascii="宋体;SimSun" w:hAnsi="宋体;SimSun"/>
          <w:sz w:val="24"/>
        </w:rPr>
        <w:t>五．工艺系统热变形的热源有哪些？在平面磨床上磨削薄板零件时，由于磨削的局部温升使工件中心的温度比边缘的高，会造成什么形状的加工误差？</w:t>
      </w:r>
      <w:r>
        <w:rPr>
          <w:sz w:val="24"/>
        </w:rPr>
        <w:t>（</w:t>
      </w:r>
      <w:r>
        <w:rPr>
          <w:sz w:val="24"/>
        </w:rPr>
        <w:t>1</w:t>
      </w:r>
      <w:r>
        <w:rPr>
          <w:sz w:val="24"/>
        </w:rPr>
        <w:t>5</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spacing w:lineRule="atLeast" w:line="360" w:before="0" w:after="120"/>
        <w:jc w:val="start"/>
        <w:rPr>
          <w:rFonts w:ascii="宋体;SimSun" w:hAnsi="宋体;SimSun"/>
          <w:sz w:val="24"/>
        </w:rPr>
      </w:pPr>
      <w:r>
        <w:rPr>
          <w:rFonts w:ascii="宋体;SimSun" w:hAnsi="宋体;SimSun"/>
          <w:sz w:val="24"/>
        </w:rPr>
        <w:t>艺系统热变形的热源有</w:t>
      </w:r>
    </w:p>
    <w:p>
      <w:pPr>
        <w:pStyle w:val="Normal"/>
        <w:numPr>
          <w:ilvl w:val="1"/>
          <w:numId w:val="3"/>
        </w:numPr>
        <w:tabs>
          <w:tab w:val="clear" w:pos="420"/>
          <w:tab w:val="left" w:pos="1440" w:leader="none"/>
        </w:tabs>
        <w:spacing w:lineRule="atLeast" w:line="360" w:before="0" w:after="120"/>
        <w:jc w:val="start"/>
        <w:rPr>
          <w:sz w:val="24"/>
        </w:rPr>
      </w:pPr>
      <w:r>
        <w:rPr>
          <w:sz w:val="24"/>
        </w:rPr>
        <w:t>切削热</w:t>
      </w:r>
      <w:r>
        <w:rPr>
          <w:sz w:val="24"/>
        </w:rPr>
        <w:t>——</w:t>
      </w:r>
      <w:r>
        <w:rPr>
          <w:sz w:val="24"/>
        </w:rPr>
        <w:t>切削区的摩擦（外摩擦和内摩擦）。</w:t>
      </w:r>
    </w:p>
    <w:p>
      <w:pPr>
        <w:pStyle w:val="Normal"/>
        <w:numPr>
          <w:ilvl w:val="0"/>
          <w:numId w:val="3"/>
        </w:numPr>
        <w:spacing w:lineRule="atLeast" w:line="360" w:before="0" w:after="120"/>
        <w:jc w:val="start"/>
        <w:rPr>
          <w:sz w:val="24"/>
        </w:rPr>
      </w:pPr>
      <w:r>
        <w:rPr>
          <w:sz w:val="24"/>
        </w:rPr>
        <w:t>传动热</w:t>
      </w:r>
      <w:r>
        <w:rPr>
          <w:sz w:val="24"/>
        </w:rPr>
        <w:t>——</w:t>
      </w:r>
      <w:r>
        <w:rPr>
          <w:sz w:val="24"/>
        </w:rPr>
        <w:t>机床动力源（如电机、液压元件等）和运动付（如主轴箱中的齿轮、轴承，床身导轨等）的摩擦。</w:t>
      </w:r>
    </w:p>
    <w:p>
      <w:pPr>
        <w:pStyle w:val="Normal"/>
        <w:numPr>
          <w:ilvl w:val="0"/>
          <w:numId w:val="3"/>
        </w:numPr>
        <w:spacing w:lineRule="atLeast" w:line="360" w:before="0" w:after="120"/>
        <w:jc w:val="start"/>
        <w:rPr>
          <w:sz w:val="24"/>
        </w:rPr>
      </w:pPr>
      <w:r>
        <w:rPr>
          <w:sz w:val="24"/>
        </w:rPr>
        <w:t>派生热源</w:t>
      </w:r>
      <w:r>
        <w:rPr>
          <w:sz w:val="24"/>
        </w:rPr>
        <w:t>——</w:t>
      </w:r>
      <w:r>
        <w:rPr>
          <w:sz w:val="24"/>
        </w:rPr>
        <w:t>有其他热源产生，由冷却液、润滑油、切屑等带来的热量。</w:t>
      </w:r>
    </w:p>
    <w:p>
      <w:pPr>
        <w:pStyle w:val="Normal"/>
        <w:numPr>
          <w:ilvl w:val="0"/>
          <w:numId w:val="3"/>
        </w:numPr>
        <w:spacing w:lineRule="atLeast" w:line="360" w:before="0" w:after="120"/>
        <w:jc w:val="start"/>
        <w:rPr>
          <w:sz w:val="24"/>
        </w:rPr>
      </w:pPr>
      <w:r>
        <w:rPr>
          <w:sz w:val="24"/>
        </w:rPr>
        <w:t>外部热源</w:t>
      </w:r>
      <w:r>
        <w:rPr>
          <w:sz w:val="24"/>
        </w:rPr>
        <w:t>——</w:t>
      </w:r>
      <w:r>
        <w:rPr>
          <w:sz w:val="24"/>
        </w:rPr>
        <w:t>工艺系统以外产生的热量（阳光、空气等）。</w:t>
      </w:r>
    </w:p>
    <w:p>
      <w:pPr>
        <w:pStyle w:val="Normal"/>
        <w:spacing w:lineRule="atLeast" w:line="360" w:before="0" w:after="120"/>
        <w:ind w:firstLine="540" w:end="0"/>
        <w:jc w:val="start"/>
        <w:rPr>
          <w:sz w:val="24"/>
        </w:rPr>
      </w:pPr>
      <w:r>
        <w:rPr>
          <w:rFonts w:ascii="宋体;SimSun" w:hAnsi="宋体;SimSun"/>
          <w:sz w:val="24"/>
        </w:rPr>
        <w:t>在平面磨床上磨削薄板零件时，由于工件中心的温度比边缘的高，共建中心凸起，被磨削余量较多，加工完成后，温度恢复常温，由于中心部位磨掉材料较多，因此产生凹陷，形成平面度（轮廓度）误差。</w:t>
      </w:r>
    </w:p>
    <w:p>
      <w:pPr>
        <w:pStyle w:val="Normal"/>
        <w:spacing w:lineRule="atLeast" w:line="360" w:before="0" w:after="120"/>
        <w:jc w:val="start"/>
        <w:rPr>
          <w:sz w:val="24"/>
        </w:rPr>
      </w:pPr>
      <w:r>
        <w:rPr>
          <w:sz w:val="24"/>
        </w:rPr>
      </w:r>
      <w:r>
        <mc:AlternateContent>
          <mc:Choice Requires="wps">
            <w:drawing>
              <wp:anchor behindDoc="0" distT="0" distB="0" distL="114300" distR="114300" simplePos="0" locked="0" layoutInCell="0" allowOverlap="1" relativeHeight="2">
                <wp:simplePos x="0" y="0"/>
                <wp:positionH relativeFrom="page">
                  <wp:posOffset>3398520</wp:posOffset>
                </wp:positionH>
                <wp:positionV relativeFrom="paragraph">
                  <wp:posOffset>279400</wp:posOffset>
                </wp:positionV>
                <wp:extent cx="5471160" cy="1457960"/>
                <wp:effectExtent l="0" t="0" r="0" b="0"/>
                <wp:wrapSquare wrapText="bothSides"/>
                <wp:docPr id="1" name="Frame1"/>
                <a:graphic xmlns:a="http://schemas.openxmlformats.org/drawingml/2006/main">
                  <a:graphicData uri="http://schemas.microsoft.com/office/word/2010/wordprocessingShape">
                    <wps:wsp>
                      <wps:cNvSpPr txBox="1"/>
                      <wps:spPr>
                        <a:xfrm>
                          <a:off x="0" y="0"/>
                          <a:ext cx="5471160" cy="1457960"/>
                        </a:xfrm>
                        <a:prstGeom prst="rect"/>
                        <a:solidFill>
                          <a:srgbClr val="FFFFFF">
                            <a:alpha val="0"/>
                          </a:srgbClr>
                        </a:solidFill>
                      </wps:spPr>
                      <wps:txbx>
                        <w:txbxContent>
                          <w:p>
                            <w:pPr>
                              <w:pStyle w:val="Normal"/>
                              <w:rPr/>
                            </w:pPr>
                            <w:r>
                              <w:rPr/>
                              <w:object w:dxaOrig="5000" w:dyaOrig="2899">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71pt;height:99.6pt" filled="f" o:ole="">
                                  <v:imagedata r:id="rId3" o:title=""/>
                                </v:shape>
                                <o:OLEObject Type="Embed" ProgID="" ShapeID="ole_rId2" DrawAspect="Content" ObjectID="_101284534" r:id="rId2"/>
                              </w:object>
                            </w:r>
                          </w:p>
                          <w:p>
                            <w:pPr>
                              <w:pStyle w:val="Normal"/>
                              <w:jc w:val="center"/>
                              <w:rPr/>
                            </w:pPr>
                            <w:r>
                              <w:rPr/>
                              <w:t>零件图</w:t>
                            </w:r>
                          </w:p>
                        </w:txbxContent>
                      </wps:txbx>
                      <wps:bodyPr anchor="t" lIns="0" tIns="0" rIns="0" bIns="0">
                        <a:noAutofit/>
                      </wps:bodyPr>
                    </wps:wsp>
                  </a:graphicData>
                </a:graphic>
              </wp:anchor>
            </w:drawing>
          </mc:Choice>
          <mc:Fallback>
            <w:pict>
              <v:rect fillcolor="#FFFFFF" style="position:absolute;rotation:-0;width:430.8pt;height:114.8pt;mso-wrap-distance-left:9pt;mso-wrap-distance-right:9pt;mso-wrap-distance-top:0pt;mso-wrap-distance-bottom:0pt;margin-top:22pt;mso-position-vertical-relative:text;margin-left:267.6pt;mso-position-horizontal-relative:page">
                <v:fill opacity="0f"/>
                <v:textbox inset="0in,0in,0in,0in">
                  <w:txbxContent>
                    <w:p>
                      <w:pPr>
                        <w:pStyle w:val="Normal"/>
                        <w:rPr/>
                      </w:pPr>
                      <w:r>
                        <w:rPr/>
                        <w:object w:dxaOrig="5000" w:dyaOrig="2899">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71pt;height:99.6pt" filled="f" o:ole="">
                            <v:imagedata r:id="rId5" o:title=""/>
                          </v:shape>
                          <o:OLEObject Type="Embed" ProgID="" ShapeID="ole_rId4" DrawAspect="Content" ObjectID="_2014521733" r:id="rId4"/>
                        </w:object>
                      </w:r>
                    </w:p>
                    <w:p>
                      <w:pPr>
                        <w:pStyle w:val="Normal"/>
                        <w:jc w:val="center"/>
                        <w:rPr/>
                      </w:pPr>
                      <w:r>
                        <w:rPr/>
                        <w:t>零件图</w:t>
                      </w:r>
                    </w:p>
                  </w:txbxContent>
                </v:textbox>
                <w10:wrap type="square"/>
              </v:rect>
            </w:pict>
          </mc:Fallback>
        </mc:AlternateContent>
      </w:r>
    </w:p>
    <w:p>
      <w:pPr>
        <w:pStyle w:val="Normal"/>
        <w:rPr/>
      </w:pPr>
      <w:r>
        <w:rPr>
          <w:rFonts w:ascii="宋体;SimSun" w:hAnsi="宋体;SimSun"/>
          <w:sz w:val="24"/>
        </w:rPr>
        <w:t>六．</w:t>
      </w:r>
      <w:r>
        <w:rPr>
          <w:sz w:val="24"/>
        </w:rPr>
        <w:t>在轴上加工键槽，设计尺寸</w:t>
      </w:r>
      <w:r>
        <w:rPr>
          <w:rFonts w:ascii="宋体;SimSun" w:hAnsi="宋体;SimSun"/>
          <w:sz w:val="24"/>
        </w:rPr>
        <w:t>如左图所示，相关工序如下：</w:t>
      </w:r>
      <w:r>
        <w:rPr>
          <w:sz w:val="24"/>
        </w:rPr>
        <w:t>粗、</w:t>
      </w:r>
      <w:r>
        <w:rPr>
          <w:rFonts w:ascii="宋体;SimSun" w:hAnsi="宋体;SimSun"/>
          <w:sz w:val="24"/>
        </w:rPr>
        <w:t>精</w:t>
      </w:r>
      <w:r>
        <w:rPr>
          <w:sz w:val="24"/>
        </w:rPr>
        <w:t>车外圆</w:t>
      </w:r>
      <w:r>
        <w:rPr>
          <w:rFonts w:ascii="宋体;SimSun" w:hAnsi="宋体;SimSun"/>
          <w:sz w:val="24"/>
        </w:rPr>
        <w:t>、铣键槽、高频淬火，最后磨外圆到尺寸。其工序图如下图所示。计算工序尺寸</w:t>
      </w:r>
      <w:r>
        <w:rPr>
          <w:rFonts w:ascii="宋体;SimSun" w:hAnsi="宋体;SimSun"/>
          <w:sz w:val="24"/>
        </w:rPr>
        <w:object w:dxaOrig="300" w:dyaOrig="38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5pt;height:19.45pt" filled="f" o:ole="">
            <v:imagedata r:id="rId7" o:title=""/>
          </v:shape>
          <o:OLEObject Type="Embed" ProgID="" ShapeID="ole_rId6" DrawAspect="Content" ObjectID="_1182192213" r:id="rId6"/>
        </w:object>
      </w:r>
      <w:r>
        <w:rPr>
          <w:rFonts w:ascii="宋体;SimSun" w:hAnsi="宋体;SimSun"/>
          <w:sz w:val="24"/>
        </w:rPr>
        <w:t>。</w:t>
      </w:r>
      <w:r>
        <w:rPr>
          <w:sz w:val="24"/>
        </w:rPr>
        <w:t>（</w:t>
      </w:r>
      <w:r>
        <w:rPr>
          <w:sz w:val="24"/>
        </w:rPr>
        <w:t>20</w:t>
      </w:r>
      <w:r>
        <w:rPr>
          <w:sz w:val="24"/>
        </w:rPr>
        <w:t>分）</w:t>
      </w:r>
    </w:p>
    <w:p>
      <w:pPr>
        <w:pStyle w:val="Normal"/>
        <w:widowControl/>
        <w:tabs>
          <w:tab w:val="clear" w:pos="420"/>
          <w:tab w:val="left" w:pos="960" w:leader="none"/>
        </w:tabs>
        <w:autoSpaceDE w:val="false"/>
        <w:spacing w:lineRule="auto" w:line="360"/>
        <w:jc w:val="center"/>
        <w:textAlignment w:val="bottom"/>
        <w:rPr/>
      </w:pPr>
      <w:r>
        <w:rPr/>
      </w:r>
      <w:r>
        <mc:AlternateContent>
          <mc:Choice Requires="wps">
            <w:drawing>
              <wp:anchor behindDoc="0" distT="0" distB="0" distL="114300" distR="114300" simplePos="0" locked="0" layoutInCell="0" allowOverlap="1" relativeHeight="5">
                <wp:simplePos x="0" y="0"/>
                <wp:positionH relativeFrom="page">
                  <wp:posOffset>769620</wp:posOffset>
                </wp:positionH>
                <wp:positionV relativeFrom="paragraph">
                  <wp:posOffset>567055</wp:posOffset>
                </wp:positionV>
                <wp:extent cx="4679950" cy="1631950"/>
                <wp:effectExtent l="0" t="0" r="0" b="0"/>
                <wp:wrapSquare wrapText="bothSides"/>
                <wp:docPr id="2" name="Frame2"/>
                <a:graphic xmlns:a="http://schemas.openxmlformats.org/drawingml/2006/main">
                  <a:graphicData uri="http://schemas.microsoft.com/office/word/2010/wordprocessingShape">
                    <wps:wsp>
                      <wps:cNvSpPr txBox="1"/>
                      <wps:spPr>
                        <a:xfrm>
                          <a:off x="0" y="0"/>
                          <a:ext cx="4679950" cy="1631950"/>
                        </a:xfrm>
                        <a:prstGeom prst="rect"/>
                        <a:solidFill>
                          <a:srgbClr val="FFFFFF">
                            <a:alpha val="0"/>
                          </a:srgbClr>
                        </a:solidFill>
                      </wps:spPr>
                      <wps:txbx>
                        <w:txbxContent>
                          <w:p>
                            <w:pPr>
                              <w:pStyle w:val="Normal"/>
                              <w:rPr/>
                            </w:pPr>
                            <w:r>
                              <w:rPr/>
                              <w:object w:dxaOrig="11082" w:dyaOrig="2989">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361.8pt;height:97.6pt" filled="f" o:ole="">
                                  <v:imagedata r:id="rId9" o:title=""/>
                                </v:shape>
                                <o:OLEObject Type="Embed" ProgID="" ShapeID="ole_rId8" DrawAspect="Content" ObjectID="_1210205439" r:id="rId8"/>
                              </w:object>
                            </w:r>
                          </w:p>
                          <w:p>
                            <w:pPr>
                              <w:pStyle w:val="Normal"/>
                              <w:ind w:firstLine="315" w:end="0"/>
                              <w:rPr>
                                <w:szCs w:val="21"/>
                              </w:rPr>
                            </w:pPr>
                            <w:r>
                              <w:rPr>
                                <w:rFonts w:ascii="宋体;SimSun" w:hAnsi="宋体;SimSun"/>
                                <w:szCs w:val="21"/>
                              </w:rPr>
                              <w:t>精</w:t>
                            </w:r>
                            <w:r>
                              <w:rPr>
                                <w:szCs w:val="21"/>
                              </w:rPr>
                              <w:t>车外圆工序</w:t>
                            </w:r>
                            <w:r>
                              <w:rPr>
                                <w:rFonts w:eastAsia="Times New Roman"/>
                                <w:szCs w:val="21"/>
                              </w:rPr>
                              <w:t xml:space="preserve">                </w:t>
                            </w:r>
                            <w:r>
                              <w:rPr>
                                <w:rFonts w:ascii="宋体;SimSun" w:hAnsi="宋体;SimSun"/>
                                <w:szCs w:val="21"/>
                              </w:rPr>
                              <w:t>铣键槽工序          磨外圆工序</w:t>
                            </w:r>
                          </w:p>
                        </w:txbxContent>
                      </wps:txbx>
                      <wps:bodyPr anchor="t" lIns="0" tIns="0" rIns="0" bIns="0">
                        <a:noAutofit/>
                      </wps:bodyPr>
                    </wps:wsp>
                  </a:graphicData>
                </a:graphic>
              </wp:anchor>
            </w:drawing>
          </mc:Choice>
          <mc:Fallback>
            <w:pict>
              <v:rect fillcolor="#FFFFFF" style="position:absolute;rotation:-0;width:368.5pt;height:128.5pt;mso-wrap-distance-left:9pt;mso-wrap-distance-right:9pt;mso-wrap-distance-top:0pt;mso-wrap-distance-bottom:0pt;margin-top:44.65pt;mso-position-vertical-relative:text;margin-left:60.6pt;mso-position-horizontal-relative:page">
                <v:fill opacity="0f"/>
                <v:textbox inset="0in,0in,0in,0in">
                  <w:txbxContent>
                    <w:p>
                      <w:pPr>
                        <w:pStyle w:val="Normal"/>
                        <w:rPr/>
                      </w:pPr>
                      <w:r>
                        <w:rPr/>
                        <w:object w:dxaOrig="11082" w:dyaOrig="2989">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361.8pt;height:97.6pt" filled="f" o:ole="">
                            <v:imagedata r:id="rId11" o:title=""/>
                          </v:shape>
                          <o:OLEObject Type="Embed" ProgID="" ShapeID="ole_rId10" DrawAspect="Content" ObjectID="_2041504074" r:id="rId10"/>
                        </w:object>
                      </w:r>
                    </w:p>
                    <w:p>
                      <w:pPr>
                        <w:pStyle w:val="Normal"/>
                        <w:ind w:firstLine="315" w:end="0"/>
                        <w:rPr>
                          <w:szCs w:val="21"/>
                        </w:rPr>
                      </w:pPr>
                      <w:r>
                        <w:rPr>
                          <w:rFonts w:ascii="宋体;SimSun" w:hAnsi="宋体;SimSun"/>
                          <w:szCs w:val="21"/>
                        </w:rPr>
                        <w:t>精</w:t>
                      </w:r>
                      <w:r>
                        <w:rPr>
                          <w:szCs w:val="21"/>
                        </w:rPr>
                        <w:t>车外圆工序</w:t>
                      </w:r>
                      <w:r>
                        <w:rPr>
                          <w:rFonts w:eastAsia="Times New Roman"/>
                          <w:szCs w:val="21"/>
                        </w:rPr>
                        <w:t xml:space="preserve">                </w:t>
                      </w:r>
                      <w:r>
                        <w:rPr>
                          <w:rFonts w:ascii="宋体;SimSun" w:hAnsi="宋体;SimSun"/>
                          <w:szCs w:val="21"/>
                        </w:rPr>
                        <w:t>铣键槽工序          磨外圆工序</w:t>
                      </w:r>
                    </w:p>
                  </w:txbxContent>
                </v:textbox>
                <w10:wrap type="square"/>
              </v:rect>
            </w:pict>
          </mc:Fallback>
        </mc:AlternateContent>
      </w:r>
    </w:p>
    <w:p>
      <w:pPr>
        <w:pStyle w:val="Normal"/>
        <w:widowControl/>
        <w:tabs>
          <w:tab w:val="clear" w:pos="420"/>
          <w:tab w:val="left" w:pos="960" w:leader="none"/>
        </w:tabs>
        <w:autoSpaceDE w:val="false"/>
        <w:spacing w:lineRule="auto" w:line="360"/>
        <w:jc w:val="center"/>
        <w:textAlignment w:val="bottom"/>
        <w:rPr/>
      </w:pPr>
      <w:r>
        <w:rPr/>
      </w:r>
    </w:p>
    <w:p>
      <w:pPr>
        <w:pStyle w:val="Normal"/>
        <w:widowControl/>
        <w:tabs>
          <w:tab w:val="clear" w:pos="420"/>
          <w:tab w:val="left" w:pos="960" w:leader="none"/>
        </w:tabs>
        <w:autoSpaceDE w:val="false"/>
        <w:spacing w:lineRule="auto" w:line="360"/>
        <w:jc w:val="center"/>
        <w:textAlignment w:val="bottom"/>
        <w:rPr/>
      </w:pPr>
      <w:r>
        <w:rPr/>
      </w:r>
    </w:p>
    <w:p>
      <w:pPr>
        <w:pStyle w:val="Normal"/>
        <w:jc w:val="start"/>
        <w:rPr/>
      </w:pPr>
      <w:r>
        <w:rPr/>
      </w:r>
    </w:p>
    <w:p>
      <w:pPr>
        <w:pStyle w:val="Normal"/>
        <w:widowControl/>
        <w:tabs>
          <w:tab w:val="clear" w:pos="420"/>
          <w:tab w:val="left" w:pos="960" w:leader="none"/>
        </w:tabs>
        <w:autoSpaceDE w:val="false"/>
        <w:spacing w:lineRule="auto" w:line="360"/>
        <w:textAlignment w:val="bottom"/>
        <w:rPr>
          <w:sz w:val="24"/>
        </w:rPr>
      </w:pPr>
      <w:r>
        <w:rPr>
          <w:sz w:val="24"/>
        </w:rPr>
        <w:t>解</w:t>
      </w:r>
    </w:p>
    <w:p>
      <w:pPr>
        <w:pStyle w:val="Normal"/>
        <w:widowControl/>
        <w:tabs>
          <w:tab w:val="clear" w:pos="420"/>
          <w:tab w:val="left" w:pos="960" w:leader="none"/>
        </w:tabs>
        <w:autoSpaceDE w:val="false"/>
        <w:spacing w:lineRule="auto" w:line="360"/>
        <w:textAlignment w:val="bottom"/>
        <w:rPr>
          <w:sz w:val="24"/>
        </w:rPr>
      </w:pPr>
      <w:r>
        <w:rPr>
          <w:sz w:val="24"/>
        </w:rPr>
        <w:t>键槽设计尺寸</w:t>
      </w:r>
      <w:r>
        <w:rPr>
          <w:sz w:val="24"/>
        </w:rPr>
        <w:object w:dxaOrig="560" w:dyaOrig="38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28pt;height:19pt" filled="f" o:ole="">
            <v:imagedata r:id="rId13" o:title=""/>
          </v:shape>
          <o:OLEObject Type="Embed" ProgID="" ShapeID="ole_rId12" DrawAspect="Content" ObjectID="_1184073667" r:id="rId12"/>
        </w:object>
      </w:r>
      <w:r>
        <w:rPr>
          <w:sz w:val="24"/>
        </w:rPr>
        <w:t>由铣键槽工序尺寸</w:t>
      </w:r>
      <w:r>
        <w:rPr>
          <w:rFonts w:ascii="宋体;SimSun" w:hAnsi="宋体;SimSun"/>
          <w:sz w:val="24"/>
        </w:rPr>
        <w:object w:dxaOrig="300" w:dyaOrig="38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5pt;height:19.45pt" filled="f" o:ole="">
            <v:imagedata r:id="rId15" o:title=""/>
          </v:shape>
          <o:OLEObject Type="Embed" ProgID="" ShapeID="ole_rId14" DrawAspect="Content" ObjectID="_883695550" r:id="rId14"/>
        </w:object>
      </w:r>
      <w:r>
        <w:rPr>
          <w:sz w:val="24"/>
        </w:rPr>
        <w:t>和精车外圆工序尺寸</w:t>
      </w:r>
      <w:r>
        <w:rPr>
          <w:sz w:val="24"/>
        </w:rPr>
        <w:object w:dxaOrig="880" w:dyaOrig="38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44pt;height:19pt" filled="f" o:ole="">
            <v:imagedata r:id="rId17" o:title=""/>
          </v:shape>
          <o:OLEObject Type="Embed" ProgID="" ShapeID="ole_rId16" DrawAspect="Content" ObjectID="_887415373" r:id="rId16"/>
        </w:object>
      </w:r>
      <w:r>
        <w:rPr>
          <w:sz w:val="24"/>
        </w:rPr>
        <w:t>与磨外圆工序尺寸</w:t>
      </w:r>
      <w:r>
        <w:rPr>
          <w:sz w:val="24"/>
        </w:rPr>
        <w:object w:dxaOrig="780" w:dyaOrig="38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39pt;height:19pt" filled="f" o:ole="">
            <v:imagedata r:id="rId19" o:title=""/>
          </v:shape>
          <o:OLEObject Type="Embed" ProgID="" ShapeID="ole_rId18" DrawAspect="Content" ObjectID="_344888887" r:id="rId18"/>
        </w:object>
      </w:r>
      <w:r>
        <w:rPr>
          <w:sz w:val="24"/>
        </w:rPr>
        <w:t>共同保证。</w:t>
      </w:r>
    </w:p>
    <w:p>
      <w:pPr>
        <w:pStyle w:val="Normal"/>
        <w:widowControl/>
        <w:tabs>
          <w:tab w:val="clear" w:pos="420"/>
          <w:tab w:val="left" w:pos="960" w:leader="none"/>
        </w:tabs>
        <w:autoSpaceDE w:val="false"/>
        <w:spacing w:lineRule="auto" w:line="360"/>
        <w:textAlignment w:val="bottom"/>
        <w:rPr>
          <w:sz w:val="24"/>
        </w:rPr>
      </w:pPr>
      <w:r>
        <w:rPr>
          <w:sz w:val="24"/>
        </w:rPr>
        <w:t>可列出尺寸链如图</w:t>
      </w:r>
    </w:p>
    <w:p>
      <w:pPr>
        <w:pStyle w:val="Normal"/>
        <w:widowControl/>
        <w:tabs>
          <w:tab w:val="clear" w:pos="420"/>
          <w:tab w:val="left" w:pos="960" w:leader="none"/>
        </w:tabs>
        <w:autoSpaceDE w:val="false"/>
        <w:spacing w:lineRule="auto" w:line="360"/>
        <w:textAlignment w:val="bottom"/>
        <w:rPr>
          <w:sz w:val="24"/>
        </w:rPr>
      </w:pPr>
      <w:r>
        <w:rPr/>
        <w:object w:dxaOrig="8108" w:dyaOrig="531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60.1pt;height:104.85pt" filled="f" o:ole="">
            <v:imagedata r:id="rId21" o:title=""/>
          </v:shape>
          <o:OLEObject Type="Embed" ProgID="" ShapeID="ole_rId20" DrawAspect="Content" ObjectID="_864082712" r:id="rId20"/>
        </w:object>
      </w:r>
    </w:p>
    <w:p>
      <w:pPr>
        <w:pStyle w:val="Normal"/>
        <w:widowControl/>
        <w:tabs>
          <w:tab w:val="clear" w:pos="420"/>
          <w:tab w:val="left" w:pos="960" w:leader="none"/>
        </w:tabs>
        <w:autoSpaceDE w:val="false"/>
        <w:spacing w:lineRule="auto" w:line="360"/>
        <w:textAlignment w:val="bottom"/>
        <w:rPr/>
      </w:pPr>
      <w:r>
        <w:rPr>
          <w:sz w:val="24"/>
        </w:rPr>
        <w:t>图中，</w:t>
      </w:r>
      <w:r>
        <w:rPr/>
        <w:object w:dxaOrig="560" w:dyaOrig="38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28pt;height:19pt" filled="f" o:ole="">
            <v:imagedata r:id="rId23" o:title=""/>
          </v:shape>
          <o:OLEObject Type="Embed" ProgID="" ShapeID="ole_rId22" DrawAspect="Content" ObjectID="_2064463946" r:id="rId22"/>
        </w:object>
      </w:r>
      <w:r>
        <w:rPr/>
        <w:t>为封闭环，</w:t>
      </w:r>
      <w:r>
        <w:rPr>
          <w:rFonts w:eastAsia="Times New Roman"/>
        </w:rPr>
        <w:t xml:space="preserve"> </w:t>
      </w:r>
    </w:p>
    <w:p>
      <w:pPr>
        <w:pStyle w:val="Normal"/>
        <w:widowControl/>
        <w:tabs>
          <w:tab w:val="clear" w:pos="420"/>
          <w:tab w:val="left" w:pos="960" w:leader="none"/>
        </w:tabs>
        <w:autoSpaceDE w:val="false"/>
        <w:spacing w:lineRule="auto" w:line="360"/>
        <w:textAlignment w:val="bottom"/>
        <w:rPr/>
      </w:pPr>
      <w:r>
        <w:rPr/>
        <w:t>因此：</w:t>
      </w:r>
    </w:p>
    <w:p>
      <w:pPr>
        <w:pStyle w:val="Normal"/>
        <w:widowControl/>
        <w:tabs>
          <w:tab w:val="clear" w:pos="420"/>
          <w:tab w:val="left" w:pos="960" w:leader="none"/>
        </w:tabs>
        <w:autoSpaceDE w:val="false"/>
        <w:spacing w:lineRule="auto" w:line="360"/>
        <w:textAlignment w:val="bottom"/>
        <w:rPr/>
      </w:pPr>
      <w:r>
        <w:rPr/>
        <w:object w:dxaOrig="2980" w:dyaOrig="48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49pt;height:24pt" filled="f" o:ole="">
            <v:imagedata r:id="rId25" o:title=""/>
          </v:shape>
          <o:OLEObject Type="Embed" ProgID="" ShapeID="ole_rId24" DrawAspect="Content" ObjectID="_1458014653" r:id="rId24"/>
        </w:object>
      </w:r>
    </w:p>
    <w:p>
      <w:pPr>
        <w:pStyle w:val="Normal"/>
        <w:rPr/>
      </w:pPr>
      <w:r>
        <w:rPr/>
        <w:t>上偏差：</w:t>
      </w:r>
      <w:r>
        <w:rPr>
          <w:rFonts w:eastAsia="Times New Roman"/>
        </w:rPr>
        <w:t xml:space="preserve"> </w:t>
      </w:r>
      <w:r>
        <w:rPr/>
        <w:object w:dxaOrig="2380" w:dyaOrig="36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119pt;height:18pt" filled="f" o:ole="">
            <v:imagedata r:id="rId27" o:title=""/>
          </v:shape>
          <o:OLEObject Type="Embed" ProgID="" ShapeID="ole_rId26" DrawAspect="Content" ObjectID="_65686621" r:id="rId26"/>
        </w:object>
      </w:r>
      <w:r>
        <w:rPr/>
        <w:t>，</w:t>
      </w:r>
      <w:r>
        <w:rPr/>
        <w:object w:dxaOrig="1420" w:dyaOrig="36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71pt;height:18pt" filled="f" o:ole="">
            <v:imagedata r:id="rId29" o:title=""/>
          </v:shape>
          <o:OLEObject Type="Embed" ProgID="" ShapeID="ole_rId28" DrawAspect="Content" ObjectID="_1909420317" r:id="rId28"/>
        </w:object>
      </w:r>
    </w:p>
    <w:p>
      <w:pPr>
        <w:pStyle w:val="Normal"/>
        <w:rPr/>
      </w:pPr>
      <w:r>
        <w:rPr/>
        <w:t>上偏差：</w:t>
      </w:r>
      <w:r>
        <w:rPr>
          <w:rFonts w:eastAsia="Times New Roman"/>
        </w:rPr>
        <w:t xml:space="preserve"> </w:t>
      </w:r>
      <w:r>
        <w:rPr/>
        <w:object w:dxaOrig="2700" w:dyaOrig="36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35pt;height:18pt" filled="f" o:ole="">
            <v:imagedata r:id="rId31" o:title=""/>
          </v:shape>
          <o:OLEObject Type="Embed" ProgID="" ShapeID="ole_rId30" DrawAspect="Content" ObjectID="_1768173395" r:id="rId30"/>
        </w:object>
      </w:r>
      <w:r>
        <w:rPr/>
        <w:t>，</w:t>
      </w:r>
      <w:r>
        <w:rPr/>
        <w:object w:dxaOrig="1420" w:dyaOrig="36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71pt;height:18pt" filled="f" o:ole="">
            <v:imagedata r:id="rId33" o:title=""/>
          </v:shape>
          <o:OLEObject Type="Embed" ProgID="" ShapeID="ole_rId32" DrawAspect="Content" ObjectID="_1659837683" r:id="rId32"/>
        </w:object>
      </w:r>
    </w:p>
    <w:p>
      <w:pPr>
        <w:pStyle w:val="Normal"/>
        <w:rPr/>
      </w:pPr>
      <w:r>
        <w:rPr/>
        <w:object w:dxaOrig="2400" w:dyaOrig="38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20pt;height:19pt" filled="f" o:ole="">
            <v:imagedata r:id="rId35" o:title=""/>
          </v:shape>
          <o:OLEObject Type="Embed" ProgID="" ShapeID="ole_rId34" DrawAspect="Content" ObjectID="_1835113262" r:id="rId34"/>
        </w:object>
      </w:r>
    </w:p>
    <w:p>
      <w:pPr>
        <w:pStyle w:val="Normal"/>
        <w:widowControl/>
        <w:tabs>
          <w:tab w:val="clear" w:pos="420"/>
          <w:tab w:val="left" w:pos="960" w:leader="none"/>
        </w:tabs>
        <w:autoSpaceDE w:val="false"/>
        <w:spacing w:lineRule="auto" w:line="360"/>
        <w:jc w:val="center"/>
        <w:textAlignment w:val="bottom"/>
        <w:rPr/>
      </w:pPr>
      <w:r>
        <w:rPr/>
      </w:r>
    </w:p>
    <w:p>
      <w:pPr>
        <w:pStyle w:val="Normal"/>
        <w:widowControl/>
        <w:tabs>
          <w:tab w:val="clear" w:pos="420"/>
          <w:tab w:val="left" w:pos="960" w:leader="none"/>
        </w:tabs>
        <w:autoSpaceDE w:val="false"/>
        <w:spacing w:lineRule="atLeast" w:line="360"/>
        <w:textAlignment w:val="bottom"/>
        <w:rPr>
          <w:sz w:val="24"/>
        </w:rPr>
      </w:pPr>
      <w:r>
        <w:rPr>
          <w:rFonts w:ascii="宋体;SimSun" w:hAnsi="宋体;SimSun"/>
          <w:sz w:val="24"/>
        </w:rPr>
        <w:t>七．请简述工序时间的组成，试举例论述减少辅助时间的两种方法。</w:t>
      </w:r>
      <w:r>
        <w:rPr>
          <w:sz w:val="24"/>
        </w:rPr>
        <w:t>（</w:t>
      </w:r>
      <w:r>
        <w:rPr>
          <w:sz w:val="24"/>
        </w:rPr>
        <w:t>1</w:t>
      </w:r>
      <w:r>
        <w:rPr>
          <w:sz w:val="24"/>
        </w:rPr>
        <w:t>0</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0"/>
          <w:tab w:val="left" w:pos="960" w:leader="none"/>
        </w:tabs>
        <w:autoSpaceDE w:val="false"/>
        <w:spacing w:lineRule="atLeast" w:line="360"/>
        <w:ind w:firstLine="540" w:end="0"/>
        <w:textAlignment w:val="bottom"/>
        <w:rPr>
          <w:sz w:val="24"/>
        </w:rPr>
      </w:pPr>
      <w:r>
        <w:rPr>
          <w:sz w:val="24"/>
        </w:rPr>
        <w:t>工序时间由基本时间（机动时间）、辅助时间、服务时间和生理需要时间（自然时间、休息时间）组成。在单件小批生产时，还包括准备终结时间在每一个工件的分摊。</w:t>
      </w:r>
    </w:p>
    <w:p>
      <w:pPr>
        <w:pStyle w:val="Normal"/>
        <w:widowControl/>
        <w:tabs>
          <w:tab w:val="clear" w:pos="420"/>
          <w:tab w:val="left" w:pos="960" w:leader="none"/>
        </w:tabs>
        <w:autoSpaceDE w:val="false"/>
        <w:spacing w:lineRule="atLeast" w:line="360"/>
        <w:ind w:firstLine="540" w:end="0"/>
        <w:textAlignment w:val="bottom"/>
        <w:rPr/>
      </w:pPr>
      <w:r>
        <w:rPr>
          <w:sz w:val="24"/>
        </w:rPr>
        <w:t>减少辅助时间可以有如下方法：：</w:t>
      </w:r>
    </w:p>
    <w:p>
      <w:pPr>
        <w:pStyle w:val="Normal"/>
        <w:widowControl/>
        <w:numPr>
          <w:ilvl w:val="0"/>
          <w:numId w:val="2"/>
        </w:numPr>
        <w:tabs>
          <w:tab w:val="clear" w:pos="420"/>
          <w:tab w:val="left" w:pos="960" w:leader="none"/>
        </w:tabs>
        <w:autoSpaceDE w:val="false"/>
        <w:spacing w:lineRule="atLeast" w:line="360"/>
        <w:textAlignment w:val="bottom"/>
        <w:rPr>
          <w:sz w:val="24"/>
        </w:rPr>
      </w:pPr>
      <w:r>
        <w:rPr>
          <w:sz w:val="24"/>
        </w:rPr>
        <w:t>利用先进工装设计，实现多点夹紧的联动，减少装夹时间。</w:t>
      </w:r>
    </w:p>
    <w:p>
      <w:pPr>
        <w:pStyle w:val="Normal"/>
        <w:widowControl/>
        <w:numPr>
          <w:ilvl w:val="0"/>
          <w:numId w:val="2"/>
        </w:numPr>
        <w:tabs>
          <w:tab w:val="clear" w:pos="420"/>
          <w:tab w:val="left" w:pos="960" w:leader="none"/>
        </w:tabs>
        <w:autoSpaceDE w:val="false"/>
        <w:spacing w:lineRule="atLeast" w:line="360"/>
        <w:textAlignment w:val="bottom"/>
        <w:rPr>
          <w:sz w:val="24"/>
        </w:rPr>
      </w:pPr>
      <w:r>
        <w:rPr>
          <w:sz w:val="24"/>
        </w:rPr>
        <w:t>利用转位夹具或回转工作台，在一个零件的切削过程中可以对另一个零件进行装卸，重叠基本时间与辅助时间。</w:t>
      </w:r>
    </w:p>
    <w:p>
      <w:pPr>
        <w:pStyle w:val="Normal"/>
        <w:widowControl/>
        <w:tabs>
          <w:tab w:val="clear" w:pos="420"/>
          <w:tab w:val="left" w:pos="960" w:leader="none"/>
        </w:tabs>
        <w:autoSpaceDE w:val="false"/>
        <w:spacing w:lineRule="atLeast" w:line="360"/>
        <w:textAlignment w:val="bottom"/>
        <w:rPr>
          <w:sz w:val="24"/>
        </w:rPr>
      </w:pPr>
      <w:r>
        <w:rPr>
          <w:sz w:val="24"/>
        </w:rPr>
      </w:r>
    </w:p>
    <w:p>
      <w:pPr>
        <w:pStyle w:val="Normal"/>
        <w:widowControl/>
        <w:tabs>
          <w:tab w:val="clear" w:pos="420"/>
          <w:tab w:val="left" w:pos="960" w:leader="none"/>
        </w:tabs>
        <w:autoSpaceDE w:val="false"/>
        <w:spacing w:lineRule="atLeast" w:line="360"/>
        <w:textAlignment w:val="bottom"/>
        <w:rPr/>
      </w:pPr>
      <w:r>
        <w:rPr/>
      </w:r>
    </w:p>
    <w:sectPr>
      <w:footerReference w:type="default" r:id="rId36"/>
      <w:type w:val="nextPage"/>
      <w:pgSz w:w="10318" w:h="14570"/>
      <w:pgMar w:left="851" w:right="851" w:gutter="0" w:header="0" w:top="851" w:footer="357" w:bottom="56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behindDoc="0" distT="0" distB="0" distL="0" distR="0" simplePos="0" locked="0" layoutInCell="0" allowOverlap="1" relativeHeight="24">
              <wp:simplePos x="0" y="0"/>
              <wp:positionH relativeFrom="margin">
                <wp:align>center</wp:align>
              </wp:positionH>
              <wp:positionV relativeFrom="paragraph">
                <wp:posOffset>635</wp:posOffset>
              </wp:positionV>
              <wp:extent cx="57785" cy="126365"/>
              <wp:effectExtent l="0" t="0" r="0" b="0"/>
              <wp:wrapSquare wrapText="bothSides"/>
              <wp:docPr id="3" name="Frame3"/>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1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420"/>
        </w:tabs>
        <w:ind w:start="420" w:hanging="420"/>
      </w:pPr>
    </w:lvl>
  </w:abstractNum>
  <w:abstractNum w:abstractNumId="2">
    <w:lvl w:ilvl="0">
      <w:start w:val="1"/>
      <w:numFmt w:val="decimal"/>
      <w:lvlText w:val="%1."/>
      <w:lvlJc w:val="start"/>
      <w:pPr>
        <w:tabs>
          <w:tab w:val="num" w:pos="420"/>
        </w:tabs>
        <w:ind w:start="420" w:hanging="420"/>
      </w:pPr>
    </w:lvl>
  </w:abstractNum>
  <w:abstractNum w:abstractNumId="3">
    <w:lvl w:ilvl="0">
      <w:start w:val="1"/>
      <w:numFmt w:val="bullet"/>
      <w:lvlText w:val="•"/>
      <w:lvlJc w:val="start"/>
      <w:pPr>
        <w:tabs>
          <w:tab w:val="num" w:pos="720"/>
        </w:tabs>
        <w:ind w:start="720" w:hanging="360"/>
      </w:pPr>
      <w:rPr>
        <w:rFonts w:ascii="宋体" w:hAnsi="宋体" w:cs="宋体" w:hint="default"/>
      </w:rPr>
    </w:lvl>
    <w:lvl w:ilvl="1">
      <w:start w:val="1"/>
      <w:numFmt w:val="bullet"/>
      <w:lvlText w:val="•"/>
      <w:lvlJc w:val="start"/>
      <w:pPr>
        <w:tabs>
          <w:tab w:val="num" w:pos="720"/>
        </w:tabs>
        <w:ind w:start="720" w:hanging="360"/>
      </w:pPr>
      <w:rPr>
        <w:rFonts w:ascii="宋体" w:hAnsi="宋体" w:cs="宋体" w:hint="default"/>
      </w:rPr>
    </w:lvl>
    <w:lvl w:ilvl="2">
      <w:start w:val="1"/>
      <w:numFmt w:val="bullet"/>
      <w:lvlText w:val="•"/>
      <w:lvlJc w:val="start"/>
      <w:pPr>
        <w:tabs>
          <w:tab w:val="num" w:pos="2160"/>
        </w:tabs>
        <w:ind w:start="2160" w:hanging="360"/>
      </w:pPr>
      <w:rPr>
        <w:rFonts w:ascii="宋体" w:hAnsi="宋体" w:cs="宋体" w:hint="default"/>
      </w:rPr>
    </w:lvl>
    <w:lvl w:ilvl="3">
      <w:start w:val="1"/>
      <w:numFmt w:val="bullet"/>
      <w:lvlText w:val="•"/>
      <w:lvlJc w:val="start"/>
      <w:pPr>
        <w:tabs>
          <w:tab w:val="num" w:pos="2880"/>
        </w:tabs>
        <w:ind w:start="2880" w:hanging="360"/>
      </w:pPr>
      <w:rPr>
        <w:rFonts w:ascii="宋体" w:hAnsi="宋体" w:cs="宋体" w:hint="default"/>
      </w:rPr>
    </w:lvl>
    <w:lvl w:ilvl="4">
      <w:start w:val="1"/>
      <w:numFmt w:val="bullet"/>
      <w:lvlText w:val="•"/>
      <w:lvlJc w:val="start"/>
      <w:pPr>
        <w:tabs>
          <w:tab w:val="num" w:pos="3600"/>
        </w:tabs>
        <w:ind w:start="3600" w:hanging="360"/>
      </w:pPr>
      <w:rPr>
        <w:rFonts w:ascii="宋体" w:hAnsi="宋体" w:cs="宋体" w:hint="default"/>
      </w:rPr>
    </w:lvl>
    <w:lvl w:ilvl="5">
      <w:start w:val="1"/>
      <w:numFmt w:val="bullet"/>
      <w:lvlText w:val="•"/>
      <w:lvlJc w:val="start"/>
      <w:pPr>
        <w:tabs>
          <w:tab w:val="num" w:pos="4320"/>
        </w:tabs>
        <w:ind w:start="4320" w:hanging="360"/>
      </w:pPr>
      <w:rPr>
        <w:rFonts w:ascii="宋体" w:hAnsi="宋体" w:cs="宋体" w:hint="default"/>
      </w:rPr>
    </w:lvl>
    <w:lvl w:ilvl="6">
      <w:start w:val="1"/>
      <w:numFmt w:val="bullet"/>
      <w:lvlText w:val="•"/>
      <w:lvlJc w:val="start"/>
      <w:pPr>
        <w:tabs>
          <w:tab w:val="num" w:pos="5040"/>
        </w:tabs>
        <w:ind w:start="5040" w:hanging="360"/>
      </w:pPr>
      <w:rPr>
        <w:rFonts w:ascii="宋体" w:hAnsi="宋体" w:cs="宋体" w:hint="default"/>
      </w:rPr>
    </w:lvl>
    <w:lvl w:ilvl="7">
      <w:start w:val="1"/>
      <w:numFmt w:val="bullet"/>
      <w:lvlText w:val="•"/>
      <w:lvlJc w:val="start"/>
      <w:pPr>
        <w:tabs>
          <w:tab w:val="num" w:pos="5760"/>
        </w:tabs>
        <w:ind w:start="5760" w:hanging="360"/>
      </w:pPr>
      <w:rPr>
        <w:rFonts w:ascii="宋体" w:hAnsi="宋体" w:cs="宋体" w:hint="default"/>
      </w:rPr>
    </w:lvl>
    <w:lvl w:ilvl="8">
      <w:start w:val="1"/>
      <w:numFmt w:val="bullet"/>
      <w:lvlText w:val="•"/>
      <w:lvlJc w:val="start"/>
      <w:pPr>
        <w:tabs>
          <w:tab w:val="num" w:pos="6480"/>
        </w:tabs>
        <w:ind w:start="6480" w:hanging="360"/>
      </w:pPr>
      <w:rPr>
        <w:rFonts w:ascii="宋体" w:hAnsi="宋体" w:cs="宋体" w:hint="default"/>
      </w:rPr>
    </w:lvl>
  </w:abstractNum>
  <w:abstractNum w:abstractNumId="4">
    <w:lvl w:ilvl="0">
      <w:start w:val="1"/>
      <w:numFmt w:val="bullet"/>
      <w:lvlText w:val=""/>
      <w:lvlJc w:val="start"/>
      <w:pPr>
        <w:tabs>
          <w:tab w:val="num" w:pos="720"/>
        </w:tabs>
        <w:ind w:start="72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character" w:styleId="WW8Num3z0">
    <w:name w:val="WW8Num3z0"/>
    <w:qFormat/>
    <w:rPr>
      <w:b w:val="false"/>
    </w:rPr>
  </w:style>
  <w:style w:type="character" w:styleId="WW8Num4z1">
    <w:name w:val="WW8Num4z1"/>
    <w:qFormat/>
    <w:rPr/>
  </w:style>
  <w:style w:type="character" w:styleId="WW8Num5z0">
    <w:name w:val="WW8Num5z0"/>
    <w:qFormat/>
    <w:rPr>
      <w:rFonts w:ascii="宋体;SimSun" w:hAnsi="宋体;SimSun" w:cs="宋体;SimSun"/>
    </w:rPr>
  </w:style>
  <w:style w:type="character" w:styleId="WW8Num6z0">
    <w:name w:val="WW8Num6z0"/>
    <w:qFormat/>
    <w:rPr>
      <w:rFonts w:ascii="Wingdings" w:hAnsi="Wingdings" w:cs="Wingdings"/>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列表 2"/>
    <w:basedOn w:val="Normal"/>
    <w:qFormat/>
    <w:pPr>
      <w:spacing w:lineRule="atLeast" w:line="360"/>
      <w:ind w:hanging="420" w:start="840" w:end="0"/>
      <w:jc w:val="start"/>
    </w:pPr>
    <w:rPr>
      <w:kern w:val="0"/>
      <w:sz w:val="24"/>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1.wmf"/><Relationship Id="rId6" Type="http://schemas.openxmlformats.org/officeDocument/2006/relationships/oleObject" Target="embeddings/oleObject3.bin"/><Relationship Id="rId7" Type="http://schemas.openxmlformats.org/officeDocument/2006/relationships/image" Target="media/image2.wmf"/><Relationship Id="rId8" Type="http://schemas.openxmlformats.org/officeDocument/2006/relationships/oleObject" Target="embeddings/oleObject4.bin"/><Relationship Id="rId9" Type="http://schemas.openxmlformats.org/officeDocument/2006/relationships/image" Target="media/image3.wmf"/><Relationship Id="rId10" Type="http://schemas.openxmlformats.org/officeDocument/2006/relationships/oleObject" Target="embeddings/oleObject5.bin"/><Relationship Id="rId11" Type="http://schemas.openxmlformats.org/officeDocument/2006/relationships/image" Target="media/image3.wmf"/><Relationship Id="rId12" Type="http://schemas.openxmlformats.org/officeDocument/2006/relationships/oleObject" Target="embeddings/oleObject6.bin"/><Relationship Id="rId13" Type="http://schemas.openxmlformats.org/officeDocument/2006/relationships/image" Target="media/image4.wmf"/><Relationship Id="rId14" Type="http://schemas.openxmlformats.org/officeDocument/2006/relationships/oleObject" Target="embeddings/oleObject7.bin"/><Relationship Id="rId15" Type="http://schemas.openxmlformats.org/officeDocument/2006/relationships/image" Target="media/image2.wmf"/><Relationship Id="rId16" Type="http://schemas.openxmlformats.org/officeDocument/2006/relationships/oleObject" Target="embeddings/oleObject8.bin"/><Relationship Id="rId17" Type="http://schemas.openxmlformats.org/officeDocument/2006/relationships/image" Target="media/image5.wmf"/><Relationship Id="rId18" Type="http://schemas.openxmlformats.org/officeDocument/2006/relationships/oleObject" Target="embeddings/oleObject9.bin"/><Relationship Id="rId19" Type="http://schemas.openxmlformats.org/officeDocument/2006/relationships/image" Target="media/image6.wmf"/><Relationship Id="rId20" Type="http://schemas.openxmlformats.org/officeDocument/2006/relationships/oleObject" Target="embeddings/oleObject10.bin"/><Relationship Id="rId21" Type="http://schemas.openxmlformats.org/officeDocument/2006/relationships/image" Target="media/image7.wmf"/><Relationship Id="rId22" Type="http://schemas.openxmlformats.org/officeDocument/2006/relationships/oleObject" Target="embeddings/oleObject11.bin"/><Relationship Id="rId23" Type="http://schemas.openxmlformats.org/officeDocument/2006/relationships/image" Target="media/image8.wmf"/><Relationship Id="rId24" Type="http://schemas.openxmlformats.org/officeDocument/2006/relationships/oleObject" Target="embeddings/oleObject12.bin"/><Relationship Id="rId25" Type="http://schemas.openxmlformats.org/officeDocument/2006/relationships/image" Target="media/image9.wmf"/><Relationship Id="rId26" Type="http://schemas.openxmlformats.org/officeDocument/2006/relationships/oleObject" Target="embeddings/oleObject13.bin"/><Relationship Id="rId27" Type="http://schemas.openxmlformats.org/officeDocument/2006/relationships/image" Target="media/image10.wmf"/><Relationship Id="rId28" Type="http://schemas.openxmlformats.org/officeDocument/2006/relationships/oleObject" Target="embeddings/oleObject14.bin"/><Relationship Id="rId29" Type="http://schemas.openxmlformats.org/officeDocument/2006/relationships/image" Target="media/image11.wmf"/><Relationship Id="rId30" Type="http://schemas.openxmlformats.org/officeDocument/2006/relationships/oleObject" Target="embeddings/oleObject15.bin"/><Relationship Id="rId31" Type="http://schemas.openxmlformats.org/officeDocument/2006/relationships/image" Target="media/image12.wmf"/><Relationship Id="rId32" Type="http://schemas.openxmlformats.org/officeDocument/2006/relationships/oleObject" Target="embeddings/oleObject16.bin"/><Relationship Id="rId33" Type="http://schemas.openxmlformats.org/officeDocument/2006/relationships/image" Target="media/image13.wmf"/><Relationship Id="rId34" Type="http://schemas.openxmlformats.org/officeDocument/2006/relationships/oleObject" Target="embeddings/oleObject17.bin"/><Relationship Id="rId35" Type="http://schemas.openxmlformats.org/officeDocument/2006/relationships/image" Target="media/image14.wmf"/><Relationship Id="rId36" Type="http://schemas.openxmlformats.org/officeDocument/2006/relationships/footer" Target="footer1.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2005-03-27T00:01:00Z</dcterms:created>
  <dc:creator>j2mv9j</dc:creator>
  <dc:description/>
  <cp:keywords/>
  <dc:language>en-US</dc:language>
  <cp:lastModifiedBy>Zhibing Yang</cp:lastModifiedBy>
  <dcterms:modified xsi:type="dcterms:W3CDTF">2005-03-27T07:59:00Z</dcterms:modified>
  <cp:revision>9</cp:revision>
  <dc:subject/>
  <dc:title>编号（小五号）       北京理工大学远程教育2002-2003学年第二学期（小4号）</dc:title>
</cp:coreProperties>
</file>