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wmf" ContentType="image/x-wmf"/>
  <Override PartName="/word/media/image4.wmf" ContentType="image/x-wmf"/>
  <Override PartName="/word/media/image5.jpeg" ContentType="image/jpeg"/>
  <Override PartName="/word/embeddings/oleObject1.bin" ContentType="application/vnd.openxmlformats-officedocument.oleObject"/>
  <Override PartName="/word/embeddings/oleObject2.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10036309   </w:t>
      </w:r>
      <w:r>
        <w:rPr>
          <w:sz w:val="24"/>
        </w:rPr>
        <w:t>北京理工大学</w:t>
      </w:r>
      <w:r>
        <w:rPr>
          <w:rFonts w:eastAsia="Times New Roman"/>
          <w:sz w:val="24"/>
        </w:rPr>
        <w:t xml:space="preserve"> </w:t>
      </w:r>
      <w:r>
        <w:rPr>
          <w:sz w:val="24"/>
        </w:rPr>
        <w:t xml:space="preserve">2019 </w:t>
      </w:r>
      <w:r>
        <w:rPr>
          <w:sz w:val="24"/>
        </w:rPr>
        <w:t>-</w:t>
      </w:r>
      <w:r>
        <w:rPr>
          <w:sz w:val="24"/>
        </w:rPr>
        <w:t xml:space="preserve"> 2020 </w:t>
      </w:r>
      <w:r>
        <w:rPr>
          <w:sz w:val="24"/>
        </w:rPr>
        <w:t>学年第二学期</w:t>
      </w:r>
    </w:p>
    <w:p>
      <w:pPr>
        <w:pStyle w:val="Normal"/>
        <w:numPr>
          <w:ilvl w:val="0"/>
          <w:numId w:val="0"/>
        </w:numPr>
        <w:spacing w:lineRule="auto" w:line="240"/>
        <w:jc w:val="center"/>
        <w:outlineLvl w:val="0"/>
        <w:rPr>
          <w:rFonts w:ascii="黑体" w:hAnsi="黑体" w:eastAsia="黑体"/>
          <w:b/>
          <w:bCs/>
          <w:sz w:val="32"/>
          <w:szCs w:val="32"/>
        </w:rPr>
      </w:pPr>
      <w:r>
        <w:rPr>
          <w:rFonts w:eastAsia="黑体" w:cs="宋体" w:ascii="黑体" w:hAnsi="黑体"/>
          <w:b/>
          <w:sz w:val="32"/>
          <w:szCs w:val="32"/>
        </w:rPr>
        <w:t>2017</w:t>
      </w:r>
      <w:r>
        <w:rPr>
          <w:rFonts w:ascii="黑体" w:hAnsi="黑体" w:cs="宋体" w:eastAsia="黑体"/>
          <w:b/>
          <w:sz w:val="32"/>
          <w:szCs w:val="32"/>
        </w:rPr>
        <w:t>级工业工程专业机械制造工程学</w:t>
      </w:r>
      <w:r>
        <w:rPr>
          <w:rFonts w:eastAsia="黑体" w:cs="宋体" w:ascii="黑体" w:hAnsi="黑体"/>
          <w:b/>
          <w:sz w:val="32"/>
          <w:szCs w:val="32"/>
        </w:rPr>
        <w:t>B</w:t>
      </w:r>
      <w:r>
        <w:rPr>
          <w:rFonts w:ascii="黑体" w:hAnsi="黑体" w:cs="宋体" w:eastAsia="黑体"/>
          <w:b/>
          <w:sz w:val="32"/>
          <w:szCs w:val="32"/>
        </w:rPr>
        <w:t>终</w:t>
      </w:r>
      <w:r>
        <w:rPr>
          <w:rFonts w:ascii="黑体" w:hAnsi="黑体" w:eastAsia="黑体"/>
          <w:b/>
          <w:bCs/>
          <w:sz w:val="32"/>
          <w:szCs w:val="32"/>
        </w:rPr>
        <w:t>考试题</w:t>
      </w:r>
      <w:r>
        <w:rPr>
          <w:rFonts w:eastAsia="黑体" w:ascii="黑体" w:hAnsi="黑体"/>
          <w:b/>
          <w:bCs/>
          <w:sz w:val="32"/>
          <w:szCs w:val="32"/>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numPr>
          <w:ilvl w:val="0"/>
          <w:numId w:val="0"/>
        </w:numPr>
        <w:spacing w:lineRule="auto" w:line="240"/>
        <w:outlineLvl w:val="0"/>
        <w:rPr/>
      </w:pPr>
      <w:r>
        <w:rPr/>
      </w:r>
    </w:p>
    <w:p>
      <w:pPr>
        <w:pStyle w:val="Normal"/>
        <w:tabs>
          <w:tab w:val="clear" w:pos="425"/>
          <w:tab w:val="left" w:pos="1800" w:leader="none"/>
        </w:tabs>
        <w:spacing w:lineRule="auto" w:line="360" w:before="0" w:after="120"/>
        <w:jc w:val="start"/>
        <w:rPr>
          <w:sz w:val="24"/>
        </w:rPr>
      </w:pPr>
      <w:r>
        <w:rPr>
          <w:sz w:val="24"/>
        </w:rPr>
        <w:t>一．简述题（</w:t>
      </w:r>
      <w:r>
        <w:rPr>
          <w:sz w:val="24"/>
        </w:rPr>
        <w:t>40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rPr>
        <w:t>1</w:t>
      </w:r>
      <w:r>
        <w:rPr>
          <w:rFonts w:ascii="宋体" w:hAnsi="宋体"/>
          <w:sz w:val="24"/>
        </w:rPr>
        <w:t>．</w:t>
      </w:r>
      <w:r>
        <w:rPr>
          <w:sz w:val="24"/>
        </w:rPr>
        <w:t>（</w:t>
      </w:r>
      <w:r>
        <w:rPr>
          <w:sz w:val="24"/>
        </w:rPr>
        <w:t>10</w:t>
      </w:r>
      <w:r>
        <w:rPr>
          <w:sz w:val="24"/>
        </w:rPr>
        <w:t>分）什么是工序？简述精加工阶段工序划分的原则？</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lang w:val="en-US" w:eastAsia="zh-CN"/>
        </w:rPr>
      </w:pPr>
      <w:r>
        <w:rPr>
          <w:rFonts w:ascii="宋体" w:hAnsi="宋体"/>
          <w:sz w:val="15"/>
          <w:szCs w:val="15"/>
          <w:lang w:val="en-US" w:eastAsia="zh-CN"/>
        </w:rPr>
        <w:t>三一一连续</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1</w:t>
      </w:r>
      <w:r>
        <w:rPr>
          <w:rFonts w:ascii="宋体" w:hAnsi="宋体"/>
          <w:sz w:val="15"/>
          <w:szCs w:val="15"/>
        </w:rPr>
        <w:t>）基准先行：先加工基准面，再加工其它表面；精加工前应先修一下精基准；</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2</w:t>
      </w:r>
      <w:r>
        <w:rPr>
          <w:rFonts w:ascii="宋体" w:hAnsi="宋体"/>
          <w:sz w:val="15"/>
          <w:szCs w:val="15"/>
        </w:rPr>
        <w:t>）先面后孔：一般情况下，先加工平面，后加工孔；在毛坯面上钻孔或镗孔，容易使钻头引偏或打刀；</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3</w:t>
      </w:r>
      <w:r>
        <w:rPr>
          <w:rFonts w:ascii="宋体" w:hAnsi="宋体"/>
          <w:sz w:val="15"/>
          <w:szCs w:val="15"/>
        </w:rPr>
        <w:t>）先主后次：先加工主要表面，后加工次要表面；主要表面一般指零件上的设计基准面和重要工作面；</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4</w:t>
      </w:r>
      <w:r>
        <w:rPr>
          <w:rFonts w:ascii="宋体" w:hAnsi="宋体"/>
          <w:sz w:val="15"/>
          <w:szCs w:val="15"/>
        </w:rPr>
        <w:t>）先粗后精：先安排粗加工工序，后安排精加工工序；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szCs w:val="24"/>
        </w:rPr>
        <w:t>2</w:t>
      </w:r>
      <w:r>
        <w:rPr>
          <w:rFonts w:ascii="宋体" w:hAnsi="宋体"/>
          <w:sz w:val="24"/>
          <w:szCs w:val="24"/>
        </w:rPr>
        <w:t>．</w:t>
      </w:r>
      <w:r>
        <w:rPr>
          <w:sz w:val="24"/>
        </w:rPr>
        <w:t>（</w:t>
      </w:r>
      <w:r>
        <w:rPr>
          <w:sz w:val="24"/>
        </w:rPr>
        <w:t>10</w:t>
      </w:r>
      <w:r>
        <w:rPr>
          <w:sz w:val="24"/>
        </w:rPr>
        <w:t>分）什么是生产纲领？以年产</w:t>
      </w:r>
      <w:r>
        <w:rPr>
          <w:sz w:val="24"/>
        </w:rPr>
        <w:t>10</w:t>
      </w:r>
      <w:r>
        <w:rPr>
          <w:sz w:val="24"/>
        </w:rPr>
        <w:t>万辆自行车为例，计算车轮的生产纲领（每千辆提供</w:t>
      </w:r>
      <w:r>
        <w:rPr>
          <w:sz w:val="24"/>
        </w:rPr>
        <w:t>5</w:t>
      </w:r>
      <w:r>
        <w:rPr>
          <w:sz w:val="24"/>
        </w:rPr>
        <w:t>个车轮作为备件，生产过程中废品率不超过万分之一）。</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drawing>
          <wp:inline distT="0" distB="0" distL="0" distR="0">
            <wp:extent cx="4902200" cy="1016000"/>
            <wp:effectExtent l="0" t="0" r="0" b="0"/>
            <wp:docPr id="1" name="图片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 title=""/>
                    <pic:cNvPicPr>
                      <a:picLocks noChangeAspect="1" noChangeArrowheads="1"/>
                    </pic:cNvPicPr>
                  </pic:nvPicPr>
                  <pic:blipFill>
                    <a:blip r:embed="rId2"/>
                    <a:srcRect l="-7" t="-35" r="-7" b="-35"/>
                    <a:stretch>
                      <a:fillRect/>
                    </a:stretch>
                  </pic:blipFill>
                  <pic:spPr bwMode="auto">
                    <a:xfrm>
                      <a:off x="0" y="0"/>
                      <a:ext cx="4902200" cy="1016000"/>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cs="宋体" w:ascii="宋体" w:hAnsi="宋体"/>
          <w:sz w:val="24"/>
          <w:szCs w:val="24"/>
        </w:rPr>
        <w:t>3</w:t>
      </w:r>
      <w:r>
        <w:rPr>
          <w:rFonts w:ascii="宋体" w:hAnsi="宋体" w:cs="宋体"/>
          <w:sz w:val="24"/>
          <w:szCs w:val="24"/>
        </w:rPr>
        <w:t>．</w:t>
      </w:r>
      <w:r>
        <w:rPr>
          <w:sz w:val="24"/>
        </w:rPr>
        <w:t>（</w:t>
      </w:r>
      <w:r>
        <w:rPr>
          <w:sz w:val="24"/>
        </w:rPr>
        <w:t>10</w:t>
      </w:r>
      <w:r>
        <w:rPr>
          <w:sz w:val="24"/>
        </w:rPr>
        <w:t>分）简述</w:t>
      </w:r>
      <w:r>
        <w:rPr>
          <w:rFonts w:ascii="宋体" w:hAnsi="宋体"/>
          <w:sz w:val="24"/>
        </w:rPr>
        <w:t>精基准的选择原则。</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ascii="宋体" w:hAnsi="宋体"/>
          <w:sz w:val="15"/>
          <w:szCs w:val="15"/>
        </w:rPr>
        <w:t>基准重合：要尽可能选择设计基准作定位基准，这样可以避免由于基准不重合而引起的定位误差；</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ascii="宋体" w:hAnsi="宋体"/>
          <w:sz w:val="15"/>
          <w:szCs w:val="15"/>
        </w:rPr>
        <w:t>基准统一：要尽可能选用统一的定位基准加工工件上的各个表面，这样可以保证各加工表面之间的位置精度；</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ascii="宋体" w:hAnsi="宋体"/>
          <w:sz w:val="15"/>
          <w:szCs w:val="15"/>
        </w:rPr>
        <w:t>互为基准：某些位置要求很高的表面，常采用互为基准反复加工的办法来达到位置度要求。</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ascii="宋体" w:hAnsi="宋体"/>
          <w:sz w:val="15"/>
          <w:szCs w:val="15"/>
        </w:rPr>
        <w:t>自为基准：旨在减小表面粗糙度，减小加工余量和保证加工余量均匀的工序，常以加工面本身为基准进行加工。</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ascii="宋体" w:hAnsi="宋体"/>
          <w:sz w:val="15"/>
          <w:szCs w:val="15"/>
        </w:rPr>
        <w:t>便于装夹：选择尺寸精度、形状精度较高，表面粗糙度较小，面积较大的表面作为精基准，以便能保证零件定位稳定、夹紧可靠。</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cs="宋体" w:ascii="宋体" w:hAnsi="宋体"/>
          <w:sz w:val="24"/>
          <w:szCs w:val="24"/>
        </w:rPr>
        <w:t>4</w:t>
      </w:r>
      <w:r>
        <w:rPr>
          <w:rFonts w:ascii="宋体" w:hAnsi="宋体" w:cs="宋体"/>
          <w:sz w:val="24"/>
          <w:szCs w:val="24"/>
        </w:rPr>
        <w:t>．</w:t>
      </w:r>
      <w:r>
        <w:rPr>
          <w:sz w:val="24"/>
        </w:rPr>
        <w:t>（</w:t>
      </w:r>
      <w:r>
        <w:rPr>
          <w:sz w:val="24"/>
        </w:rPr>
        <w:t>10</w:t>
      </w:r>
      <w:r>
        <w:rPr>
          <w:sz w:val="24"/>
        </w:rPr>
        <w:t>分）什么是自激振动</w:t>
      </w:r>
      <w:r>
        <w:rPr>
          <w:rFonts w:ascii="宋体" w:hAnsi="宋体"/>
          <w:sz w:val="24"/>
        </w:rPr>
        <w:t>？</w:t>
      </w:r>
      <w:r>
        <w:rPr>
          <w:sz w:val="24"/>
        </w:rPr>
        <w:t>简述自激振动的特征</w:t>
      </w:r>
      <w:r>
        <w:rPr>
          <w:rFonts w:ascii="宋体" w:hAnsi="宋体"/>
          <w:sz w:val="24"/>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ascii="宋体" w:hAnsi="宋体"/>
          <w:sz w:val="15"/>
          <w:szCs w:val="15"/>
        </w:rPr>
        <w:t>机械加工过程中，在没有周期性外力作用下，由系统内部激发、反馈产生的周期性振动，称为自激振动，简称颤振。</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ascii="宋体" w:hAnsi="宋体"/>
          <w:sz w:val="15"/>
          <w:szCs w:val="15"/>
        </w:rPr>
        <w:t>自激振动是一种不衰减振动；振动过程本身能引起某种不衰减的周期性变化，而振动系统能通过这种力的变化，从不具备交变特性的能源中周期性的获得补充能量，从而维持住这个振动。</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自激振动的频率等于或接近于系统的固有频率；这一点与强迫振动根本不同，强迫振动的频率取决于外界干扰力的频率。</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自激振动能否产生及振幅的大小取决于振动系统在每一个周期内获得和消耗的能量对比情况；</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15"/>
        </w:rPr>
      </w:pPr>
      <w:r>
        <w:rPr>
          <w:rFonts w:ascii="宋体" w:hAnsi="宋体"/>
          <w:sz w:val="24"/>
          <w:szCs w:val="15"/>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二</w:t>
      </w:r>
      <w:r>
        <w:rPr>
          <w:rFonts w:ascii="宋体" w:hAnsi="宋体"/>
          <w:sz w:val="24"/>
        </w:rPr>
        <w:t>.</w:t>
      </w:r>
      <w:r>
        <w:rPr>
          <w:rFonts w:ascii="宋体" w:hAnsi="宋体"/>
          <w:sz w:val="24"/>
        </w:rPr>
        <w:t>分析题（</w:t>
      </w:r>
      <w:r>
        <w:rPr>
          <w:rFonts w:ascii="宋体" w:hAnsi="宋体"/>
          <w:sz w:val="24"/>
        </w:rPr>
        <w:t>30</w:t>
      </w:r>
      <w:r>
        <w:rPr>
          <w:rFonts w:ascii="宋体" w:hAnsi="宋体"/>
          <w:sz w:val="24"/>
        </w:rPr>
        <w:t>分）</w:t>
      </w:r>
    </w:p>
    <w:p>
      <w:pPr>
        <w:pStyle w:val="Normal"/>
        <w:rPr>
          <w:sz w:val="24"/>
        </w:rPr>
      </w:pPr>
      <w:r>
        <w:rPr>
          <w:rFonts w:ascii="宋体" w:hAnsi="宋体"/>
          <w:sz w:val="24"/>
        </w:rPr>
        <w:t>5</w:t>
      </w:r>
      <w:r>
        <w:rPr>
          <w:rFonts w:ascii="宋体" w:hAnsi="宋体"/>
          <w:sz w:val="24"/>
        </w:rPr>
        <w:t>．</w:t>
      </w:r>
      <w:r>
        <w:rPr>
          <w:sz w:val="24"/>
        </w:rPr>
        <w:t>（</w:t>
      </w:r>
      <w:r>
        <w:rPr>
          <w:sz w:val="24"/>
        </w:rPr>
        <w:t>15</w:t>
      </w:r>
      <w:r>
        <w:rPr>
          <w:sz w:val="24"/>
        </w:rPr>
        <w:t>分）试分析图</w:t>
      </w:r>
      <w:r>
        <w:rPr>
          <w:sz w:val="24"/>
        </w:rPr>
        <w:t>6</w:t>
      </w:r>
      <w:r>
        <w:rPr>
          <w:sz w:val="24"/>
        </w:rPr>
        <w:t>中所示工件在加工时（图中粗实线表示为加工表面），工序要求限制哪几个自由度？应该选择哪些表面做定位基准？拟采用何种定位件？实际限制了几个自由度？</w:t>
      </w:r>
      <w:r>
        <w:rPr>
          <w:rFonts w:eastAsia="Times New Roman"/>
          <w:sz w:val="24"/>
        </w:rPr>
        <w:t xml:space="preserve"> </w:t>
      </w:r>
    </w:p>
    <w:p>
      <w:pPr>
        <w:pStyle w:val="Normal"/>
        <w:jc w:val="center"/>
        <w:rPr>
          <w:rFonts w:ascii="宋体" w:hAnsi="宋体" w:cs="宋体"/>
          <w:sz w:val="22"/>
          <w:szCs w:val="22"/>
        </w:rPr>
      </w:pPr>
      <w:r>
        <w:rPr>
          <w:lang w:val="en-US" w:eastAsia="en-US"/>
        </w:rPr>
        <w:drawing>
          <wp:inline distT="0" distB="0" distL="0" distR="0">
            <wp:extent cx="3853180" cy="1740535"/>
            <wp:effectExtent l="0" t="0" r="0" b="0"/>
            <wp:docPr id="2"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title=""/>
                    <pic:cNvPicPr>
                      <a:picLocks noChangeAspect="1" noChangeArrowheads="1"/>
                    </pic:cNvPicPr>
                  </pic:nvPicPr>
                  <pic:blipFill>
                    <a:blip r:embed="rId3"/>
                    <a:srcRect l="-7" t="-16" r="-7" b="-16"/>
                    <a:stretch>
                      <a:fillRect/>
                    </a:stretch>
                  </pic:blipFill>
                  <pic:spPr bwMode="auto">
                    <a:xfrm>
                      <a:off x="0" y="0"/>
                      <a:ext cx="3853180" cy="174053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rFonts w:ascii="宋体" w:hAnsi="宋体"/>
          <w:szCs w:val="21"/>
        </w:rPr>
      </w:pPr>
      <w:r>
        <w:rPr>
          <w:szCs w:val="21"/>
        </w:rPr>
        <w:t>图</w:t>
      </w:r>
      <w:r>
        <w:rPr>
          <w:szCs w:val="21"/>
        </w:rPr>
        <w:t xml:space="preserve">6 </w:t>
      </w:r>
      <w:r>
        <w:rPr>
          <w:szCs w:val="21"/>
        </w:rPr>
        <w:t>零件图</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1"/>
        </w:rPr>
      </w:pPr>
      <w:r>
        <w:rPr>
          <w:rFonts w:ascii="宋体" w:hAnsi="宋体"/>
          <w:sz w:val="24"/>
          <w:szCs w:val="21"/>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rPr>
          <w:sz w:val="24"/>
        </w:rPr>
      </w:pPr>
      <w:r>
        <w:rPr>
          <w:rFonts w:ascii="宋体" w:hAnsi="宋体"/>
          <w:sz w:val="24"/>
        </w:rPr>
        <w:t>6</w:t>
      </w:r>
      <w:r>
        <w:rPr>
          <w:rFonts w:ascii="宋体" w:hAnsi="宋体"/>
          <w:sz w:val="24"/>
        </w:rPr>
        <w:t>.</w:t>
      </w:r>
      <w:r>
        <w:rPr>
          <w:sz w:val="24"/>
        </w:rPr>
        <w:t xml:space="preserve"> </w:t>
      </w:r>
      <w:r>
        <w:rPr>
          <w:sz w:val="24"/>
        </w:rPr>
        <w:t>（</w:t>
      </w:r>
      <w:r>
        <w:rPr>
          <w:sz w:val="24"/>
        </w:rPr>
        <w:t>15</w:t>
      </w:r>
      <w:r>
        <w:rPr>
          <w:sz w:val="24"/>
        </w:rPr>
        <w:t>分）镗孔加工，经测量发现孔径呈现逐渐增大趋势，而孔的圆度始终较好。试分析主要影响因素，并给出工艺改进方案。</w:t>
      </w:r>
    </w:p>
    <w:p>
      <w:pPr>
        <w:pStyle w:val="Normal"/>
        <w:jc w:val="center"/>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cs="宋体"/>
          <w:sz w:val="24"/>
          <w:szCs w:val="24"/>
        </w:rPr>
        <w:t>四．计算题（</w:t>
      </w:r>
      <w:r>
        <w:rPr>
          <w:rFonts w:cs="宋体" w:ascii="宋体" w:hAnsi="宋体"/>
          <w:sz w:val="24"/>
          <w:szCs w:val="24"/>
        </w:rPr>
        <w:t>30</w:t>
      </w:r>
      <w:r>
        <w:rPr>
          <w:rFonts w:ascii="宋体" w:hAnsi="宋体" w:cs="宋体"/>
          <w:sz w:val="24"/>
          <w:szCs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7</w:t>
      </w:r>
      <w:r>
        <w:rPr>
          <w:rFonts w:ascii="宋体" w:hAnsi="宋体"/>
          <w:sz w:val="24"/>
        </w:rPr>
        <w:t>.</w:t>
      </w:r>
      <w:r>
        <w:rPr/>
        <w:t xml:space="preserve"> </w:t>
      </w:r>
      <w:r>
        <w:rPr>
          <w:rFonts w:ascii="宋体" w:hAnsi="宋体" w:cs="宋体"/>
          <w:sz w:val="24"/>
          <w:szCs w:val="24"/>
        </w:rPr>
        <w:t>（</w:t>
      </w:r>
      <w:r>
        <w:rPr>
          <w:rFonts w:cs="宋体" w:ascii="宋体" w:hAnsi="宋体"/>
          <w:sz w:val="24"/>
          <w:szCs w:val="24"/>
        </w:rPr>
        <w:t>15</w:t>
      </w:r>
      <w:r>
        <w:rPr>
          <w:rFonts w:ascii="宋体" w:hAnsi="宋体" w:cs="宋体"/>
          <w:sz w:val="24"/>
          <w:szCs w:val="24"/>
        </w:rPr>
        <w:t>分）</w:t>
      </w:r>
      <w:r>
        <w:rPr>
          <w:rFonts w:ascii="宋体" w:hAnsi="宋体"/>
          <w:sz w:val="24"/>
        </w:rPr>
        <w:t>车削一批轴的外圆，其尺寸要求为</w:t>
      </w:r>
      <w:r>
        <w:rPr>
          <w:rFonts w:ascii="宋体" w:hAnsi="宋体"/>
          <w:sz w:val="24"/>
        </w:rPr>
        <w:t>Φ</w:t>
      </w:r>
      <w:r>
        <w:rPr>
          <w:rFonts w:ascii="宋体" w:hAnsi="宋体"/>
          <w:sz w:val="24"/>
        </w:rPr>
        <w:object w:dxaOrig="899" w:dyaOrig="37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44.95pt;height:19pt" filled="f" o:ole="">
            <v:imagedata r:id="rId5" o:title=""/>
          </v:shape>
          <o:OLEObject Type="Embed" ProgID="" ShapeID="ole_rId4" DrawAspect="Content" ObjectID="_1598035449" r:id="rId4"/>
        </w:object>
      </w:r>
      <w:r>
        <w:rPr>
          <w:rFonts w:ascii="宋体" w:hAnsi="宋体"/>
          <w:sz w:val="24"/>
        </w:rPr>
        <w:t>，若此工序尺寸按正态分布，均方差</w:t>
      </w:r>
      <w:r>
        <w:rPr>
          <w:rFonts w:ascii="宋体" w:hAnsi="宋体"/>
          <w:sz w:val="24"/>
        </w:rPr>
        <w:t>σ=0.025mm</w:t>
      </w:r>
      <w:r>
        <w:rPr>
          <w:rFonts w:ascii="宋体" w:hAnsi="宋体"/>
          <w:sz w:val="24"/>
        </w:rPr>
        <w:t>，公差带中心大于分布曲线中心，其偏移量</w:t>
      </w:r>
      <w:r>
        <w:rPr>
          <w:rFonts w:ascii="宋体" w:hAnsi="宋体"/>
          <w:sz w:val="24"/>
        </w:rPr>
        <w:t>e=0.0</w:t>
      </w:r>
      <w:r>
        <w:rPr>
          <w:rFonts w:ascii="宋体" w:hAnsi="宋体"/>
          <w:sz w:val="24"/>
        </w:rPr>
        <w:t>2</w:t>
      </w:r>
      <w:r>
        <w:rPr>
          <w:rFonts w:ascii="宋体" w:hAnsi="宋体"/>
          <w:sz w:val="24"/>
        </w:rPr>
        <w:t>mm</w:t>
      </w:r>
      <w:r>
        <w:rPr>
          <w:rFonts w:ascii="宋体" w:hAnsi="宋体"/>
          <w:sz w:val="24"/>
        </w:rPr>
        <w:t>。试指出该批工件的常值系统性误差及随机误差多大？并计算合格品率及不合格品率各是多少？能否修复？计算工艺能力系数</w:t>
      </w:r>
      <w:r>
        <w:rPr>
          <w:rFonts w:ascii="宋体" w:hAnsi="宋体"/>
          <w:sz w:val="24"/>
        </w:rPr>
        <w:t xml:space="preserve">Cp </w:t>
      </w:r>
      <w:r>
        <w:rPr>
          <w:rFonts w:ascii="宋体" w:hAnsi="宋体"/>
          <w:sz w:val="24"/>
        </w:rPr>
        <w:t>。</w:t>
      </w:r>
    </w:p>
    <w:p>
      <w:pPr>
        <w:pStyle w:val="Normal"/>
        <w:spacing w:lineRule="atLeast" w:line="360"/>
        <w:ind w:firstLine="210" w:end="0"/>
        <w:rPr>
          <w:rFonts w:ascii="宋体" w:hAnsi="宋体" w:cs="宋体"/>
          <w:szCs w:val="21"/>
        </w:rPr>
      </w:pPr>
      <w:r>
        <w:rPr>
          <w:rFonts w:ascii="宋体" w:hAnsi="宋体" w:cs="宋体"/>
          <w:szCs w:val="21"/>
        </w:rPr>
        <w:t>正态分布</w:t>
      </w:r>
      <w:r>
        <w:rPr>
          <w:rFonts w:cs="宋体" w:ascii="宋体" w:hAnsi="宋体"/>
          <w:szCs w:val="21"/>
        </w:rPr>
        <w:t>Z-F(z)</w:t>
      </w:r>
      <w:r>
        <w:rPr>
          <w:rFonts w:ascii="宋体" w:hAnsi="宋体" w:cs="宋体"/>
          <w:szCs w:val="21"/>
        </w:rPr>
        <w:t>值表</w:t>
      </w:r>
    </w:p>
    <w:tbl>
      <w:tblPr>
        <w:tblW w:w="9102" w:type="dxa"/>
        <w:jc w:val="start"/>
        <w:tblInd w:w="93" w:type="dxa"/>
        <w:tblLayout w:type="fixed"/>
        <w:tblCellMar>
          <w:top w:w="0" w:type="dxa"/>
          <w:start w:w="108" w:type="dxa"/>
          <w:bottom w:w="0" w:type="dxa"/>
          <w:end w:w="108" w:type="dxa"/>
        </w:tblCellMar>
      </w:tblPr>
      <w:tblGrid>
        <w:gridCol w:w="636"/>
        <w:gridCol w:w="846"/>
        <w:gridCol w:w="846"/>
        <w:gridCol w:w="846"/>
        <w:gridCol w:w="741"/>
        <w:gridCol w:w="741"/>
        <w:gridCol w:w="741"/>
        <w:gridCol w:w="741"/>
        <w:gridCol w:w="741"/>
        <w:gridCol w:w="741"/>
        <w:gridCol w:w="741"/>
        <w:gridCol w:w="741"/>
      </w:tblGrid>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15.87%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13.57%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11.51%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9.68%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8.08%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6.68%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5.48%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4.46%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3.59%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2.87%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r>
      <w:tr>
        <w:trPr>
          <w:trHeight w:val="101"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1.79%</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0.82%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0.62%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0.47%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0.35%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0.26%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r>
      <w:tr>
        <w:trPr>
          <w:trHeight w:val="184"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4.0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0.10%</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0.03%</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r>
    </w:tbl>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jc w:val="start"/>
        <w:rPr>
          <w:rFonts w:ascii="宋体" w:hAnsi="宋体"/>
          <w:sz w:val="24"/>
        </w:rPr>
      </w:pPr>
      <w:r>
        <w:rPr>
          <w:rFonts w:ascii="宋体" w:hAnsi="宋体"/>
          <w:sz w:val="24"/>
        </w:rPr>
      </w:r>
    </w:p>
    <w:p>
      <w:pPr>
        <w:pStyle w:val="Normal"/>
        <w:jc w:val="start"/>
        <w:rPr>
          <w:rFonts w:ascii="宋体" w:hAnsi="宋体"/>
          <w:sz w:val="24"/>
        </w:rPr>
      </w:pPr>
      <w:r>
        <w:rPr>
          <w:sz w:val="24"/>
        </w:rPr>
        <w:t>8</w:t>
      </w:r>
      <w:r>
        <w:rPr>
          <w:sz w:val="24"/>
        </w:rPr>
        <w:t>.</w:t>
      </w:r>
      <w:r>
        <w:rPr>
          <w:rFonts w:ascii="宋体" w:hAnsi="宋体"/>
          <w:sz w:val="24"/>
        </w:rPr>
        <w:t xml:space="preserve"> </w:t>
      </w:r>
      <w:r>
        <w:rPr>
          <w:rFonts w:ascii="宋体" w:hAnsi="宋体" w:cs="宋体"/>
          <w:sz w:val="24"/>
          <w:szCs w:val="24"/>
        </w:rPr>
        <w:t>（</w:t>
      </w:r>
      <w:r>
        <w:rPr>
          <w:rFonts w:cs="宋体" w:ascii="宋体" w:hAnsi="宋体"/>
          <w:sz w:val="24"/>
          <w:szCs w:val="24"/>
        </w:rPr>
        <w:t>15</w:t>
      </w:r>
      <w:r>
        <w:rPr>
          <w:rFonts w:ascii="宋体" w:hAnsi="宋体" w:cs="宋体"/>
          <w:sz w:val="24"/>
          <w:szCs w:val="24"/>
        </w:rPr>
        <w:t>分）</w:t>
      </w:r>
      <w:r>
        <w:rPr>
          <w:rFonts w:ascii="宋体" w:hAnsi="宋体"/>
          <w:sz w:val="24"/>
        </w:rPr>
        <w:t>如下图中</w:t>
      </w:r>
      <w:r>
        <w:rPr>
          <w:rFonts w:ascii="宋体" w:hAnsi="宋体"/>
          <w:sz w:val="24"/>
        </w:rPr>
        <w:t>零件图</w:t>
      </w:r>
      <w:r>
        <w:rPr>
          <w:rFonts w:ascii="宋体" w:hAnsi="宋体"/>
          <w:sz w:val="24"/>
        </w:rPr>
        <w:t>所示为</w:t>
      </w:r>
      <w:r>
        <w:rPr>
          <w:sz w:val="24"/>
        </w:rPr>
        <w:t>凸轮挺杆的轴向设计尺寸</w:t>
      </w:r>
      <w:r>
        <w:rPr>
          <w:rFonts w:ascii="宋体" w:hAnsi="宋体"/>
          <w:sz w:val="24"/>
        </w:rPr>
        <w:t>要求，相关工序如下：</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5   </w:t>
      </w:r>
      <w:r>
        <w:rPr>
          <w:rFonts w:ascii="宋体" w:hAnsi="宋体"/>
          <w:sz w:val="24"/>
        </w:rPr>
        <w:t>车</w:t>
      </w:r>
      <w:r>
        <w:rPr>
          <w:rFonts w:ascii="宋体" w:hAnsi="宋体"/>
          <w:sz w:val="24"/>
        </w:rPr>
        <w:t>外形及切断</w:t>
      </w:r>
      <w:r>
        <w:rPr>
          <w:rFonts w:ascii="宋体" w:hAnsi="宋体"/>
          <w:sz w:val="24"/>
        </w:rPr>
        <w:t>，</w:t>
      </w:r>
      <w:r>
        <w:rPr>
          <w:rFonts w:ascii="宋体" w:hAnsi="宋体"/>
          <w:sz w:val="24"/>
        </w:rPr>
        <w:t>保证工序尺寸</w:t>
      </w:r>
      <w:r>
        <w:rPr>
          <w:rFonts w:ascii="宋体" w:hAnsi="宋体"/>
          <w:sz w:val="24"/>
        </w:rPr>
        <w:t>A</w:t>
      </w:r>
      <w:r>
        <w:rPr>
          <w:rFonts w:ascii="宋体" w:hAnsi="宋体"/>
          <w:sz w:val="24"/>
        </w:rPr>
        <w:t>和</w:t>
      </w:r>
      <w:r>
        <w:rPr>
          <w:rFonts w:ascii="宋体" w:hAnsi="宋体"/>
          <w:sz w:val="24"/>
        </w:rPr>
        <w:t xml:space="preserve">B </w:t>
      </w:r>
      <w:r>
        <w:rPr>
          <w:rFonts w:ascii="宋体" w:hAnsi="宋体"/>
          <w:sz w:val="24"/>
        </w:rPr>
        <w:t>（</w:t>
      </w:r>
      <w:r>
        <w:rPr>
          <w:rFonts w:ascii="宋体" w:hAnsi="宋体"/>
          <w:sz w:val="24"/>
        </w:rPr>
        <w:t>见下图工序</w:t>
      </w:r>
      <w:r>
        <w:rPr>
          <w:rFonts w:ascii="宋体" w:hAnsi="宋体"/>
          <w:sz w:val="24"/>
        </w:rPr>
        <w:t>5</w:t>
      </w:r>
      <w:r>
        <w:rPr>
          <w:rFonts w:ascii="宋体" w:hAnsi="宋体"/>
          <w:sz w:val="24"/>
        </w:rPr>
        <w:t>）</w:t>
      </w:r>
      <w:r>
        <w:rPr>
          <w:rFonts w:ascii="宋体" w:hAnsi="宋体"/>
          <w:sz w:val="24"/>
        </w:rPr>
        <w:t>；</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10  </w:t>
      </w:r>
      <w:r>
        <w:rPr>
          <w:rFonts w:ascii="宋体" w:hAnsi="宋体"/>
          <w:sz w:val="24"/>
        </w:rPr>
        <w:t>平</w:t>
      </w:r>
      <w:r>
        <w:rPr>
          <w:rFonts w:ascii="宋体" w:hAnsi="宋体"/>
          <w:sz w:val="24"/>
        </w:rPr>
        <w:t>端面，保证</w:t>
      </w:r>
      <w:r>
        <w:rPr>
          <w:rFonts w:ascii="宋体" w:hAnsi="宋体"/>
          <w:sz w:val="24"/>
        </w:rPr>
        <w:t>工序</w:t>
      </w:r>
      <w:r>
        <w:rPr>
          <w:rFonts w:ascii="宋体" w:hAnsi="宋体"/>
          <w:sz w:val="24"/>
        </w:rPr>
        <w:t>尺寸</w:t>
      </w:r>
      <w:r>
        <w:rPr>
          <w:rFonts w:ascii="宋体" w:hAnsi="宋体"/>
          <w:sz w:val="24"/>
        </w:rPr>
        <w:t xml:space="preserve">C </w:t>
      </w:r>
      <w:r>
        <w:rPr>
          <w:rFonts w:ascii="宋体" w:hAnsi="宋体"/>
          <w:sz w:val="24"/>
        </w:rPr>
        <w:t>（</w:t>
      </w:r>
      <w:r>
        <w:rPr>
          <w:rFonts w:ascii="宋体" w:hAnsi="宋体"/>
          <w:sz w:val="24"/>
        </w:rPr>
        <w:t>见下图工序</w:t>
      </w:r>
      <w:r>
        <w:rPr>
          <w:rFonts w:ascii="宋体" w:hAnsi="宋体"/>
          <w:sz w:val="24"/>
        </w:rPr>
        <w:t>10</w:t>
      </w:r>
      <w:r>
        <w:rPr>
          <w:rFonts w:ascii="宋体" w:hAnsi="宋体"/>
          <w:sz w:val="24"/>
        </w:rPr>
        <w:t>）</w:t>
      </w:r>
      <w:r>
        <w:rPr>
          <w:rFonts w:ascii="宋体" w:hAnsi="宋体"/>
          <w:sz w:val="24"/>
        </w:rPr>
        <w:t>。</w:t>
      </w:r>
    </w:p>
    <w:p>
      <w:pPr>
        <w:pStyle w:val="Normal"/>
        <w:spacing w:lineRule="atLeast" w:line="360" w:before="158" w:after="0"/>
        <w:ind w:firstLine="424" w:end="0"/>
        <w:jc w:val="start"/>
        <w:rPr>
          <w:rFonts w:ascii="宋体" w:hAnsi="宋体"/>
          <w:sz w:val="24"/>
        </w:rPr>
      </w:pPr>
      <w:r>
        <w:rPr>
          <w:rFonts w:ascii="宋体" w:hAnsi="宋体"/>
          <w:sz w:val="24"/>
        </w:rPr>
        <w:t>如果</w:t>
      </w:r>
      <w:r>
        <w:rPr>
          <w:rFonts w:ascii="宋体" w:hAnsi="宋体"/>
          <w:sz w:val="24"/>
        </w:rPr>
        <w:t>要求平端面时的</w:t>
      </w:r>
      <w:r>
        <w:rPr>
          <w:rFonts w:ascii="宋体" w:hAnsi="宋体"/>
          <w:sz w:val="24"/>
        </w:rPr>
        <w:t>车削</w:t>
      </w:r>
      <w:r>
        <w:rPr>
          <w:rFonts w:ascii="宋体" w:hAnsi="宋体"/>
          <w:sz w:val="24"/>
        </w:rPr>
        <w:t>余量在</w:t>
      </w:r>
      <w:r>
        <w:rPr>
          <w:rFonts w:ascii="宋体" w:hAnsi="宋体"/>
          <w:sz w:val="24"/>
        </w:rPr>
        <w:t>0.1-0.4</w:t>
      </w:r>
      <w:r>
        <w:rPr>
          <w:rFonts w:ascii="宋体" w:hAnsi="宋体"/>
          <w:sz w:val="24"/>
        </w:rPr>
        <w:t>之间，</w:t>
      </w:r>
      <w:r>
        <w:rPr>
          <w:rFonts w:ascii="宋体" w:hAnsi="宋体"/>
          <w:sz w:val="24"/>
        </w:rPr>
        <w:t>请</w:t>
      </w:r>
      <w:r>
        <w:rPr>
          <w:rFonts w:ascii="宋体" w:hAnsi="宋体"/>
          <w:sz w:val="24"/>
        </w:rPr>
        <w:t>安排相关工序尺寸及公差要求</w:t>
      </w:r>
      <w:r>
        <w:rPr>
          <w:rFonts w:ascii="宋体" w:hAnsi="宋体"/>
          <w:sz w:val="24"/>
        </w:rPr>
        <w:t>。</w:t>
      </w:r>
    </w:p>
    <w:p>
      <w:pPr>
        <w:pStyle w:val="Normal"/>
        <w:spacing w:lineRule="auto" w:line="240" w:before="158" w:after="0"/>
        <w:ind w:firstLine="371" w:end="0"/>
        <w:jc w:val="start"/>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pPr>
      <w:r>
        <w:rPr/>
        <w:object w:dxaOrig="15113" w:dyaOrig="4057">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453.55pt;height:121.75pt" filled="f" o:ole="">
            <v:imagedata r:id="rId7" o:title=""/>
          </v:shape>
          <o:OLEObject Type="Embed" ProgID="" ShapeID="ole_rId6" DrawAspect="Content" ObjectID="_906776300" r:id="rId6"/>
        </w:object>
      </w:r>
    </w:p>
    <w:p>
      <w:pPr>
        <w:pStyle w:val="Normal"/>
        <w:widowControl/>
        <w:tabs>
          <w:tab w:val="clear" w:pos="425"/>
          <w:tab w:val="left" w:pos="3403" w:leader="none"/>
        </w:tabs>
        <w:autoSpaceDE w:val="false"/>
        <w:spacing w:lineRule="auto" w:line="360" w:before="0" w:after="120"/>
        <w:ind w:hanging="504" w:start="504" w:end="0"/>
        <w:textAlignment w:val="bottom"/>
        <w:rPr>
          <w:rFonts w:eastAsia="宋体"/>
          <w:lang w:eastAsia="zh-CN"/>
        </w:rPr>
      </w:pPr>
      <w:r>
        <w:rPr>
          <w:rFonts w:eastAsia="宋体"/>
          <w:lang w:eastAsia="zh-CN"/>
        </w:rPr>
        <w:drawing>
          <wp:inline distT="0" distB="0" distL="0" distR="0">
            <wp:extent cx="5664200" cy="7785100"/>
            <wp:effectExtent l="0" t="0" r="0" b="0"/>
            <wp:docPr id="3"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 title=""/>
                    <pic:cNvPicPr>
                      <a:picLocks noChangeAspect="1" noChangeArrowheads="1"/>
                    </pic:cNvPicPr>
                  </pic:nvPicPr>
                  <pic:blipFill>
                    <a:blip r:embed="rId8"/>
                    <a:srcRect l="-4" t="-3" r="-4" b="-3"/>
                    <a:stretch>
                      <a:fillRect/>
                    </a:stretch>
                  </pic:blipFill>
                  <pic:spPr bwMode="auto">
                    <a:xfrm>
                      <a:off x="0" y="0"/>
                      <a:ext cx="5664200" cy="7785100"/>
                    </a:xfrm>
                    <a:prstGeom prst="rect">
                      <a:avLst/>
                    </a:prstGeom>
                  </pic:spPr>
                </pic:pic>
              </a:graphicData>
            </a:graphic>
          </wp:inline>
        </w:drawing>
      </w:r>
    </w:p>
    <w:sectPr>
      <w:footerReference w:type="default" r:id="rId9"/>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5</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5</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Style15">
    <w:name w:val="批注框文本"/>
    <w:basedOn w:val="Normal"/>
    <w:qFormat/>
    <w:pPr/>
    <w:rPr>
      <w:sz w:val="18"/>
      <w:szCs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oleObject" Target="embeddings/oleObject1.bin"/><Relationship Id="rId5" Type="http://schemas.openxmlformats.org/officeDocument/2006/relationships/image" Target="media/image3.wmf"/><Relationship Id="rId6" Type="http://schemas.openxmlformats.org/officeDocument/2006/relationships/oleObject" Target="embeddings/oleObject2.bin"/><Relationship Id="rId7" Type="http://schemas.openxmlformats.org/officeDocument/2006/relationships/image" Target="media/image4.wmf"/><Relationship Id="rId8" Type="http://schemas.openxmlformats.org/officeDocument/2006/relationships/image" Target="media/image5.jpe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29760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WEN</cp:lastModifiedBy>
  <cp:lastPrinted>2019-05-16T15:17:00Z</cp:lastPrinted>
  <dcterms:modified xsi:type="dcterms:W3CDTF">2020-08-07T09:34:47Z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