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wmf" ContentType="image/x-wmf"/>
  <Override PartName="/word/media/image4.wmf" ContentType="image/x-wmf"/>
  <Override PartName="/word/media/image9.wmf" ContentType="image/x-wmf"/>
  <Override PartName="/word/media/image20.wmf" ContentType="image/x-wmf"/>
  <Override PartName="/word/media/image12.wmf" ContentType="image/x-wmf"/>
  <Override PartName="/word/media/image3.wmf" ContentType="image/x-wmf"/>
  <Override PartName="/word/media/image8.wmf" ContentType="image/x-wmf"/>
  <Override PartName="/word/media/image17.wmf" ContentType="image/x-wmf"/>
  <Override PartName="/word/media/image21.wmf" ContentType="image/x-wmf"/>
  <Override PartName="/word/media/image19.wmf" ContentType="image/x-wmf"/>
  <Override PartName="/word/media/image18.png" ContentType="image/png"/>
  <Override PartName="/word/media/image1.png" ContentType="image/png"/>
  <Override PartName="/word/media/image5.wmf" ContentType="image/x-wmf"/>
  <Override PartName="/word/media/image14.wmf" ContentType="image/x-wmf"/>
  <Override PartName="/word/media/image15.wmf" ContentType="image/x-wmf"/>
  <Override PartName="/word/media/image6.wmf" ContentType="image/x-wmf"/>
  <Override PartName="/word/media/image10.wmf" ContentType="image/x-wmf"/>
  <Override PartName="/word/media/image16.wmf" ContentType="image/x-wmf"/>
  <Override PartName="/word/media/image7.wmf" ContentType="image/x-wmf"/>
  <Override PartName="/word/media/image2.wmf" ContentType="image/x-wmf"/>
  <Override PartName="/word/media/image11.wmf" ContentType="image/x-wmf"/>
  <Override PartName="/word/embeddings/oleObject13.bin" ContentType="application/vnd.openxmlformats-officedocument.oleObject"/>
  <Override PartName="/word/embeddings/oleObject12.bin" ContentType="application/vnd.openxmlformats-officedocument.oleObject"/>
  <Override PartName="/word/embeddings/oleObject11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8.bin" ContentType="application/vnd.openxmlformats-officedocument.oleObject"/>
  <Override PartName="/word/embeddings/oleObject7.bin" ContentType="application/vnd.openxmlformats-officedocument.oleObject"/>
  <Override PartName="/word/embeddings/oleObject6.bin" ContentType="application/vnd.openxmlformats-officedocument.oleObject"/>
  <Override PartName="/word/embeddings/oleObject5.bin" ContentType="application/vnd.openxmlformats-officedocument.oleObject"/>
  <Override PartName="/word/embeddings/oleObject4.bin" ContentType="application/vnd.openxmlformats-officedocument.oleObject"/>
  <Override PartName="/word/embeddings/oleObject3.bin" ContentType="application/vnd.openxmlformats-officedocument.oleObject"/>
  <Override PartName="/word/embeddings/oleObject24.bin" ContentType="application/vnd.openxmlformats-officedocument.oleObject"/>
  <Override PartName="/word/embeddings/oleObject23.bin" ContentType="application/vnd.openxmlformats-officedocument.oleObject"/>
  <Override PartName="/word/embeddings/oleObject22.bin" ContentType="application/vnd.openxmlformats-officedocument.oleObject"/>
  <Override PartName="/word/embeddings/oleObject21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18.bin" ContentType="application/vnd.openxmlformats-officedocument.oleObject"/>
  <Override PartName="/word/embeddings/oleObject17.bin" ContentType="application/vnd.openxmlformats-officedocument.oleObject"/>
  <Override PartName="/word/embeddings/oleObject16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14.bin" ContentType="application/vnd.openxmlformats-officedocument.oleObject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宋体;SimSun" w:hAnsi="宋体;SimSun"/>
          <w:sz w:val="18"/>
        </w:rPr>
        <w:t>编号（</w:t>
      </w:r>
      <w:r>
        <w:rPr>
          <w:rFonts w:ascii="宋体;SimSun" w:hAnsi="宋体;SimSun"/>
          <w:sz w:val="18"/>
        </w:rPr>
        <w:t>23</w:t>
      </w:r>
      <w:r>
        <w:rPr>
          <w:rFonts w:ascii="宋体;SimSun" w:hAnsi="宋体;SimSun"/>
          <w:sz w:val="18"/>
        </w:rPr>
        <w:t xml:space="preserve">）       </w:t>
      </w:r>
      <w:r>
        <w:rPr>
          <w:rFonts w:ascii="宋体;SimSun" w:hAnsi="宋体;SimSun"/>
          <w:sz w:val="24"/>
        </w:rPr>
        <w:t>北京理工大学远程教育</w:t>
      </w:r>
      <w:r>
        <w:rPr>
          <w:rFonts w:ascii="宋体;SimSun" w:hAnsi="宋体;SimSun"/>
          <w:sz w:val="24"/>
        </w:rPr>
        <w:t>2002-2003</w:t>
      </w:r>
      <w:r>
        <w:rPr>
          <w:rFonts w:ascii="宋体;SimSun" w:hAnsi="宋体;SimSun"/>
          <w:sz w:val="24"/>
        </w:rPr>
        <w:t>学年第二学期</w:t>
      </w:r>
    </w:p>
    <w:p>
      <w:pPr>
        <w:pStyle w:val="Normal"/>
        <w:spacing w:lineRule="auto" w:line="480"/>
        <w:jc w:val="center"/>
        <w:rPr/>
      </w:pPr>
      <w:r>
        <w:rPr>
          <w:rFonts w:ascii="宋体;SimSun" w:hAnsi="宋体;SimSun"/>
          <w:sz w:val="32"/>
        </w:rPr>
        <w:t>《机械制造工程学》期末试卷</w:t>
      </w:r>
      <w:r>
        <w:rPr>
          <w:rFonts w:ascii="宋体;SimSun" w:hAnsi="宋体;SimSun"/>
          <w:sz w:val="32"/>
        </w:rPr>
        <w:t>(A</w:t>
      </w:r>
      <w:r>
        <w:rPr>
          <w:rFonts w:ascii="宋体;SimSun" w:hAnsi="宋体;SimSun"/>
          <w:sz w:val="32"/>
        </w:rPr>
        <w:t>卷</w:t>
      </w:r>
      <w:r>
        <w:rPr>
          <w:rFonts w:ascii="宋体;SimSun" w:hAnsi="宋体;SimSun"/>
          <w:sz w:val="32"/>
        </w:rPr>
        <w:t>)-</w:t>
      </w:r>
      <w:r>
        <w:rPr>
          <w:rFonts w:ascii="宋体;SimSun" w:hAnsi="宋体;SimSun"/>
          <w:sz w:val="32"/>
        </w:rPr>
        <w:t xml:space="preserve">标准答案 </w:t>
      </w:r>
    </w:p>
    <w:p>
      <w:pPr>
        <w:pStyle w:val="Normal"/>
        <w:spacing w:lineRule="exact" w:line="320"/>
        <w:rPr>
          <w:rFonts w:ascii="宋体;SimSun" w:hAnsi="宋体;SimSun"/>
          <w:sz w:val="28"/>
          <w:u w:val="single"/>
        </w:rPr>
      </w:pPr>
      <w:r>
        <w:rPr>
          <w:rFonts w:ascii="宋体;SimSun" w:hAnsi="宋体;SimSun"/>
          <w:sz w:val="28"/>
          <w:u w:val="single"/>
        </w:rPr>
      </w:r>
    </w:p>
    <w:p>
      <w:pPr>
        <w:pStyle w:val="Normal"/>
        <w:spacing w:lineRule="exact" w:line="320"/>
        <w:rPr/>
      </w:pPr>
      <w:r>
        <w:rPr>
          <w:rFonts w:cs="宋体;SimSun" w:ascii="宋体;SimSun" w:hAnsi="宋体;SimSun"/>
          <w:sz w:val="28"/>
          <w:u w:val="single"/>
        </w:rPr>
        <w:t xml:space="preserve"> </w:t>
      </w:r>
      <w:r>
        <w:rPr>
          <w:rFonts w:ascii="宋体;SimSun" w:hAnsi="宋体;SimSun"/>
          <w:sz w:val="24"/>
          <w:u w:val="single"/>
        </w:rPr>
        <w:t xml:space="preserve">教学站           </w:t>
      </w:r>
      <w:r>
        <w:rPr>
          <w:rFonts w:ascii="宋体;SimSun" w:hAnsi="宋体;SimSun"/>
          <w:sz w:val="24"/>
          <w:u w:val="single"/>
        </w:rPr>
        <w:t xml:space="preserve">  </w:t>
      </w:r>
      <w:r>
        <w:rPr>
          <w:rFonts w:ascii="宋体;SimSun" w:hAnsi="宋体;SimSun"/>
          <w:sz w:val="24"/>
          <w:u w:val="single"/>
        </w:rPr>
        <w:t xml:space="preserve">  学号                 </w:t>
      </w:r>
      <w:r>
        <w:rPr>
          <w:rFonts w:ascii="宋体;SimSun" w:hAnsi="宋体;SimSun"/>
          <w:sz w:val="24"/>
          <w:u w:val="single"/>
        </w:rPr>
        <w:t xml:space="preserve"> </w:t>
      </w:r>
      <w:r>
        <w:rPr>
          <w:rFonts w:ascii="宋体;SimSun" w:hAnsi="宋体;SimSun"/>
          <w:sz w:val="24"/>
          <w:u w:val="single"/>
        </w:rPr>
        <w:t xml:space="preserve">姓名      </w:t>
      </w:r>
      <w:r>
        <w:rPr>
          <w:rFonts w:ascii="宋体;SimSun" w:hAnsi="宋体;SimSun"/>
          <w:sz w:val="24"/>
          <w:u w:val="single"/>
        </w:rPr>
        <w:t xml:space="preserve">     </w:t>
      </w:r>
      <w:r>
        <w:rPr>
          <w:rFonts w:ascii="宋体;SimSun" w:hAnsi="宋体;SimSun"/>
          <w:sz w:val="24"/>
          <w:u w:val="single"/>
        </w:rPr>
        <w:t xml:space="preserve"> 成绩   </w:t>
      </w:r>
      <w:r>
        <w:rPr>
          <w:rFonts w:ascii="宋体;SimSun" w:hAnsi="宋体;SimSun"/>
          <w:sz w:val="28"/>
          <w:u w:val="single"/>
        </w:rPr>
        <w:t xml:space="preserve">          </w:t>
      </w:r>
    </w:p>
    <w:p>
      <w:pPr>
        <w:pStyle w:val="Normal"/>
        <w:spacing w:lineRule="exact" w:line="320"/>
        <w:rPr>
          <w:rFonts w:ascii="宋体;SimSun" w:hAnsi="宋体;SimSun"/>
        </w:rPr>
      </w:pPr>
      <w:r>
        <w:rPr>
          <w:rFonts w:ascii="宋体;SimSun" w:hAnsi="宋体;SimSun"/>
        </w:rPr>
        <w:t>注意：① 闭卷考试</w:t>
      </w:r>
    </w:p>
    <w:p>
      <w:pPr>
        <w:pStyle w:val="Normal"/>
        <w:spacing w:lineRule="exact" w:line="320"/>
        <w:rPr>
          <w:rFonts w:ascii="宋体;SimSun" w:hAnsi="宋体;SimSun"/>
        </w:rPr>
      </w:pPr>
      <w:r>
        <w:rPr>
          <w:rFonts w:cs="宋体;SimSun" w:ascii="宋体;SimSun" w:hAnsi="宋体;SimSun"/>
        </w:rPr>
        <w:t xml:space="preserve">      ② </w:t>
      </w:r>
      <w:r>
        <w:rPr>
          <w:rFonts w:ascii="宋体;SimSun" w:hAnsi="宋体;SimSun"/>
        </w:rPr>
        <w:t>需要用直尺</w:t>
      </w:r>
    </w:p>
    <w:p>
      <w:pPr>
        <w:pStyle w:val="Normal"/>
        <w:pBdr>
          <w:bottom w:val="single" w:sz="6" w:space="2" w:color="000000"/>
        </w:pBdr>
        <w:spacing w:lineRule="exact" w:line="320"/>
        <w:rPr>
          <w:rFonts w:ascii="宋体;SimSun" w:hAnsi="宋体;SimSun"/>
        </w:rPr>
      </w:pPr>
      <w:r>
        <w:rPr>
          <w:rFonts w:cs="宋体;SimSun" w:ascii="宋体;SimSun" w:hAnsi="宋体;SimSun"/>
        </w:rPr>
        <w:t xml:space="preserve">      ③ </w:t>
      </w:r>
    </w:p>
    <w:p>
      <w:pPr>
        <w:pStyle w:val="Normal"/>
        <w:spacing w:lineRule="atLeast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15</w:t>
      </w:r>
      <w:r>
        <w:rPr>
          <w:sz w:val="24"/>
        </w:rPr>
        <w:t>分）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rFonts w:eastAsia="Times New Roman"/>
          <w:sz w:val="24"/>
        </w:rPr>
        <w:t xml:space="preserve">    </w:t>
      </w:r>
      <w:r>
        <w:rPr>
          <w:sz w:val="24"/>
        </w:rPr>
        <w:t>1</w:t>
      </w:r>
      <w:r>
        <w:rPr>
          <w:sz w:val="24"/>
        </w:rPr>
        <w:t>．机械制造过程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  <w:t>a.</w:t>
      </w:r>
      <w:r>
        <w:rPr>
          <w:sz w:val="24"/>
        </w:rPr>
        <w:t>由毛坯直接获得合格产品的过程，包括毛坯制造、机械加工、产品装配等过程；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jc w:val="start"/>
        <w:rPr>
          <w:sz w:val="24"/>
        </w:rPr>
      </w:pPr>
      <w:r>
        <w:rPr>
          <w:sz w:val="24"/>
        </w:rPr>
        <w:t>b.</w:t>
      </w:r>
      <w:r>
        <w:rPr>
          <w:sz w:val="24"/>
        </w:rPr>
        <w:t>直接改变产品尺寸、形状和相互位置关系的全过程。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2</w:t>
      </w:r>
      <w:r>
        <w:rPr>
          <w:sz w:val="24"/>
        </w:rPr>
        <w:t>．自激振动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/>
      </w:pPr>
      <w:r>
        <w:rPr>
          <w:sz w:val="24"/>
        </w:rPr>
        <w:t>无外界周期力的作用，系统在外界提供能量的情况下发生的不衰减的振动形态。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3</w:t>
      </w:r>
      <w:r>
        <w:rPr>
          <w:sz w:val="24"/>
        </w:rPr>
        <w:t>．工艺能力系数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设计公差与六倍的制造均方差的比值。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4</w:t>
      </w:r>
      <w:r>
        <w:rPr>
          <w:sz w:val="24"/>
        </w:rPr>
        <w:t>．工序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在一个工作地，有一个（或相互协作的多个）工人，对一个（或同时加工的多个）工件所连续完成的哪部分工作。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/>
      </w:pPr>
      <w:r>
        <w:rPr>
          <w:sz w:val="24"/>
        </w:rPr>
        <w:t>5</w:t>
      </w:r>
      <w:r>
        <w:rPr>
          <w:sz w:val="24"/>
        </w:rPr>
        <w:t>．可变成本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对一批零件的加工（对于一个项目），与加工零件数直接成正比的费用，如原材料费、水电消耗费等。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540" w:end="0"/>
        <w:jc w:val="start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二．试述在切削加工中，表面的形成方法有哪些？每一种方法试举一例说明。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答：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ab/>
      </w:r>
      <w:r>
        <w:rPr>
          <w:sz w:val="24"/>
        </w:rPr>
        <w:t>表面成型方法有：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3403" w:leader="none"/>
        </w:tabs>
        <w:autoSpaceDE w:val="false"/>
        <w:spacing w:lineRule="atLeast" w:line="360" w:before="0" w:after="120"/>
        <w:textAlignment w:val="bottom"/>
        <w:rPr>
          <w:sz w:val="24"/>
        </w:rPr>
      </w:pPr>
      <w:r>
        <w:rPr>
          <w:sz w:val="24"/>
        </w:rPr>
        <w:t>成型法——由刀刃形状直接生成母线，切削运动生成导线。例如车螺纹，车刀</w:t>
      </w:r>
      <w:r>
        <w:rPr>
          <w:sz w:val="24"/>
        </w:rPr>
        <w:t>60°</w:t>
      </w:r>
      <w:r>
        <w:rPr>
          <w:sz w:val="24"/>
        </w:rPr>
        <w:t>刀刃形成螺纹的槽型，切削运动形成了螺旋面。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3403" w:leader="none"/>
        </w:tabs>
        <w:autoSpaceDE w:val="false"/>
        <w:spacing w:lineRule="atLeast" w:line="360" w:before="0" w:after="120"/>
        <w:textAlignment w:val="bottom"/>
        <w:rPr>
          <w:sz w:val="24"/>
        </w:rPr>
      </w:pPr>
      <w:r>
        <w:rPr>
          <w:sz w:val="24"/>
        </w:rPr>
        <w:t>轨迹法——由刀尖的切削运动轨迹生成母线，进给运动生成导线。例如车外圆柱面，车刀的切削运动形成一个环，轴向进给运动形成了整个外圆柱面。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3403" w:leader="none"/>
        </w:tabs>
        <w:autoSpaceDE w:val="false"/>
        <w:spacing w:lineRule="atLeast" w:line="360" w:before="0" w:after="120"/>
        <w:textAlignment w:val="bottom"/>
        <w:rPr>
          <w:sz w:val="24"/>
        </w:rPr>
      </w:pPr>
      <w:r>
        <w:rPr>
          <w:sz w:val="24"/>
        </w:rPr>
        <w:t>相切法——有刀具的旋转包容面的切线生成母线，进给运动生成导线。例如用模数铣刀加工齿轮，模数铣刀旋转后的刀齿包容线为齿轮齿形的渐开线，轴向进给运动形成了整个齿面，分度运动形成全齿轮。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3403" w:leader="none"/>
        </w:tabs>
        <w:autoSpaceDE w:val="false"/>
        <w:spacing w:lineRule="atLeast" w:line="360" w:before="0" w:after="120"/>
        <w:textAlignment w:val="bottom"/>
        <w:rPr>
          <w:sz w:val="24"/>
        </w:rPr>
      </w:pPr>
      <w:r>
        <w:rPr>
          <w:sz w:val="24"/>
        </w:rPr>
        <w:t>范成法——有刀具和工件形成对滚运动对滚运动的结合点形成母线，进给运动生成导线。例如滚齿加工，滚刀与工件的对滚运动形成齿形渐开线并滚出整个齿圈，进给运动形成全齿面。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360"/>
        <w:jc w:val="start"/>
        <w:rPr/>
      </w:pPr>
      <w:r>
        <w:rPr>
          <w:sz w:val="24"/>
        </w:rPr>
        <w:t>三．请简述六点定位原理，并各举一例需要约束</w:t>
      </w:r>
      <w:r>
        <w:rPr>
          <w:sz w:val="24"/>
        </w:rPr>
        <w:t>1</w:t>
      </w:r>
      <w:r>
        <w:rPr>
          <w:sz w:val="24"/>
        </w:rPr>
        <w:t>，</w:t>
      </w:r>
      <w:r>
        <w:rPr>
          <w:sz w:val="24"/>
        </w:rPr>
        <w:t>2</w:t>
      </w:r>
      <w:r>
        <w:rPr>
          <w:sz w:val="24"/>
        </w:rPr>
        <w:t>，</w:t>
      </w:r>
      <w:r>
        <w:rPr>
          <w:sz w:val="24"/>
        </w:rPr>
        <w:t>3</w:t>
      </w:r>
      <w:r>
        <w:rPr>
          <w:sz w:val="24"/>
        </w:rPr>
        <w:t>，</w:t>
      </w:r>
      <w:r>
        <w:rPr>
          <w:sz w:val="24"/>
        </w:rPr>
        <w:t>4</w:t>
      </w:r>
      <w:r>
        <w:rPr>
          <w:sz w:val="24"/>
        </w:rPr>
        <w:t>，</w:t>
      </w:r>
      <w:r>
        <w:rPr>
          <w:sz w:val="24"/>
        </w:rPr>
        <w:t>5</w:t>
      </w:r>
      <w:r>
        <w:rPr>
          <w:sz w:val="24"/>
        </w:rPr>
        <w:t>，</w:t>
      </w:r>
      <w:r>
        <w:rPr>
          <w:sz w:val="24"/>
        </w:rPr>
        <w:t>6</w:t>
      </w:r>
      <w:r>
        <w:rPr>
          <w:sz w:val="24"/>
        </w:rPr>
        <w:t>个自由度的加工。（</w:t>
      </w:r>
      <w:r>
        <w:rPr>
          <w:sz w:val="24"/>
        </w:rPr>
        <w:t>1</w:t>
      </w:r>
      <w:r>
        <w:rPr>
          <w:sz w:val="24"/>
        </w:rPr>
        <w:t>5</w:t>
      </w:r>
      <w:r>
        <w:rPr>
          <w:sz w:val="24"/>
        </w:rPr>
        <w:t>分）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>答：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ab/>
      </w:r>
      <w:r>
        <w:rPr>
          <w:sz w:val="24"/>
        </w:rPr>
        <w:t>工件是一个刚体，其位置在空间中有六个自由度，如果每一个自由度都用一个与之接触的“点”去约束，那么可以用六个点完全确定工件的位置。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ab/>
      </w:r>
      <w:r>
        <w:rPr>
          <w:sz w:val="24"/>
        </w:rPr>
        <w:t>在一个球体上铣一个平面（球冠），只要约束一个自由度（球冠高度）。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  <w:tab/>
      </w:r>
      <w:r>
        <w:rPr>
          <w:sz w:val="24"/>
        </w:rPr>
        <w:t>在一个球体上钻一个通孔，需要约束两个自由度（孔的位置</w:t>
      </w:r>
      <w:r>
        <w:rPr>
          <w:sz w:val="24"/>
        </w:rPr>
        <w:t>X</w:t>
      </w:r>
      <w:r>
        <w:rPr>
          <w:sz w:val="24"/>
        </w:rPr>
        <w:t>和</w:t>
      </w:r>
      <w:r>
        <w:rPr>
          <w:sz w:val="24"/>
        </w:rPr>
        <w:t>Y</w:t>
      </w:r>
      <w:r>
        <w:rPr>
          <w:sz w:val="24"/>
        </w:rPr>
        <w:t>）。</w:t>
      </w:r>
    </w:p>
    <w:p>
      <w:pPr>
        <w:pStyle w:val="Normal"/>
        <w:spacing w:lineRule="atLeast" w:line="360"/>
        <w:ind w:firstLine="420" w:end="0"/>
        <w:jc w:val="start"/>
        <w:rPr>
          <w:sz w:val="24"/>
        </w:rPr>
      </w:pPr>
      <w:r>
        <w:rPr>
          <w:sz w:val="24"/>
        </w:rPr>
        <w:t>在一个球体上钻一个不通孔，则需要约束三个自由度（除孔的位置</w:t>
      </w:r>
      <w:r>
        <w:rPr>
          <w:sz w:val="24"/>
        </w:rPr>
        <w:t>X</w:t>
      </w:r>
      <w:r>
        <w:rPr>
          <w:sz w:val="24"/>
        </w:rPr>
        <w:t>和</w:t>
      </w:r>
      <w:r>
        <w:rPr>
          <w:sz w:val="24"/>
        </w:rPr>
        <w:t>Y</w:t>
      </w:r>
      <w:r>
        <w:rPr>
          <w:sz w:val="24"/>
        </w:rPr>
        <w:t>外，还要约束空的深度</w:t>
      </w:r>
      <w:r>
        <w:rPr>
          <w:sz w:val="24"/>
        </w:rPr>
        <w:t>Z</w:t>
      </w:r>
      <w:r>
        <w:rPr>
          <w:sz w:val="24"/>
        </w:rPr>
        <w:t>）。</w:t>
      </w:r>
    </w:p>
    <w:p>
      <w:pPr>
        <w:pStyle w:val="Normal"/>
        <w:spacing w:lineRule="atLeast" w:line="360"/>
        <w:ind w:firstLine="420" w:end="0"/>
        <w:jc w:val="start"/>
        <w:rPr>
          <w:sz w:val="24"/>
        </w:rPr>
      </w:pPr>
      <w:r>
        <w:rPr>
          <w:sz w:val="24"/>
        </w:rPr>
        <w:t>在圆柱体的轴线方向钻一个通孔，需要约束四个自由度（只有孔的深度方向和圆柱体回转不用限制）。</w:t>
      </w:r>
    </w:p>
    <w:p>
      <w:pPr>
        <w:pStyle w:val="Normal"/>
        <w:spacing w:lineRule="atLeast" w:line="360"/>
        <w:ind w:firstLine="420" w:end="0"/>
        <w:jc w:val="start"/>
        <w:rPr>
          <w:sz w:val="24"/>
        </w:rPr>
      </w:pPr>
      <w:r>
        <w:rPr>
          <w:sz w:val="24"/>
        </w:rPr>
        <w:t>在圆柱体的轴线方向钻一个不通孔，则需要约束四个自由度（只有圆柱体回转不用限制）。</w:t>
      </w:r>
    </w:p>
    <w:p>
      <w:pPr>
        <w:pStyle w:val="Normal"/>
        <w:spacing w:lineRule="atLeast" w:line="360"/>
        <w:ind w:firstLine="420" w:end="0"/>
        <w:jc w:val="start"/>
        <w:rPr>
          <w:sz w:val="24"/>
        </w:rPr>
      </w:pPr>
      <w:r>
        <w:rPr>
          <w:sz w:val="24"/>
        </w:rPr>
        <w:t>在六面体上钻一个不通孔，六个自由度都要限制。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/>
        <w:t>四．</w:t>
      </w:r>
      <w:r>
        <w:rPr>
          <w:sz w:val="24"/>
        </w:rPr>
        <w:t>工件在切削过程中有哪几个变形区，请用草图表示。对于第一变形区，用什么参数衡量其变形程度</w:t>
      </w:r>
      <w:r>
        <w:rPr>
          <w:rFonts w:ascii="宋体;SimSun" w:hAnsi="宋体;SimSun"/>
          <w:sz w:val="24"/>
        </w:rPr>
        <w:t xml:space="preserve">?  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答：</w:t>
      </w:r>
    </w:p>
    <w:p>
      <w:pPr>
        <w:pStyle w:val="Normal"/>
        <w:spacing w:lineRule="atLeast" w:line="360" w:before="0" w:after="120"/>
        <w:ind w:start="360" w:end="0"/>
        <w:jc w:val="start"/>
        <w:rPr>
          <w:sz w:val="24"/>
        </w:rPr>
      </w:pPr>
      <w:r>
        <w:rPr>
          <w:sz w:val="24"/>
        </w:rPr>
        <w:t>三个变形区如下图所示，</w:t>
      </w:r>
    </w:p>
    <w:p>
      <w:pPr>
        <w:pStyle w:val="Normal"/>
        <w:spacing w:lineRule="atLeast" w:line="360" w:before="0" w:after="120"/>
        <w:ind w:start="360" w:end="0"/>
        <w:jc w:val="start"/>
        <w:rPr/>
      </w:pPr>
      <w:r>
        <w:rPr>
          <w:sz w:val="24"/>
        </w:rPr>
        <w:t>第一变形区——由工件变为切屑发生剪切塑性的区域。在刀尖前部。</w:t>
      </w:r>
    </w:p>
    <w:p>
      <w:pPr>
        <w:pStyle w:val="Normal"/>
        <w:spacing w:lineRule="atLeast" w:line="360" w:before="0" w:after="120"/>
        <w:ind w:start="360" w:end="0"/>
        <w:jc w:val="start"/>
        <w:rPr/>
      </w:pPr>
      <w:r>
        <w:rPr>
          <w:sz w:val="24"/>
        </w:rPr>
        <w:t>第二变形区——切屑与刀具前刀面挤压和摩擦发生塑性变形的区域。在切屑上。</w:t>
      </w:r>
    </w:p>
    <w:p>
      <w:pPr>
        <w:pStyle w:val="Normal"/>
        <w:spacing w:lineRule="atLeast" w:line="360" w:before="0" w:after="120"/>
        <w:ind w:start="360" w:end="0"/>
        <w:jc w:val="start"/>
        <w:rPr/>
      </w:pPr>
      <w:r>
        <w:rPr>
          <w:sz w:val="24"/>
        </w:rPr>
        <w:t>第三变形区——由于工件材料弹性恢复，使工件表面与后刀面接触摩擦，发生塑性变形的区域。在工件上。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  <w:lang w:val="en-US" w:eastAsia="en-US"/>
        </w:rPr>
        <w:drawing>
          <wp:inline distT="0" distB="0" distL="0" distR="0">
            <wp:extent cx="2857500" cy="179514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22" r="-1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可用剪切角、变形系数（包括厚度变形系数和长度变形系数）衡量第一变形区的变形程度。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五．什么是误差复映规律？试以车削锻造毛坯的外圆柱体为例，为减少复映误差可用哪些方法？为什么？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答：</w:t>
      </w:r>
    </w:p>
    <w:p>
      <w:pPr>
        <w:pStyle w:val="Normal"/>
        <w:spacing w:lineRule="atLeast" w:line="360" w:before="0" w:after="120"/>
        <w:ind w:firstLine="420" w:end="0"/>
        <w:jc w:val="start"/>
        <w:rPr>
          <w:rFonts w:ascii="宋体;SimSun" w:hAnsi="宋体;SimSun"/>
          <w:sz w:val="24"/>
        </w:rPr>
      </w:pPr>
      <w:r>
        <w:rPr>
          <w:sz w:val="24"/>
        </w:rPr>
        <w:t>毛坯的误差（或上工序留下的加工误差）由于工艺系统刚度的影响在工件加工后仍然存在相似形态的误差，这样的现象就称为</w:t>
      </w:r>
      <w:r>
        <w:rPr>
          <w:rFonts w:ascii="宋体;SimSun" w:hAnsi="宋体;SimSun"/>
          <w:sz w:val="24"/>
        </w:rPr>
        <w:t>误差复映现象，该现象在加工中普遍存在，成为误差复映规律。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sz w:val="24"/>
        </w:rPr>
        <w:tab/>
      </w:r>
      <w:r>
        <w:rPr>
          <w:sz w:val="24"/>
        </w:rPr>
        <w:t>在</w:t>
      </w:r>
      <w:r>
        <w:rPr>
          <w:rFonts w:ascii="宋体;SimSun" w:hAnsi="宋体;SimSun"/>
          <w:sz w:val="24"/>
        </w:rPr>
        <w:t>车削锻造毛坯的外圆柱体时，毛坯的圆度（圆柱度）误差</w:t>
      </w:r>
      <w:r>
        <w:rPr>
          <w:rFonts w:ascii="宋体;SimSun" w:hAnsi="宋体;SimSun"/>
          <w:sz w:val="24"/>
        </w:rPr>
        <w:t>Δ</w:t>
      </w:r>
      <w:r>
        <w:rPr>
          <w:rFonts w:ascii="宋体;SimSun" w:hAnsi="宋体;SimSun"/>
          <w:sz w:val="24"/>
          <w:vertAlign w:val="subscript"/>
        </w:rPr>
        <w:t>1</w:t>
      </w:r>
      <w:r>
        <w:rPr>
          <w:rFonts w:ascii="宋体;SimSun" w:hAnsi="宋体;SimSun"/>
          <w:sz w:val="24"/>
        </w:rPr>
        <w:t>较大，假设误差复映系数为</w:t>
      </w:r>
      <w:r>
        <w:rPr>
          <w:rFonts w:ascii="宋体;SimSun" w:hAnsi="宋体;SimSun"/>
          <w:sz w:val="24"/>
        </w:rPr>
        <w:t>ε</w:t>
      </w:r>
      <w:r>
        <w:rPr>
          <w:rFonts w:ascii="宋体;SimSun" w:hAnsi="宋体;SimSun"/>
          <w:sz w:val="24"/>
        </w:rPr>
        <w:t>，那么，加工后的误差为</w:t>
      </w:r>
      <w:r>
        <w:rPr>
          <w:rFonts w:ascii="宋体;SimSun" w:hAnsi="宋体;SimSun"/>
          <w:sz w:val="24"/>
        </w:rPr>
        <w:t>Δ</w:t>
      </w:r>
      <w:r>
        <w:rPr>
          <w:rFonts w:ascii="宋体;SimSun" w:hAnsi="宋体;SimSun"/>
          <w:sz w:val="24"/>
          <w:vertAlign w:val="subscript"/>
        </w:rPr>
        <w:t>2</w:t>
      </w:r>
      <w:r>
        <w:rPr>
          <w:rFonts w:ascii="宋体;SimSun" w:hAnsi="宋体;SimSun"/>
          <w:sz w:val="24"/>
        </w:rPr>
        <w:t>，</w:t>
      </w:r>
      <w:r>
        <w:rPr>
          <w:rFonts w:ascii="宋体;SimSun" w:hAnsi="宋体;SimSun"/>
          <w:sz w:val="24"/>
        </w:rPr>
        <w:t>Δ</w:t>
      </w:r>
      <w:r>
        <w:rPr>
          <w:rFonts w:ascii="宋体;SimSun" w:hAnsi="宋体;SimSun"/>
          <w:sz w:val="24"/>
          <w:vertAlign w:val="subscript"/>
        </w:rPr>
        <w:t>2</w:t>
      </w:r>
      <w:r>
        <w:rPr>
          <w:rFonts w:ascii="宋体;SimSun" w:hAnsi="宋体;SimSun"/>
          <w:sz w:val="24"/>
        </w:rPr>
        <w:t>=εΔ</w:t>
      </w:r>
      <w:r>
        <w:rPr>
          <w:rFonts w:ascii="宋体;SimSun" w:hAnsi="宋体;SimSun"/>
          <w:sz w:val="24"/>
          <w:vertAlign w:val="subscript"/>
        </w:rPr>
        <w:t>1</w:t>
      </w:r>
      <w:r>
        <w:rPr>
          <w:rFonts w:ascii="宋体;SimSun" w:hAnsi="宋体;SimSun"/>
          <w:sz w:val="24"/>
        </w:rPr>
        <w:t>，为减少</w:t>
      </w:r>
      <w:r>
        <w:rPr>
          <w:rFonts w:ascii="宋体;SimSun" w:hAnsi="宋体;SimSun"/>
          <w:sz w:val="24"/>
        </w:rPr>
        <w:t>Δ</w:t>
      </w:r>
      <w:r>
        <w:rPr>
          <w:rFonts w:ascii="宋体;SimSun" w:hAnsi="宋体;SimSun"/>
          <w:sz w:val="24"/>
          <w:vertAlign w:val="subscript"/>
        </w:rPr>
        <w:t>2</w:t>
      </w:r>
      <w:r>
        <w:rPr>
          <w:rFonts w:ascii="宋体;SimSun" w:hAnsi="宋体;SimSun"/>
          <w:sz w:val="24"/>
        </w:rPr>
        <w:t>，可以：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．多次加工，最终的加工误差</w:t>
      </w:r>
      <w:r>
        <w:rPr>
          <w:rFonts w:ascii="宋体;SimSun" w:hAnsi="宋体;SimSun"/>
          <w:sz w:val="24"/>
        </w:rPr>
        <w:t>Δ</w:t>
      </w:r>
      <w:r>
        <w:rPr>
          <w:rFonts w:ascii="宋体;SimSun" w:hAnsi="宋体;SimSun"/>
          <w:sz w:val="24"/>
          <w:vertAlign w:val="subscript"/>
        </w:rPr>
        <w:t>n</w:t>
      </w:r>
      <w:r>
        <w:rPr>
          <w:rFonts w:ascii="宋体;SimSun" w:hAnsi="宋体;SimSun"/>
          <w:sz w:val="24"/>
        </w:rPr>
        <w:t>=ε</w:t>
      </w:r>
      <w:r>
        <w:rPr>
          <w:rFonts w:ascii="宋体;SimSun" w:hAnsi="宋体;SimSun"/>
          <w:sz w:val="24"/>
          <w:vertAlign w:val="superscript"/>
        </w:rPr>
        <w:t>n</w:t>
      </w:r>
      <w:r>
        <w:rPr>
          <w:rFonts w:ascii="宋体;SimSun" w:hAnsi="宋体;SimSun"/>
          <w:sz w:val="24"/>
        </w:rPr>
        <w:t>Δ</w:t>
      </w:r>
      <w:r>
        <w:rPr>
          <w:rFonts w:ascii="宋体;SimSun" w:hAnsi="宋体;SimSun"/>
          <w:sz w:val="24"/>
          <w:vertAlign w:val="subscript"/>
        </w:rPr>
        <w:t>1</w:t>
      </w:r>
      <w:r>
        <w:rPr>
          <w:rFonts w:ascii="宋体;SimSun" w:hAnsi="宋体;SimSun"/>
          <w:sz w:val="24"/>
        </w:rPr>
        <w:t>，由于</w:t>
      </w:r>
      <w:r>
        <w:rPr>
          <w:rFonts w:ascii="宋体;SimSun" w:hAnsi="宋体;SimSun"/>
          <w:sz w:val="24"/>
        </w:rPr>
        <w:t>ε&lt;1</w:t>
      </w:r>
      <w:r>
        <w:rPr>
          <w:rFonts w:ascii="宋体;SimSun" w:hAnsi="宋体;SimSun"/>
          <w:sz w:val="24"/>
        </w:rPr>
        <w:t>，</w:t>
      </w:r>
      <w:r>
        <w:rPr>
          <w:rFonts w:ascii="宋体;SimSun" w:hAnsi="宋体;SimSun"/>
          <w:sz w:val="24"/>
        </w:rPr>
        <w:t>ε</w:t>
      </w:r>
      <w:r>
        <w:rPr>
          <w:rFonts w:ascii="宋体;SimSun" w:hAnsi="宋体;SimSun"/>
          <w:sz w:val="24"/>
        </w:rPr>
        <w:t>的</w:t>
      </w:r>
      <w:r>
        <w:rPr>
          <w:rFonts w:ascii="宋体;SimSun" w:hAnsi="宋体;SimSun"/>
          <w:sz w:val="24"/>
        </w:rPr>
        <w:t>n</w:t>
      </w:r>
      <w:r>
        <w:rPr>
          <w:rFonts w:ascii="宋体;SimSun" w:hAnsi="宋体;SimSun"/>
          <w:sz w:val="24"/>
        </w:rPr>
        <w:t>次方比</w:t>
      </w:r>
      <w:r>
        <w:rPr>
          <w:rFonts w:ascii="宋体;SimSun" w:hAnsi="宋体;SimSun"/>
          <w:sz w:val="24"/>
        </w:rPr>
        <w:t>ε</w:t>
      </w:r>
      <w:r>
        <w:rPr>
          <w:rFonts w:ascii="宋体;SimSun" w:hAnsi="宋体;SimSun"/>
          <w:sz w:val="24"/>
        </w:rPr>
        <w:t>要小得多，因此</w:t>
      </w:r>
      <w:r>
        <w:rPr>
          <w:rFonts w:ascii="宋体;SimSun" w:hAnsi="宋体;SimSun"/>
          <w:sz w:val="24"/>
        </w:rPr>
        <w:t>Δ</w:t>
      </w:r>
      <w:r>
        <w:rPr>
          <w:rFonts w:ascii="宋体;SimSun" w:hAnsi="宋体;SimSun"/>
          <w:sz w:val="24"/>
          <w:vertAlign w:val="subscript"/>
        </w:rPr>
        <w:t>n</w:t>
      </w:r>
      <w:r>
        <w:rPr>
          <w:rFonts w:ascii="宋体;SimSun" w:hAnsi="宋体;SimSun"/>
          <w:sz w:val="24"/>
        </w:rPr>
        <w:t>远小于</w:t>
      </w:r>
      <w:r>
        <w:rPr>
          <w:rFonts w:ascii="宋体;SimSun" w:hAnsi="宋体;SimSun"/>
          <w:sz w:val="24"/>
        </w:rPr>
        <w:t>Δ</w:t>
      </w:r>
      <w:r>
        <w:rPr>
          <w:rFonts w:ascii="宋体;SimSun" w:hAnsi="宋体;SimSun"/>
          <w:sz w:val="24"/>
          <w:vertAlign w:val="subscript"/>
        </w:rPr>
        <w:t>2</w:t>
      </w:r>
      <w:r>
        <w:rPr>
          <w:rFonts w:ascii="宋体;SimSun" w:hAnsi="宋体;SimSun"/>
          <w:sz w:val="24"/>
        </w:rPr>
        <w:t>。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．提高系统刚度，因误差复映系数为</w:t>
      </w:r>
      <w:r>
        <w:rPr>
          <w:rFonts w:ascii="宋体;SimSun" w:hAnsi="宋体;SimSun"/>
          <w:sz w:val="24"/>
        </w:rPr>
        <w:t>ε</w:t>
      </w:r>
      <w:r>
        <w:rPr>
          <w:rFonts w:ascii="宋体;SimSun" w:hAnsi="宋体;SimSun"/>
          <w:sz w:val="24"/>
        </w:rPr>
        <w:t>基本正比于系统刚度。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 xml:space="preserve">六．在切削加工中，产生表面粗糙度值的因素有哪些？在粗加工中，哪一项因素起主导作用？它与刀具的哪些角度有关？    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答：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ab/>
      </w:r>
      <w:r>
        <w:rPr>
          <w:rFonts w:ascii="宋体;SimSun" w:hAnsi="宋体;SimSun"/>
          <w:sz w:val="24"/>
        </w:rPr>
        <w:t>产生表面粗糙度值的因素包括：残留面积、塑性变形和振动，在粗车时，残留面积是主要因素，他与刀具的主、副偏角有关。</w:t>
      </w:r>
    </w:p>
    <w:p>
      <w:pPr>
        <w:pStyle w:val="Normal"/>
        <w:jc w:val="start"/>
        <w:rPr/>
      </w:pPr>
      <w:r>
        <w:rPr>
          <w:rFonts w:ascii="宋体;SimSun" w:hAnsi="宋体;SimSun"/>
          <w:sz w:val="24"/>
        </w:rPr>
        <w:t>七．如左图所示为</w:t>
      </w:r>
      <w:r>
        <w:rPr>
          <w:sz w:val="24"/>
        </w:rPr>
        <w:t>凸轮挺杆的轴向设计尺寸</w:t>
      </w:r>
      <w:r>
        <w:rPr>
          <w:rFonts w:ascii="宋体;SimSun" w:hAnsi="宋体;SimSun"/>
          <w:sz w:val="24"/>
        </w:rPr>
        <w:t>要求，相关工序如下：</w:t>
      </w:r>
      <w:r>
        <w:rPr>
          <w:sz w:val="24"/>
        </w:rPr>
        <w:t>粗车小头</w:t>
      </w:r>
      <w:r>
        <w:rPr>
          <w:rFonts w:ascii="宋体;SimSun" w:hAnsi="宋体;SimSun"/>
          <w:sz w:val="24"/>
        </w:rPr>
        <w:t>、车大头和精车小头。其工序图如下图所示。计算工序尺寸</w:t>
      </w:r>
      <w:r>
        <w:rPr>
          <w:rFonts w:ascii="宋体;SimSun" w:hAnsi="宋体;SimSun"/>
          <w:sz w:val="24"/>
        </w:rPr>
        <w:object w:dxaOrig="300" w:dyaOrig="380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15pt;height:19.45pt" filled="f" o:ole="">
            <v:imagedata r:id="rId4" o:title=""/>
          </v:shape>
          <o:OLEObject Type="Embed" ProgID="" ShapeID="ole_rId3" DrawAspect="Content" ObjectID="_801372347" r:id="rId3"/>
        </w:object>
      </w:r>
      <w:r>
        <w:rPr>
          <w:rFonts w:ascii="宋体;SimSun" w:hAnsi="宋体;SimSun"/>
          <w:sz w:val="24"/>
        </w:rPr>
        <w:t>和</w:t>
      </w:r>
      <w:r>
        <w:rPr>
          <w:rFonts w:ascii="宋体;SimSun" w:hAnsi="宋体;SimSun"/>
          <w:sz w:val="24"/>
        </w:rPr>
        <w:object w:dxaOrig="340" w:dyaOrig="380"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17pt;height:19.2pt" filled="f" o:ole="">
            <v:imagedata r:id="rId6" o:title=""/>
          </v:shape>
          <o:OLEObject Type="Embed" ProgID="" ShapeID="ole_rId5" DrawAspect="Content" ObjectID="_567245085" r:id="rId5"/>
        </w:object>
      </w:r>
      <w:r>
        <w:rPr>
          <w:rFonts w:ascii="宋体;SimSun" w:hAnsi="宋体;SimSun"/>
          <w:sz w:val="24"/>
        </w:rPr>
        <w:t>。</w:t>
      </w:r>
      <w:r>
        <w:rPr>
          <w:sz w:val="24"/>
        </w:rPr>
        <w:t>（</w:t>
      </w:r>
      <w:r>
        <w:rPr>
          <w:sz w:val="24"/>
        </w:rPr>
        <w:t>20</w:t>
      </w:r>
      <w:r>
        <w:rPr>
          <w:sz w:val="24"/>
        </w:rPr>
        <w:t>分）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page">
                  <wp:posOffset>4198620</wp:posOffset>
                </wp:positionH>
                <wp:positionV relativeFrom="paragraph">
                  <wp:posOffset>24765</wp:posOffset>
                </wp:positionV>
                <wp:extent cx="5471160" cy="103568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160" cy="10356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3144" w:dyaOrig="1878">
                                <v:shapetype id="_x0000_tole_rId7" coordsize="21600,21600" o:spt="ole_rId7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7" type="_x0000_tole_rId7" style="width:110.15pt;height:66.35pt" filled="f" o:ole="">
                                  <v:imagedata r:id="rId8" o:title=""/>
                                </v:shape>
                                <o:OLEObject Type="Embed" ProgID="" ShapeID="ole_rId7" DrawAspect="Content" ObjectID="_900052641" r:id="rId7"/>
                              </w:objec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0.8pt;height:81.55pt;mso-wrap-distance-left:9pt;mso-wrap-distance-right:9pt;mso-wrap-distance-top:0pt;mso-wrap-distance-bottom:0pt;margin-top:1.95pt;mso-position-vertical-relative:text;margin-left:330.6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3144" w:dyaOrig="1878">
                          <v:shapetype id="_x0000_tole_rId9" coordsize="21600,21600" o:spt="ole_rId9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9" type="_x0000_tole_rId9" style="width:110.15pt;height:66.35pt" filled="f" o:ole="">
                            <v:imagedata r:id="rId10" o:title=""/>
                          </v:shape>
                          <o:OLEObject Type="Embed" ProgID="" ShapeID="ole_rId9" DrawAspect="Content" ObjectID="_632609581" r:id="rId9"/>
                        </w:objec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jc w:val="center"/>
        <w:textAlignment w:val="bottom"/>
        <w:rPr/>
      </w:pPr>
      <w:r>
        <w:rPr/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解：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page">
                  <wp:posOffset>1034415</wp:posOffset>
                </wp:positionH>
                <wp:positionV relativeFrom="paragraph">
                  <wp:posOffset>100965</wp:posOffset>
                </wp:positionV>
                <wp:extent cx="4533900" cy="1310640"/>
                <wp:effectExtent l="0" t="0" r="0" b="0"/>
                <wp:wrapSquare wrapText="bothSides"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3106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3144" w:dyaOrig="1907">
                                <v:shapetype id="_x0000_tole_rId11" coordsize="21600,21600" o:spt="ole_rId11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1" type="_x0000_tole_rId11" style="width:115.35pt;height:70.05pt" filled="f" o:ole="">
                                  <v:imagedata r:id="rId12" o:title=""/>
                                </v:shape>
                                <o:OLEObject Type="Embed" ProgID="" ShapeID="ole_rId11" DrawAspect="Content" ObjectID="_455193384" r:id="rId11"/>
                              </w:object>
                            </w:r>
                            <w:r>
                              <w:rPr/>
                              <w:object w:dxaOrig="3116" w:dyaOrig="1927">
                                <v:shapetype id="_x0000_tole_rId13" coordsize="21600,21600" o:spt="ole_rId13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3" type="_x0000_tole_rId13" style="width:115.75pt;height:71.75pt" filled="f" o:ole="">
                                  <v:imagedata r:id="rId14" o:title=""/>
                                </v:shape>
                                <o:OLEObject Type="Embed" ProgID="" ShapeID="ole_rId13" DrawAspect="Content" ObjectID="_728500157" r:id="rId13"/>
                              </w:object>
                            </w:r>
                            <w:r>
                              <w:rPr/>
                              <w:object w:dxaOrig="2481" w:dyaOrig="1428">
                                <v:shapetype id="_x0000_tole_rId15" coordsize="21600,21600" o:spt="ole_rId1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5" type="_x0000_tole_rId15" style="width:112.85pt;height:68.9pt" filled="f" o:ole="">
                                  <v:imagedata r:id="rId16" o:title=""/>
                                </v:shape>
                                <o:OLEObject Type="Embed" ProgID="" ShapeID="ole_rId15" DrawAspect="Content" ObjectID="_644682955" r:id="rId15"/>
                              </w:objec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粗车小头工序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</w:t>
                            </w:r>
                            <w:r>
                              <w:rPr>
                                <w:rFonts w:ascii="宋体;SimSun" w:hAnsi="宋体;SimSun"/>
                              </w:rPr>
                              <w:t>车大头工序           精车小头工序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pt;height:103.2pt;mso-wrap-distance-left:9pt;mso-wrap-distance-right:9pt;mso-wrap-distance-top:0pt;mso-wrap-distance-bottom:0pt;margin-top:7.95pt;mso-position-vertical-relative:text;margin-left:81.4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3144" w:dyaOrig="1907">
                          <v:shapetype id="_x0000_tole_rId17" coordsize="21600,21600" o:spt="ole_rId17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7" type="_x0000_tole_rId17" style="width:115.35pt;height:70.05pt" filled="f" o:ole="">
                            <v:imagedata r:id="rId18" o:title=""/>
                          </v:shape>
                          <o:OLEObject Type="Embed" ProgID="" ShapeID="ole_rId17" DrawAspect="Content" ObjectID="_41642564" r:id="rId17"/>
                        </w:object>
                      </w:r>
                      <w:r>
                        <w:rPr/>
                        <w:object w:dxaOrig="3116" w:dyaOrig="1927">
                          <v:shapetype id="_x0000_tole_rId19" coordsize="21600,21600" o:spt="ole_rId19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9" type="_x0000_tole_rId19" style="width:115.75pt;height:71.75pt" filled="f" o:ole="">
                            <v:imagedata r:id="rId20" o:title=""/>
                          </v:shape>
                          <o:OLEObject Type="Embed" ProgID="" ShapeID="ole_rId19" DrawAspect="Content" ObjectID="_1866369397" r:id="rId19"/>
                        </w:object>
                      </w:r>
                      <w:r>
                        <w:rPr/>
                        <w:object w:dxaOrig="2481" w:dyaOrig="1428">
                          <v:shapetype id="_x0000_tole_rId21" coordsize="21600,21600" o:spt="ole_rId21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21" type="_x0000_tole_rId21" style="width:112.85pt;height:68.9pt" filled="f" o:ole="">
                            <v:imagedata r:id="rId22" o:title=""/>
                          </v:shape>
                          <o:OLEObject Type="Embed" ProgID="" ShapeID="ole_rId21" DrawAspect="Content" ObjectID="_409944360" r:id="rId21"/>
                        </w:objec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粗车小头工序</w:t>
                      </w:r>
                      <w:r>
                        <w:rPr>
                          <w:rFonts w:eastAsia="Times New Roman"/>
                        </w:rPr>
                        <w:t xml:space="preserve">        </w:t>
                      </w:r>
                      <w:r>
                        <w:rPr>
                          <w:rFonts w:ascii="宋体;SimSun" w:hAnsi="宋体;SimSun"/>
                        </w:rPr>
                        <w:t>车大头工序           精车小头工序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ab/>
      </w:r>
      <w:r>
        <w:rPr/>
        <w:t>对于工序尺寸</w:t>
      </w:r>
      <w:r>
        <w:rPr>
          <w:i/>
        </w:rPr>
        <w:t>A</w:t>
      </w:r>
      <w:r>
        <w:rPr>
          <w:i/>
          <w:vertAlign w:val="subscript"/>
        </w:rPr>
        <w:t>2</w:t>
      </w:r>
      <w:r>
        <w:rPr/>
        <w:t>，要保证工件总长尺寸</w:t>
      </w:r>
      <w:r>
        <w:rPr/>
        <w:object w:dxaOrig="580" w:dyaOrig="380">
          <v:shapetype id="_x0000_tole_rId23" coordsize="21600,21600" o:spt="ole_rId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29pt;height:19pt" filled="f" o:ole="">
            <v:imagedata r:id="rId24" o:title=""/>
          </v:shape>
          <o:OLEObject Type="Embed" ProgID="" ShapeID="ole_rId23" DrawAspect="Content" ObjectID="_915252887" r:id="rId23"/>
        </w:object>
      </w:r>
      <w:r>
        <w:rPr/>
        <w:t>，因此安排工序尺寸</w:t>
      </w:r>
      <w:r>
        <w:rPr/>
        <w:object w:dxaOrig="1080" w:dyaOrig="380">
          <v:shapetype id="_x0000_tole_rId25" coordsize="21600,21600" o:spt="ole_rId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54pt;height:19pt" filled="f" o:ole="">
            <v:imagedata r:id="rId26" o:title=""/>
          </v:shape>
          <o:OLEObject Type="Embed" ProgID="" ShapeID="ole_rId25" DrawAspect="Content" ObjectID="_121168568" r:id="rId25"/>
        </w:object>
      </w:r>
      <w:r>
        <w:rPr/>
        <w:t>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object w:dxaOrig="2217" w:dyaOrig="1137">
          <v:shapetype id="_x0000_tole_rId27" coordsize="21600,21600" o:spt="ole_rId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position:absolute;margin-left:288pt;margin-top:44.85pt;width:111pt;height:57pt;mso-wrap-distance-left:9.05pt;mso-wrap-distance-right:9.05pt;mso-position-horizontal-relative:text;mso-position-vertical-relative:text" filled="f" o:ole="">
            <v:imagedata r:id="rId28" o:title=""/>
            <w10:wrap type="square"/>
          </v:shape>
          <o:OLEObject Type="Embed" ProgID="" ShapeID="ole_rId27" DrawAspect="Content" ObjectID="_1016696767" r:id="rId27"/>
        </w:object>
      </w:r>
      <w:r>
        <w:rPr/>
        <w:tab/>
      </w:r>
      <w:r>
        <w:rPr/>
        <w:t>对于工序尺寸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/>
        <w:t>，要保证工件大头长度尺寸</w:t>
      </w:r>
      <w:r>
        <w:rPr/>
        <w:object w:dxaOrig="580" w:dyaOrig="380">
          <v:shapetype id="_x0000_tole_rId29" coordsize="21600,21600" o:spt="ole_rId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29pt;height:19pt" filled="f" o:ole="">
            <v:imagedata r:id="rId30" o:title=""/>
          </v:shape>
          <o:OLEObject Type="Embed" ProgID="" ShapeID="ole_rId29" DrawAspect="Content" ObjectID="_1325820966" r:id="rId29"/>
        </w:object>
      </w:r>
      <w:r>
        <w:rPr/>
        <w:t>，因此有工序尺寸链如下图，大头长度尺寸</w:t>
      </w:r>
      <w:r>
        <w:rPr/>
        <w:object w:dxaOrig="580" w:dyaOrig="380">
          <v:shapetype id="_x0000_tole_rId31" coordsize="21600,21600" o:spt="ole_rId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29pt;height:19pt" filled="f" o:ole="">
            <v:imagedata r:id="rId32" o:title=""/>
          </v:shape>
          <o:OLEObject Type="Embed" ProgID="" ShapeID="ole_rId31" DrawAspect="Content" ObjectID="_1185357025" r:id="rId31"/>
        </w:object>
      </w:r>
      <w:r>
        <w:rPr/>
        <w:t>为封闭环。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>按照对称公差表示：</w:t>
      </w:r>
      <w:r>
        <w:rPr/>
        <w:tab/>
      </w:r>
      <w:r>
        <w:rPr/>
        <w:object w:dxaOrig="2120" w:dyaOrig="380">
          <v:shapetype id="_x0000_tole_rId33" coordsize="21600,21600" o:spt="ole_rId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106pt;height:19pt" filled="f" o:ole="">
            <v:imagedata r:id="rId34" o:title=""/>
          </v:shape>
          <o:OLEObject Type="Embed" ProgID="" ShapeID="ole_rId33" DrawAspect="Content" ObjectID="_365217986" r:id="rId33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ab/>
        <w:tab/>
        <w:tab/>
        <w:tab/>
      </w:r>
      <w:r>
        <w:rPr/>
        <w:object w:dxaOrig="1880" w:dyaOrig="380">
          <v:shapetype id="_x0000_tole_rId35" coordsize="21600,21600" o:spt="ole_rId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94pt;height:19pt" filled="f" o:ole="">
            <v:imagedata r:id="rId36" o:title=""/>
          </v:shape>
          <o:OLEObject Type="Embed" ProgID="" ShapeID="ole_rId35" DrawAspect="Content" ObjectID="_997717976" r:id="rId35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>那么，</w:t>
      </w:r>
      <w:r>
        <w:rPr/>
        <w:tab/>
      </w:r>
      <w:r>
        <w:rPr/>
        <w:t>尺寸</w:t>
      </w:r>
      <w:r>
        <w:rPr/>
        <w:object w:dxaOrig="2500" w:dyaOrig="340">
          <v:shapetype id="_x0000_tole_rId37" coordsize="21600,21600" o:spt="ole_rId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125pt;height:17pt" filled="f" o:ole="">
            <v:imagedata r:id="rId38" o:title=""/>
          </v:shape>
          <o:OLEObject Type="Embed" ProgID="" ShapeID="ole_rId37" DrawAspect="Content" ObjectID="_1614611579" r:id="rId37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ab/>
      </w:r>
      <w:r>
        <w:rPr/>
        <w:t>公差</w:t>
      </w:r>
      <w:r>
        <w:rPr/>
        <w:object w:dxaOrig="3100" w:dyaOrig="340">
          <v:shapetype id="_x0000_tole_rId39" coordsize="21600,21600" o:spt="ole_rId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155pt;height:17pt" filled="f" o:ole="">
            <v:imagedata r:id="rId40" o:title=""/>
          </v:shape>
          <o:OLEObject Type="Embed" ProgID="" ShapeID="ole_rId39" DrawAspect="Content" ObjectID="_1678171406" r:id="rId39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  <w:tab/>
      </w:r>
      <w:r>
        <w:rPr/>
        <w:object w:dxaOrig="2620" w:dyaOrig="380">
          <v:shapetype id="_x0000_tole_rId41" coordsize="21600,21600" o:spt="ole_rId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131pt;height:19pt" filled="f" o:ole="">
            <v:imagedata r:id="rId42" o:title=""/>
          </v:shape>
          <o:OLEObject Type="Embed" ProgID="" ShapeID="ole_rId41" DrawAspect="Content" ObjectID="_360901907" r:id="rId41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textAlignment w:val="bottom"/>
        <w:rPr/>
      </w:pPr>
      <w:r>
        <w:rPr/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rFonts w:ascii="宋体;SimSun" w:hAnsi="宋体;SimSun"/>
          <w:sz w:val="24"/>
        </w:rPr>
        <w:t>八．简述不变成本和可变成本对零件加工经济方案选择的影响。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答：</w:t>
      </w:r>
    </w:p>
    <w:p>
      <w:pPr>
        <w:pStyle w:val="Normal"/>
        <w:widowControl/>
        <w:autoSpaceDE w:val="false"/>
        <w:spacing w:lineRule="atLeast" w:line="360"/>
        <w:ind w:firstLine="360" w:end="0"/>
        <w:textAlignment w:val="bottom"/>
        <w:rPr>
          <w:sz w:val="24"/>
        </w:rPr>
      </w:pPr>
      <w:r>
        <w:rPr>
          <w:sz w:val="24"/>
        </w:rPr>
        <w:t>对于一个工艺项目，其制造成本包括两个部分，</w:t>
      </w:r>
      <w:r>
        <w:rPr/>
        <w:t>可变费用——直接与生产量成正比的那部分费用；不变用费——与生产批量无直接关系的那部分费用。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start="360" w:end="0"/>
        <w:textAlignment w:val="bottom"/>
        <w:rPr/>
      </w:pPr>
      <w:r>
        <w:rPr/>
        <w:t>工艺成本可写为：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/>
      </w:pPr>
      <w:r>
        <w:rPr/>
        <w:tab/>
        <w:tab/>
        <w:tab/>
      </w:r>
      <w:r>
        <w:rPr/>
        <w:object w:dxaOrig="1340" w:dyaOrig="279">
          <v:shapetype id="_x0000_tole_rId43" coordsize="21600,21600" o:spt="ole_rId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67.2pt;height:13.75pt" filled="f" o:ole="">
            <v:imagedata r:id="rId44" o:title=""/>
          </v:shape>
          <o:OLEObject Type="Embed" ProgID="" ShapeID="ole_rId43" DrawAspect="Content" ObjectID="_789115027" r:id="rId43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/>
      </w:pPr>
      <w:r>
        <w:rPr/>
        <w:t>式中：</w:t>
      </w:r>
      <w:r>
        <w:rPr>
          <w:rFonts w:eastAsia="Times New Roman"/>
        </w:rPr>
        <w:t xml:space="preserve">    </w:t>
      </w:r>
      <w:r>
        <w:rPr>
          <w:i/>
        </w:rPr>
        <w:t>X</w:t>
      </w:r>
      <w:r>
        <w:rPr/>
        <w:t>为计划生产量，</w:t>
      </w:r>
      <w:r>
        <w:rPr>
          <w:rFonts w:eastAsia="Times New Roman"/>
        </w:rPr>
        <w:t xml:space="preserve">    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/>
      </w:pPr>
      <w:r>
        <w:rPr>
          <w:rFonts w:eastAsia="Times New Roman"/>
        </w:rPr>
        <w:t xml:space="preserve">          </w:t>
      </w:r>
      <w:r>
        <w:rPr>
          <w:i/>
        </w:rPr>
        <w:t>b</w:t>
      </w:r>
      <w:r>
        <w:rPr/>
        <w:t>为不变费用，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/>
      </w:pPr>
      <w:r>
        <w:rPr>
          <w:rFonts w:eastAsia="Times New Roman"/>
        </w:rPr>
        <w:t xml:space="preserve">          </w:t>
      </w:r>
      <w:r>
        <w:rPr>
          <w:i/>
        </w:rPr>
        <w:t>m</w:t>
      </w:r>
      <w:r>
        <w:rPr/>
        <w:t>为可变费用。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/>
      </w:pPr>
      <w:r>
        <w:rPr/>
        <w:t>如果有三个方案，他们的工艺成本分别为：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359" w:end="0"/>
        <w:textAlignment w:val="bottom"/>
        <w:rPr/>
      </w:pPr>
      <w:r>
        <w:rPr/>
        <w:drawing>
          <wp:anchor behindDoc="0" distT="0" distB="0" distL="114935" distR="114935" simplePos="0" locked="0" layoutInCell="0" allowOverlap="1" relativeHeight="30">
            <wp:simplePos x="0" y="0"/>
            <wp:positionH relativeFrom="column">
              <wp:posOffset>1714500</wp:posOffset>
            </wp:positionH>
            <wp:positionV relativeFrom="paragraph">
              <wp:posOffset>68580</wp:posOffset>
            </wp:positionV>
            <wp:extent cx="4035425" cy="2327275"/>
            <wp:effectExtent l="0" t="0" r="0" b="0"/>
            <wp:wrapSquare wrapText="bothSides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11" t="-18" r="-11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object w:dxaOrig="1520" w:dyaOrig="340">
          <v:shapetype id="_x0000_tole_rId46" coordsize="21600,21600" o:spt="ole_rId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76.2pt;height:16.75pt" filled="f" o:ole="">
            <v:imagedata r:id="rId47" o:title=""/>
          </v:shape>
          <o:OLEObject Type="Embed" ProgID="" ShapeID="ole_rId46" DrawAspect="Content" ObjectID="_1115730178" r:id="rId46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359" w:end="0"/>
        <w:textAlignment w:val="bottom"/>
        <w:rPr/>
      </w:pPr>
      <w:r>
        <w:rPr/>
        <w:object w:dxaOrig="1579" w:dyaOrig="340">
          <v:shapetype id="_x0000_tole_rId48" coordsize="21600,21600" o:spt="ole_rId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79.15pt;height:16.75pt" filled="f" o:ole="">
            <v:imagedata r:id="rId49" o:title=""/>
          </v:shape>
          <o:OLEObject Type="Embed" ProgID="" ShapeID="ole_rId48" DrawAspect="Content" ObjectID="_1883048840" r:id="rId48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359" w:end="0"/>
        <w:textAlignment w:val="bottom"/>
        <w:rPr/>
      </w:pPr>
      <w:r>
        <w:rPr/>
        <w:object w:dxaOrig="1560" w:dyaOrig="360">
          <v:shapetype id="_x0000_tole_rId50" coordsize="21600,21600" o:spt="ole_rId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78pt;height:18pt" filled="f" o:ole="">
            <v:imagedata r:id="rId51" o:title=""/>
          </v:shape>
          <o:OLEObject Type="Embed" ProgID="" ShapeID="ole_rId50" DrawAspect="Content" ObjectID="_19095553" r:id="rId50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359" w:end="0"/>
        <w:textAlignment w:val="bottom"/>
        <w:rPr/>
      </w:pPr>
      <w:r>
        <w:rPr/>
        <w:t>它们的曲线如右图所示，可以看出，对于不同的计划产量，不同的方案具有最低的成本。产量低时，最低的不变费用方案最优。产量高时，最低的可变费用方案最优。</w:t>
      </w:r>
    </w:p>
    <w:sectPr>
      <w:footerReference w:type="default" r:id="rId52"/>
      <w:type w:val="nextPage"/>
      <w:pgSz w:w="10318" w:h="14570"/>
      <w:pgMar w:left="851" w:right="851" w:gutter="0" w:header="0" w:top="851" w:footer="357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13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20"/>
        </w:tabs>
        <w:ind w:start="420" w:hanging="42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宋体;SimSun" w:hAnsi="宋体;SimSun" w:cs="宋体;SimSun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宋体;SimSun" w:hAnsi="宋体;SimSun" w:cs="宋体;SimSun"/>
    </w:rPr>
  </w:style>
  <w:style w:type="character" w:styleId="WW8Num6z1">
    <w:name w:val="WW8Num6z1"/>
    <w:qFormat/>
    <w:rPr/>
  </w:style>
  <w:style w:type="character" w:styleId="WW8Num7z0">
    <w:name w:val="WW8Num7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普通文字"/>
    <w:basedOn w:val="Normal"/>
    <w:qFormat/>
    <w:pPr/>
    <w:rPr>
      <w:rFonts w:ascii="宋体;SimSun" w:hAnsi="宋体;SimSun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2">
    <w:name w:val="列表 2"/>
    <w:basedOn w:val="Normal"/>
    <w:qFormat/>
    <w:pPr>
      <w:spacing w:lineRule="atLeast" w:line="360"/>
      <w:ind w:hanging="420" w:start="840" w:end="0"/>
      <w:jc w:val="start"/>
    </w:pPr>
    <w:rPr>
      <w:kern w:val="0"/>
      <w:sz w:val="24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5.wmf"/><Relationship Id="rId19" Type="http://schemas.openxmlformats.org/officeDocument/2006/relationships/oleObject" Target="embeddings/oleObject9.bin"/><Relationship Id="rId20" Type="http://schemas.openxmlformats.org/officeDocument/2006/relationships/image" Target="media/image6.wmf"/><Relationship Id="rId21" Type="http://schemas.openxmlformats.org/officeDocument/2006/relationships/oleObject" Target="embeddings/oleObject10.bin"/><Relationship Id="rId22" Type="http://schemas.openxmlformats.org/officeDocument/2006/relationships/image" Target="media/image7.wmf"/><Relationship Id="rId23" Type="http://schemas.openxmlformats.org/officeDocument/2006/relationships/oleObject" Target="embeddings/oleObject11.bin"/><Relationship Id="rId24" Type="http://schemas.openxmlformats.org/officeDocument/2006/relationships/image" Target="media/image8.wmf"/><Relationship Id="rId25" Type="http://schemas.openxmlformats.org/officeDocument/2006/relationships/oleObject" Target="embeddings/oleObject12.bin"/><Relationship Id="rId26" Type="http://schemas.openxmlformats.org/officeDocument/2006/relationships/image" Target="media/image9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0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1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1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2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3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4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5.wmf"/><Relationship Id="rId41" Type="http://schemas.openxmlformats.org/officeDocument/2006/relationships/oleObject" Target="embeddings/oleObject20.bin"/><Relationship Id="rId42" Type="http://schemas.openxmlformats.org/officeDocument/2006/relationships/image" Target="media/image16.wmf"/><Relationship Id="rId43" Type="http://schemas.openxmlformats.org/officeDocument/2006/relationships/oleObject" Target="embeddings/oleObject21.bin"/><Relationship Id="rId44" Type="http://schemas.openxmlformats.org/officeDocument/2006/relationships/image" Target="media/image17.wmf"/><Relationship Id="rId45" Type="http://schemas.openxmlformats.org/officeDocument/2006/relationships/image" Target="media/image18.png"/><Relationship Id="rId46" Type="http://schemas.openxmlformats.org/officeDocument/2006/relationships/oleObject" Target="embeddings/oleObject22.bin"/><Relationship Id="rId47" Type="http://schemas.openxmlformats.org/officeDocument/2006/relationships/image" Target="media/image19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0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1.wmf"/><Relationship Id="rId52" Type="http://schemas.openxmlformats.org/officeDocument/2006/relationships/footer" Target="footer1.xml"/><Relationship Id="rId53" Type="http://schemas.openxmlformats.org/officeDocument/2006/relationships/numbering" Target="numbering.xml"/><Relationship Id="rId54" Type="http://schemas.openxmlformats.org/officeDocument/2006/relationships/fontTable" Target="fontTable.xml"/><Relationship Id="rId55" Type="http://schemas.openxmlformats.org/officeDocument/2006/relationships/settings" Target="settings.xml"/><Relationship Id="rId5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2003-05-11T23:53:00Z</dcterms:created>
  <dc:creator>j2mv9j</dc:creator>
  <dc:description/>
  <dc:language>en-US</dc:language>
  <cp:lastModifiedBy>Zhibing Yang</cp:lastModifiedBy>
  <dcterms:modified xsi:type="dcterms:W3CDTF">2003-05-14T00:35:00Z</dcterms:modified>
  <cp:revision>11</cp:revision>
  <dc:subject/>
  <dc:title>编号（小五号）       北京理工大学远程教育2002-2003学年第二学期（小4号）</dc:title>
</cp:coreProperties>
</file>