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media/image3.wmf" ContentType="image/x-wmf"/>
  <Override PartName="/word/media/image4.wmf" ContentType="image/x-wmf"/>
  <Override PartName="/word/media/image5.jpeg" ContentType="image/jpeg"/>
  <Override PartName="/word/media/image6.jpeg" ContentType="image/jpeg"/>
  <Override PartName="/word/media/image8.wmf" ContentType="image/x-wmf"/>
  <Override PartName="/word/media/image12.wmf" ContentType="image/x-wmf"/>
  <Override PartName="/word/media/image7.wmf" ContentType="image/x-wmf"/>
  <Override PartName="/word/media/image11.wmf" ContentType="image/x-wmf"/>
  <Override PartName="/word/media/image9.wmf" ContentType="image/x-wmf"/>
  <Override PartName="/word/media/image13.wmf" ContentType="image/x-wmf"/>
  <Override PartName="/word/media/image10.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100036371   </w:t>
      </w:r>
      <w:r>
        <w:rPr>
          <w:sz w:val="24"/>
        </w:rPr>
        <w:t>北京理工大学</w:t>
      </w:r>
      <w:r>
        <w:rPr>
          <w:rFonts w:eastAsia="Times New Roman"/>
          <w:sz w:val="24"/>
        </w:rPr>
        <w:t xml:space="preserve"> </w:t>
      </w:r>
      <w:r>
        <w:rPr>
          <w:sz w:val="24"/>
        </w:rPr>
        <w:t>20</w:t>
      </w:r>
      <w:r>
        <w:rPr>
          <w:sz w:val="24"/>
          <w:lang w:val="en-US" w:eastAsia="zh-CN"/>
        </w:rPr>
        <w:t>23</w:t>
      </w:r>
      <w:r>
        <w:rPr>
          <w:sz w:val="24"/>
        </w:rPr>
        <w:t>-</w:t>
      </w:r>
      <w:r>
        <w:rPr>
          <w:sz w:val="24"/>
        </w:rPr>
        <w:t xml:space="preserve"> 202</w:t>
      </w:r>
      <w:r>
        <w:rPr>
          <w:sz w:val="24"/>
          <w:lang w:val="en-US" w:eastAsia="zh-CN"/>
        </w:rPr>
        <w:t>4</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lang w:eastAsia="zh-CN"/>
        </w:rPr>
      </w:pPr>
      <w:r>
        <w:rPr>
          <w:rFonts w:eastAsia="黑体" w:cs="宋体" w:ascii="黑体" w:hAnsi="黑体"/>
          <w:b/>
          <w:sz w:val="32"/>
          <w:szCs w:val="32"/>
        </w:rPr>
        <w:t>20</w:t>
      </w:r>
      <w:r>
        <w:rPr>
          <w:rFonts w:eastAsia="黑体" w:cs="宋体" w:ascii="黑体" w:hAnsi="黑体"/>
          <w:b/>
          <w:sz w:val="32"/>
          <w:szCs w:val="32"/>
          <w:lang w:val="en-US" w:eastAsia="zh-CN"/>
        </w:rPr>
        <w:t>21</w:t>
      </w:r>
      <w:r>
        <w:rPr>
          <w:rFonts w:ascii="黑体" w:hAnsi="黑体" w:cs="宋体" w:eastAsia="黑体"/>
          <w:b/>
          <w:sz w:val="32"/>
          <w:szCs w:val="32"/>
        </w:rPr>
        <w:t>级工业工程专业设计与制造基础Ⅲ终</w:t>
      </w:r>
      <w:r>
        <w:rPr>
          <w:rFonts w:ascii="黑体" w:hAnsi="黑体" w:eastAsia="黑体"/>
          <w:b/>
          <w:bCs/>
          <w:sz w:val="32"/>
          <w:szCs w:val="32"/>
        </w:rPr>
        <w:t>考试题</w:t>
      </w:r>
      <w:r>
        <w:rPr>
          <w:rFonts w:eastAsia="黑体" w:ascii="黑体" w:hAnsi="黑体"/>
          <w:b/>
          <w:bCs/>
          <w:sz w:val="32"/>
          <w:szCs w:val="32"/>
          <w:lang w:val="en-US" w:eastAsia="zh-CN"/>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lang w:val="en-US" w:eastAsia="zh-CN"/>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b/>
          <w:bCs/>
          <w:sz w:val="24"/>
        </w:rPr>
      </w:pPr>
      <w:r>
        <w:rPr>
          <w:b/>
          <w:bCs/>
          <w:sz w:val="24"/>
        </w:rPr>
        <w:t>解释下列工艺学名词：（每题</w:t>
      </w:r>
      <w:r>
        <w:rPr>
          <w:b/>
          <w:bCs/>
          <w:sz w:val="24"/>
          <w:lang w:val="en-US" w:eastAsia="zh-CN"/>
        </w:rPr>
        <w:t>4</w:t>
      </w:r>
      <w:r>
        <w:rPr>
          <w:b/>
          <w:bCs/>
          <w:sz w:val="24"/>
        </w:rPr>
        <w:t>分，共</w:t>
      </w:r>
      <w:r>
        <w:rPr>
          <w:b/>
          <w:bCs/>
          <w:sz w:val="24"/>
          <w:lang w:val="en-US" w:eastAsia="zh-CN"/>
        </w:rPr>
        <w:t>20</w:t>
      </w:r>
      <w:r>
        <w:rPr>
          <w:b/>
          <w:bCs/>
          <w:sz w:val="24"/>
        </w:rPr>
        <w:t>分）</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Times New Roman" w:hAnsi="Times New Roman" w:cs="Times New Roman"/>
          <w:sz w:val="24"/>
          <w:lang w:val="en-US" w:eastAsia="zh-CN"/>
        </w:rPr>
        <w:t>机械加工工艺规程：</w:t>
      </w:r>
      <w:r>
        <w:rPr/>
        <w:t>规定产品或零部件机械加工工艺过程和操作方法等的工艺文件，是一切有关生产人员都应当严格执行、认真贯彻的纪律性文件。</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宋体" w:hAnsi="宋体"/>
          <w:sz w:val="24"/>
        </w:rPr>
        <w:t>误差复映规律</w:t>
      </w:r>
      <w:r>
        <w:rPr>
          <w:sz w:val="24"/>
          <w:lang w:eastAsia="zh-CN"/>
        </w:rPr>
        <w:t>：</w:t>
      </w:r>
      <w:r>
        <w:rPr>
          <w:rFonts w:ascii="Times New Roman" w:hAnsi="Times New Roman" w:cs="Times New Roman"/>
          <w:lang w:val="en-US" w:eastAsia="zh-CN"/>
        </w:rPr>
        <w:t>由于毛坯的误差而使切削深度不均匀，引起切削力变化而引起的弹性位移量变化，使所加工的工件产生了近似于毛坯误差的误差。</w:t>
      </w:r>
      <w:r>
        <w:rPr>
          <w:rFonts w:eastAsia="Times New Roman"/>
          <w:color w:val="000000"/>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加工经济精度：</w:t>
      </w:r>
      <w:r>
        <w:rPr/>
        <w:t>加工经济精度是指在正常加工条件下所能保证的加工精度和表面粗糙度。</w:t>
      </w:r>
    </w:p>
    <w:p>
      <w:pPr>
        <w:pStyle w:val="Normal"/>
        <w:numPr>
          <w:ilvl w:val="0"/>
          <w:numId w:val="4"/>
        </w:numPr>
        <w:tabs>
          <w:tab w:val="clear" w:pos="425"/>
          <w:tab w:val="left" w:pos="1800" w:leader="none"/>
        </w:tabs>
        <w:spacing w:lineRule="auto" w:line="240" w:before="0" w:after="120"/>
        <w:ind w:firstLine="480" w:start="0" w:end="0"/>
        <w:jc w:val="start"/>
        <w:rPr>
          <w:sz w:val="24"/>
        </w:rPr>
      </w:pPr>
      <w:r>
        <w:rPr>
          <w:sz w:val="24"/>
          <w:lang w:val="en-US" w:eastAsia="zh-CN"/>
        </w:rPr>
        <w:t>加工余量：</w:t>
      </w:r>
      <w:r>
        <w:rPr/>
        <w:t>加工过程中从加工表面切去材料层厚度</w:t>
      </w:r>
      <w:r>
        <w:rPr>
          <w:sz w:val="24"/>
          <w:lang w:eastAsia="zh-CN"/>
        </w:rPr>
        <w:t>。</w:t>
      </w:r>
      <w:r>
        <w:rPr>
          <w:rFonts w:eastAsia="Times New Roman"/>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部件及部装：</w:t>
      </w:r>
      <w:r>
        <w:rPr/>
        <w:t>在一个基准零件上，装上若干组件、套件及零件而构成的。一般部件在机器中能完成一定的、完整功能。此装配过程称为部装。</w:t>
      </w:r>
    </w:p>
    <w:p>
      <w:pPr>
        <w:pStyle w:val="Normal"/>
        <w:tabs>
          <w:tab w:val="clear" w:pos="425"/>
          <w:tab w:val="left" w:pos="1800" w:leader="none"/>
        </w:tabs>
        <w:spacing w:lineRule="auto" w:line="360" w:before="0" w:after="120"/>
        <w:jc w:val="start"/>
        <w:rPr>
          <w:b/>
          <w:bCs/>
          <w:sz w:val="24"/>
        </w:rPr>
      </w:pPr>
      <w:r>
        <w:rPr>
          <w:b/>
          <w:bCs/>
          <w:sz w:val="24"/>
          <w:lang w:val="en-US" w:eastAsia="zh-CN"/>
        </w:rPr>
        <w:t>二</w:t>
      </w:r>
      <w:r>
        <w:rPr>
          <w:b/>
          <w:bCs/>
          <w:sz w:val="24"/>
        </w:rPr>
        <w:t>．简述题（</w:t>
      </w:r>
      <w:r>
        <w:rPr>
          <w:b/>
          <w:bCs/>
          <w:sz w:val="24"/>
          <w:lang w:val="en-US" w:eastAsia="zh-CN"/>
        </w:rPr>
        <w:t>40</w:t>
      </w:r>
      <w:r>
        <w:rPr>
          <w:b/>
          <w:bCs/>
          <w:sz w:val="24"/>
        </w:rPr>
        <w:t>分）</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rPr>
      </w:pPr>
      <w:r>
        <w:rPr>
          <w:lang w:val="en-US" w:eastAsia="zh-CN"/>
        </w:rPr>
        <w:t>6.</w:t>
      </w:r>
      <w:r>
        <w:rPr>
          <w:rFonts w:ascii="宋体" w:hAnsi="宋体"/>
          <w:sz w:val="24"/>
        </w:rPr>
        <w:t>（</w:t>
      </w:r>
      <w:r>
        <w:rPr>
          <w:rFonts w:ascii="宋体" w:hAnsi="宋体"/>
          <w:sz w:val="24"/>
        </w:rPr>
        <w:t>10</w:t>
      </w:r>
      <w:r>
        <w:rPr>
          <w:rFonts w:ascii="宋体" w:hAnsi="宋体"/>
          <w:sz w:val="24"/>
        </w:rPr>
        <w:t>分）</w:t>
      </w:r>
      <w:r>
        <w:rPr>
          <w:sz w:val="24"/>
        </w:rPr>
        <w:t>什么是</w:t>
      </w:r>
      <w:r>
        <w:rPr>
          <w:sz w:val="24"/>
          <w:lang w:val="en-US" w:eastAsia="zh-CN"/>
        </w:rPr>
        <w:t>工艺系统刚度</w:t>
      </w:r>
      <w:r>
        <w:rPr>
          <w:sz w:val="24"/>
        </w:rPr>
        <w:t>？简述</w:t>
      </w:r>
      <w:r>
        <w:rPr>
          <w:sz w:val="24"/>
          <w:lang w:val="en-US" w:eastAsia="zh-CN"/>
        </w:rPr>
        <w:t>工艺系统刚度与各组成部分刚度之间的关系</w:t>
      </w:r>
      <w:r>
        <w:rPr>
          <w:rFonts w:ascii="宋体" w:hAnsi="宋体"/>
          <w:sz w:val="24"/>
        </w:rPr>
        <w:t>。</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t>在加工误差敏感方向上工艺系统所受外力与变形量之比</w:t>
      </w:r>
      <w:r>
        <w:rPr>
          <w:lang w:eastAsia="zh-CN"/>
        </w:rPr>
        <w:t>。</w:t>
      </w:r>
    </w:p>
    <w:p>
      <w:pPr>
        <w:pStyle w:val="Normal"/>
        <w:ind w:start="630" w:end="0"/>
        <w:rPr/>
      </w:pPr>
      <w:r>
        <w:rPr/>
        <w:t>工艺系统受力变形等于工艺系统各组成部分受力变形之迭加。由此可导出工艺系统刚度与工艺系统各组成部分刚度之间的关系：</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drawing>
          <wp:inline distT="0" distB="0" distL="0" distR="0">
            <wp:extent cx="1905000" cy="608965"/>
            <wp:effectExtent l="0" t="0" r="0" b="0"/>
            <wp:docPr id="1" name="图片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descr="" title=""/>
                    <pic:cNvPicPr>
                      <a:picLocks noChangeAspect="1" noChangeArrowheads="1"/>
                    </pic:cNvPicPr>
                  </pic:nvPicPr>
                  <pic:blipFill>
                    <a:blip r:embed="rId2"/>
                    <a:srcRect l="-19" t="-59" r="-19" b="-59"/>
                    <a:stretch>
                      <a:fillRect/>
                    </a:stretch>
                  </pic:blipFill>
                  <pic:spPr bwMode="auto">
                    <a:xfrm>
                      <a:off x="0" y="0"/>
                      <a:ext cx="1905000" cy="608965"/>
                    </a:xfrm>
                    <a:prstGeom prst="rect">
                      <a:avLst/>
                    </a:prstGeom>
                  </pic:spPr>
                </pic:pic>
              </a:graphicData>
            </a:graphic>
          </wp:inline>
        </w:drawing>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7.</w:t>
      </w:r>
      <w:r>
        <w:rPr>
          <w:rFonts w:ascii="宋体" w:hAnsi="宋体"/>
          <w:sz w:val="24"/>
        </w:rPr>
        <w:t>（</w:t>
      </w:r>
      <w:r>
        <w:rPr>
          <w:rFonts w:ascii="宋体" w:hAnsi="宋体"/>
          <w:sz w:val="24"/>
        </w:rPr>
        <w:t>10</w:t>
      </w:r>
      <w:r>
        <w:rPr>
          <w:rFonts w:ascii="宋体" w:hAnsi="宋体"/>
          <w:sz w:val="24"/>
        </w:rPr>
        <w:t>分）什么是“工序</w:t>
      </w:r>
      <w:r>
        <w:rPr>
          <w:rFonts w:ascii="宋体" w:hAnsi="宋体"/>
          <w:sz w:val="24"/>
          <w:lang w:val="en-US" w:eastAsia="zh-CN"/>
        </w:rPr>
        <w:t>分散</w:t>
      </w:r>
      <w:r>
        <w:rPr>
          <w:rFonts w:ascii="宋体" w:hAnsi="宋体"/>
          <w:sz w:val="24"/>
        </w:rPr>
        <w:t>原则”？简述采用“工序</w:t>
      </w:r>
      <w:r>
        <w:rPr>
          <w:rFonts w:ascii="宋体" w:hAnsi="宋体"/>
          <w:sz w:val="24"/>
          <w:lang w:val="en-US" w:eastAsia="zh-CN"/>
        </w:rPr>
        <w:t>分散</w:t>
      </w:r>
      <w:r>
        <w:rPr>
          <w:rFonts w:ascii="宋体" w:hAnsi="宋体"/>
          <w:sz w:val="24"/>
        </w:rPr>
        <w:t>原则”的优缺点，并指出“工序</w:t>
      </w:r>
      <w:r>
        <w:rPr>
          <w:rFonts w:ascii="宋体" w:hAnsi="宋体"/>
          <w:sz w:val="24"/>
          <w:lang w:val="en-US" w:eastAsia="zh-CN"/>
        </w:rPr>
        <w:t>分散</w:t>
      </w:r>
      <w:r>
        <w:rPr>
          <w:rFonts w:ascii="宋体" w:hAnsi="宋体"/>
          <w:sz w:val="24"/>
        </w:rPr>
        <w:t>原则”所适用的生产类型特点</w:t>
      </w:r>
      <w:r>
        <w:rPr>
          <w:rFonts w:ascii="宋体" w:hAnsi="宋体"/>
          <w:sz w:val="24"/>
          <w:lang w:val="en-US" w:eastAsia="zh-CN"/>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一个零件的工艺过程由许多道工序组成，每一道工序只完成相对简单的加工工作。</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工序内容简单，对人员要求较低；需较多设备及场地；</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适于大量制造。</w:t>
      </w:r>
    </w:p>
    <w:p>
      <w:pPr>
        <w:pStyle w:val="Normal"/>
        <w:widowControl/>
        <w:tabs>
          <w:tab w:val="clear" w:pos="425"/>
          <w:tab w:val="left" w:pos="3403" w:leader="none"/>
        </w:tabs>
        <w:autoSpaceDE w:val="false"/>
        <w:spacing w:lineRule="auto" w:line="240" w:before="0" w:after="360"/>
        <w:ind w:hanging="505" w:start="505" w:end="0"/>
        <w:textAlignment w:val="bottom"/>
        <w:rPr>
          <w:sz w:val="24"/>
        </w:rPr>
      </w:pPr>
      <w:r>
        <w:rPr>
          <w:rFonts w:ascii="宋体" w:hAnsi="宋体"/>
          <w:sz w:val="24"/>
          <w:lang w:val="en-US" w:eastAsia="zh-CN"/>
        </w:rPr>
        <w:t>8.</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sz w:val="24"/>
        </w:rPr>
        <w:t>以车床为例</w:t>
      </w:r>
      <w:r>
        <w:rPr>
          <w:sz w:val="24"/>
        </w:rPr>
        <w:t>，</w:t>
      </w:r>
      <w:r>
        <w:rPr>
          <w:sz w:val="24"/>
        </w:rPr>
        <w:t>请</w:t>
      </w:r>
      <w:r>
        <w:rPr>
          <w:sz w:val="24"/>
        </w:rPr>
        <w:t>论述主轴</w:t>
      </w:r>
      <w:r>
        <w:rPr>
          <w:sz w:val="24"/>
        </w:rPr>
        <w:t>影响</w:t>
      </w:r>
      <w:r>
        <w:rPr>
          <w:sz w:val="24"/>
        </w:rPr>
        <w:t>加工精度的误差</w:t>
      </w:r>
      <w:r>
        <w:rPr>
          <w:sz w:val="24"/>
        </w:rPr>
        <w:t>有</w:t>
      </w:r>
      <w:r>
        <w:rPr>
          <w:sz w:val="24"/>
        </w:rPr>
        <w:t>哪几种类型？</w:t>
      </w:r>
      <w:r>
        <w:rPr>
          <w:sz w:val="24"/>
          <w:lang w:val="en-US" w:eastAsia="zh-CN"/>
        </w:rPr>
        <w:t>试</w:t>
      </w:r>
      <w:r>
        <w:rPr>
          <w:sz w:val="24"/>
        </w:rPr>
        <w:t>说明</w:t>
      </w:r>
      <w:r>
        <w:rPr>
          <w:sz w:val="24"/>
        </w:rPr>
        <w:t>在</w:t>
      </w:r>
      <w:r>
        <w:rPr>
          <w:sz w:val="24"/>
          <w:lang w:val="en-US" w:eastAsia="zh-CN"/>
        </w:rPr>
        <w:t>加工外圆面和端面时的影响</w:t>
      </w:r>
      <w:r>
        <w:rPr>
          <w:sz w:val="24"/>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主轴：轴向跳动、径向跳动、圆锥摆动</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外圆面：小、大</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端面：大、小</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9.</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rFonts w:ascii="Times New Roman" w:hAnsi="Times New Roman" w:cs="Times New Roman"/>
          <w:sz w:val="24"/>
          <w:lang w:val="en-US" w:eastAsia="zh-CN"/>
        </w:rPr>
        <w:t>加工表面的几何形貌包</w:t>
      </w:r>
      <w:r>
        <w:rPr>
          <w:sz w:val="24"/>
          <w:lang w:val="en-US" w:eastAsia="zh-CN"/>
        </w:rPr>
        <w:t>括哪些内容？并</w:t>
      </w:r>
      <w:r>
        <w:rPr>
          <w:sz w:val="24"/>
        </w:rPr>
        <w:t>简述</w:t>
      </w:r>
      <w:r>
        <w:rPr>
          <w:sz w:val="24"/>
          <w:lang w:val="en-US" w:eastAsia="zh-CN"/>
        </w:rPr>
        <w:t>其</w:t>
      </w:r>
      <w:r>
        <w:rPr>
          <w:rFonts w:ascii="宋体" w:hAnsi="宋体"/>
          <w:sz w:val="24"/>
          <w:lang w:val="en-US" w:eastAsia="zh-CN"/>
        </w:rPr>
        <w:t>对工件耐疲劳性的影响。</w:t>
      </w:r>
    </w:p>
    <w:p>
      <w:pPr>
        <w:pStyle w:val="Normal"/>
        <w:ind w:start="420" w:end="0"/>
        <w:jc w:val="start"/>
        <w:rPr>
          <w:rFonts w:eastAsia="宋体"/>
          <w:sz w:val="21"/>
          <w:szCs w:val="21"/>
          <w:lang w:eastAsia="zh-CN"/>
        </w:rPr>
      </w:pPr>
      <w:r>
        <w:rPr>
          <w:sz w:val="21"/>
          <w:szCs w:val="21"/>
        </w:rPr>
        <w:t>加工表面的几何形貌</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6</w:t>
      </w:r>
      <w:r>
        <w:rPr>
          <w:sz w:val="21"/>
          <w:szCs w:val="21"/>
          <w:lang w:val="en-US" w:eastAsia="zh-CN"/>
        </w:rPr>
        <w:t>分</w:t>
      </w:r>
      <w:r>
        <w:rPr>
          <w:sz w:val="21"/>
          <w:szCs w:val="21"/>
          <w:lang w:eastAsia="zh-CN"/>
        </w:rPr>
        <w:t>）</w:t>
      </w:r>
    </w:p>
    <w:p>
      <w:pPr>
        <w:pStyle w:val="Normal"/>
        <w:numPr>
          <w:ilvl w:val="0"/>
          <w:numId w:val="7"/>
        </w:numPr>
        <w:tabs>
          <w:tab w:val="clear" w:pos="425"/>
          <w:tab w:val="left" w:pos="1140" w:leader="none"/>
        </w:tabs>
        <w:ind w:hanging="360" w:start="779" w:end="0"/>
        <w:jc w:val="start"/>
        <w:rPr>
          <w:sz w:val="21"/>
          <w:szCs w:val="21"/>
        </w:rPr>
      </w:pPr>
      <w:r>
        <w:rPr>
          <w:sz w:val="21"/>
          <w:szCs w:val="21"/>
        </w:rPr>
        <w:t>表面粗糙度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波度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r>
        <w:rPr>
          <w:sz w:val="21"/>
          <w:szCs w:val="21"/>
        </w:rPr>
        <w:t>～</w:t>
      </w:r>
      <w:r>
        <w:rPr>
          <w:sz w:val="21"/>
          <w:szCs w:val="21"/>
        </w:rPr>
        <w:t>1000</w:t>
      </w:r>
      <w:r>
        <w:rPr>
          <w:sz w:val="21"/>
          <w:szCs w:val="21"/>
        </w:rPr>
        <w:t>；且具有周期特性</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宏观几何形状误差（平面度、圆度等）—波长</w:t>
      </w:r>
      <w:r>
        <w:rPr>
          <w:sz w:val="21"/>
          <w:szCs w:val="21"/>
        </w:rPr>
        <w:t>/</w:t>
      </w:r>
      <w:r>
        <w:rPr>
          <w:sz w:val="21"/>
          <w:szCs w:val="21"/>
        </w:rPr>
        <w:t>波高＞</w:t>
      </w:r>
      <w:r>
        <w:rPr>
          <w:sz w:val="21"/>
          <w:szCs w:val="21"/>
        </w:rPr>
        <w:t>1000</w:t>
      </w:r>
    </w:p>
    <w:p>
      <w:pPr>
        <w:pStyle w:val="Normal"/>
        <w:numPr>
          <w:ilvl w:val="0"/>
          <w:numId w:val="7"/>
        </w:numPr>
        <w:tabs>
          <w:tab w:val="clear" w:pos="425"/>
          <w:tab w:val="left" w:pos="720" w:leader="none"/>
        </w:tabs>
        <w:ind w:hanging="360" w:start="779" w:end="0"/>
        <w:rPr>
          <w:sz w:val="21"/>
          <w:szCs w:val="21"/>
        </w:rPr>
      </w:pPr>
      <w:r>
        <w:rPr>
          <w:rFonts w:eastAsia="Times New Roman"/>
          <w:sz w:val="21"/>
          <w:szCs w:val="21"/>
        </w:rPr>
        <w:t xml:space="preserve"> </w:t>
      </w:r>
      <w:r>
        <w:rPr>
          <w:sz w:val="21"/>
          <w:szCs w:val="21"/>
        </w:rPr>
        <w:t>表面缺陷－如</w:t>
      </w:r>
      <w:r>
        <w:rPr>
          <w:b/>
          <w:bCs/>
          <w:sz w:val="21"/>
          <w:szCs w:val="21"/>
        </w:rPr>
        <w:t>划痕、</w:t>
      </w:r>
      <w:r>
        <w:rPr>
          <w:sz w:val="21"/>
          <w:szCs w:val="21"/>
        </w:rPr>
        <w:t>砂眼、气孔、裂纹等（是加工表面个别位置出现的缺陷</w:t>
      </w:r>
      <w:r>
        <w:rPr>
          <w:rFonts w:eastAsia="Times New Roman"/>
          <w:sz w:val="21"/>
          <w:szCs w:val="21"/>
        </w:rPr>
        <w:t xml:space="preserve"> </w:t>
      </w:r>
      <w:r>
        <w:rPr>
          <w:sz w:val="21"/>
          <w:szCs w:val="21"/>
        </w:rPr>
        <w:t>）</w:t>
      </w:r>
    </w:p>
    <w:p>
      <w:pPr>
        <w:pStyle w:val="Normal"/>
        <w:ind w:start="420" w:end="0"/>
        <w:jc w:val="start"/>
        <w:rPr>
          <w:i/>
          <w:i/>
          <w:iCs/>
          <w:sz w:val="21"/>
          <w:szCs w:val="21"/>
        </w:rPr>
      </w:pPr>
      <w:r>
        <w:rPr>
          <w:i/>
          <w:iCs/>
          <w:sz w:val="21"/>
          <w:szCs w:val="21"/>
        </w:rPr>
        <w:t>表面层金属力学物理性能和化学性能</w:t>
      </w:r>
    </w:p>
    <w:p>
      <w:pPr>
        <w:pStyle w:val="Normal"/>
        <w:numPr>
          <w:ilvl w:val="0"/>
          <w:numId w:val="9"/>
        </w:numPr>
        <w:tabs>
          <w:tab w:val="clear" w:pos="425"/>
          <w:tab w:val="left" w:pos="1140" w:leader="none"/>
        </w:tabs>
        <w:ind w:hanging="360" w:start="779" w:end="0"/>
        <w:jc w:val="start"/>
        <w:rPr>
          <w:i/>
          <w:i/>
          <w:iCs/>
          <w:sz w:val="21"/>
          <w:szCs w:val="21"/>
        </w:rPr>
      </w:pPr>
      <w:r>
        <w:rPr>
          <w:i/>
          <w:iCs/>
          <w:sz w:val="21"/>
          <w:szCs w:val="21"/>
        </w:rPr>
        <w:t>表面层金属冷作硬化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表面层金属金相组织变化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表面层金属残余应力</w:t>
      </w:r>
    </w:p>
    <w:p>
      <w:pPr>
        <w:pStyle w:val="Style16"/>
        <w:numPr>
          <w:ilvl w:val="0"/>
          <w:numId w:val="6"/>
        </w:numPr>
        <w:jc w:val="start"/>
        <w:rPr>
          <w:sz w:val="21"/>
          <w:szCs w:val="21"/>
        </w:rPr>
      </w:pPr>
      <w:r>
        <w:rPr>
          <w:sz w:val="21"/>
          <w:szCs w:val="21"/>
        </w:rPr>
        <w:t>表面粗糙度对零件疲劳强度的影响</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4</w:t>
      </w:r>
      <w:r>
        <w:rPr>
          <w:sz w:val="21"/>
          <w:szCs w:val="21"/>
          <w:lang w:val="en-US" w:eastAsia="zh-CN"/>
        </w:rPr>
        <w:t>分</w:t>
      </w:r>
      <w:r>
        <w:rPr>
          <w:sz w:val="21"/>
          <w:szCs w:val="21"/>
          <w:lang w:eastAsia="zh-CN"/>
        </w:rPr>
        <w:t>）</w:t>
      </w:r>
    </w:p>
    <w:p>
      <w:pPr>
        <w:pStyle w:val="Normal"/>
        <w:numPr>
          <w:ilvl w:val="0"/>
          <w:numId w:val="5"/>
        </w:numPr>
        <w:tabs>
          <w:tab w:val="clear" w:pos="425"/>
          <w:tab w:val="left" w:pos="930" w:leader="none"/>
        </w:tabs>
        <w:ind w:hanging="360" w:start="630" w:end="0"/>
        <w:jc w:val="start"/>
        <w:rPr>
          <w:sz w:val="21"/>
          <w:szCs w:val="21"/>
        </w:rPr>
      </w:pPr>
      <w:r>
        <w:rPr>
          <w:sz w:val="21"/>
          <w:szCs w:val="21"/>
        </w:rPr>
        <w:t>表面粗糙度越大，抗疲劳破坏的能力越差。</w:t>
      </w:r>
    </w:p>
    <w:p>
      <w:pPr>
        <w:pStyle w:val="Normal"/>
        <w:numPr>
          <w:ilvl w:val="0"/>
          <w:numId w:val="5"/>
        </w:numPr>
        <w:tabs>
          <w:tab w:val="clear" w:pos="425"/>
          <w:tab w:val="left" w:pos="930" w:leader="none"/>
        </w:tabs>
        <w:ind w:hanging="360" w:start="630" w:end="0"/>
        <w:jc w:val="start"/>
        <w:rPr>
          <w:sz w:val="21"/>
          <w:szCs w:val="21"/>
        </w:rPr>
      </w:pPr>
      <w:r>
        <w:rPr>
          <w:sz w:val="21"/>
          <w:szCs w:val="21"/>
        </w:rPr>
        <w:t>对承受交变载荷零件的疲劳强度影响很大。在交变载荷作用下，表面粗糙度的凹谷部位容易引起应力集中，产生疲劳裂纹。</w:t>
      </w:r>
    </w:p>
    <w:p>
      <w:pPr>
        <w:pStyle w:val="Normal"/>
        <w:numPr>
          <w:ilvl w:val="0"/>
          <w:numId w:val="5"/>
        </w:numPr>
        <w:tabs>
          <w:tab w:val="clear" w:pos="425"/>
          <w:tab w:val="left" w:pos="930" w:leader="none"/>
        </w:tabs>
        <w:ind w:hanging="360" w:start="630" w:end="0"/>
        <w:jc w:val="start"/>
        <w:rPr>
          <w:sz w:val="21"/>
          <w:szCs w:val="21"/>
        </w:rPr>
      </w:pPr>
      <w:r>
        <w:rPr>
          <w:rFonts w:eastAsia="Times New Roman"/>
          <w:sz w:val="21"/>
          <w:szCs w:val="21"/>
        </w:rPr>
        <w:t xml:space="preserve"> </w:t>
      </w:r>
      <w:r>
        <w:rPr>
          <w:sz w:val="21"/>
          <w:szCs w:val="21"/>
        </w:rPr>
        <w:t>表面粗糙度值越小，表面缺陷越少，工件耐疲劳性越好；反之，加工表面越粗糙，表面的纹痕越深，纹底半径越小，其抗疲劳破坏的能力越差。</w:t>
      </w:r>
    </w:p>
    <w:p>
      <w:pPr>
        <w:pStyle w:val="Style16"/>
        <w:numPr>
          <w:ilvl w:val="0"/>
          <w:numId w:val="6"/>
        </w:numPr>
        <w:jc w:val="start"/>
        <w:rPr>
          <w:i/>
          <w:i/>
          <w:iCs/>
          <w:sz w:val="21"/>
          <w:szCs w:val="21"/>
        </w:rPr>
      </w:pPr>
      <w:r>
        <w:rPr>
          <w:i/>
          <w:iCs/>
          <w:sz w:val="21"/>
          <w:szCs w:val="21"/>
        </w:rPr>
        <w:t>表面层冷作硬化与残余应力对零件疲劳强度的影响</w:t>
      </w:r>
      <w:r>
        <w:rPr>
          <w:i/>
          <w:iCs/>
          <w:sz w:val="21"/>
          <w:szCs w:val="21"/>
        </w:rPr>
        <w:t xml:space="preserve">  </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适度的表面层冷作硬化能阻止疲劳裂纹生长并产生表面压应力，提高零件的疲劳强度。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残余应力有拉应力和压应力之分，残余拉应力容易使已加工表面产生裂纹并使其扩展而降低疲劳强度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残余压应力则能够部分地抵消工作载荷施加的拉应力，延缓疲劳裂纹的扩展，从而提高零件的疲劳强度。</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i/>
          <w:i/>
          <w:iCs/>
          <w:sz w:val="24"/>
          <w:szCs w:val="21"/>
          <w:lang w:val="en-US" w:eastAsia="zh-CN"/>
        </w:rPr>
      </w:pPr>
      <w:r>
        <w:rPr>
          <w:rFonts w:ascii="宋体" w:hAnsi="宋体"/>
          <w:i/>
          <w:iCs/>
          <w:sz w:val="24"/>
          <w:szCs w:val="21"/>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分）钻削如题</w:t>
      </w:r>
      <w:r>
        <w:rPr>
          <w:sz w:val="24"/>
          <w:lang w:val="en-US" w:eastAsia="zh-CN"/>
        </w:rPr>
        <w:t>10</w:t>
      </w:r>
      <w:r>
        <w:rPr>
          <w:sz w:val="24"/>
        </w:rPr>
        <w:t>图</w:t>
      </w:r>
      <w:r>
        <w:rPr>
          <w:rFonts w:ascii="宋体" w:hAnsi="宋体" w:cs="Times New Roman"/>
          <w:sz w:val="24"/>
        </w:rPr>
        <w:t>所示轴套零件的</w:t>
      </w:r>
      <w:r>
        <w:rPr>
          <w:rFonts w:eastAsia="宋体" w:cs="Times New Roman" w:ascii="宋体" w:hAnsi="宋体"/>
          <w:sz w:val="24"/>
        </w:rPr>
        <w:t>Φ5mm</w:t>
      </w:r>
      <w:r>
        <w:rPr>
          <w:rFonts w:ascii="宋体" w:hAnsi="宋体" w:cs="Times New Roman"/>
          <w:sz w:val="24"/>
        </w:rPr>
        <w:t>孔，试分析：</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1</w:t>
      </w:r>
      <w:r>
        <w:rPr>
          <w:rFonts w:ascii="宋体" w:hAnsi="宋体" w:cs="Times New Roman"/>
          <w:sz w:val="24"/>
        </w:rPr>
        <w:t>）工序要求必须限制的自由度；</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2</w:t>
      </w:r>
      <w:r>
        <w:rPr>
          <w:rFonts w:ascii="宋体" w:hAnsi="宋体" w:cs="Times New Roman"/>
          <w:sz w:val="24"/>
        </w:rPr>
        <w:t>）设计定位方案，选择定位件；</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lang w:val="en-US" w:eastAsia="zh-CN"/>
        </w:rPr>
      </w:pPr>
      <w:r>
        <w:rPr>
          <w:rFonts w:ascii="宋体" w:hAnsi="宋体" w:cs="Times New Roman"/>
          <w:sz w:val="24"/>
        </w:rPr>
        <w:t>（</w:t>
      </w:r>
      <w:r>
        <w:rPr>
          <w:rFonts w:eastAsia="宋体" w:cs="Times New Roman" w:ascii="宋体" w:hAnsi="宋体"/>
          <w:sz w:val="24"/>
        </w:rPr>
        <w:t>3</w:t>
      </w:r>
      <w:r>
        <w:rPr>
          <w:rFonts w:ascii="宋体" w:hAnsi="宋体" w:cs="Times New Roman"/>
          <w:sz w:val="24"/>
        </w:rPr>
        <w:t>）指出各定位件所限制的自由度。</w:t>
      </w:r>
    </w:p>
    <w:p>
      <w:pPr>
        <w:pStyle w:val="Normal"/>
        <w:jc w:val="center"/>
        <w:rPr/>
      </w:pPr>
      <w:r>
        <w:rPr/>
        <w:object w:dxaOrig="6220" w:dyaOrig="4627">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235.55pt;height:174.4pt" filled="f" o:ole="">
            <v:imagedata r:id="rId4" o:title=""/>
          </v:shape>
          <o:OLEObject Type="Embed" ProgID="" ShapeID="ole_rId3" DrawAspect="Content" ObjectID="_1085263894" r:id="rId3"/>
        </w:object>
      </w:r>
    </w:p>
    <w:p>
      <w:pPr>
        <w:pStyle w:val="Normal"/>
        <w:widowControl/>
        <w:tabs>
          <w:tab w:val="clear" w:pos="425"/>
          <w:tab w:val="left" w:pos="3403" w:leader="none"/>
        </w:tabs>
        <w:autoSpaceDE w:val="false"/>
        <w:spacing w:lineRule="auto" w:line="360" w:before="0" w:after="120"/>
        <w:ind w:hanging="504" w:start="504" w:end="0"/>
        <w:jc w:val="center"/>
        <w:textAlignment w:val="bottom"/>
        <w:rPr/>
      </w:pPr>
      <w:r>
        <w:rPr/>
        <w:t>题</w:t>
      </w:r>
      <w:r>
        <w:rPr>
          <w:lang w:val="en-US" w:eastAsia="zh-CN"/>
        </w:rPr>
        <w:t>10</w:t>
      </w:r>
      <w:r>
        <w:rPr/>
        <w:t>图</w:t>
      </w:r>
    </w:p>
    <w:p>
      <w:pPr>
        <w:pStyle w:val="Normal"/>
        <w:spacing w:lineRule="auto" w:line="276"/>
        <w:ind w:firstLine="420" w:end="0"/>
        <w:rPr>
          <w:szCs w:val="21"/>
        </w:rPr>
      </w:pPr>
      <w:r>
        <w:rPr>
          <w:rFonts w:cs="宋体"/>
          <w:lang w:eastAsia="zh-CN"/>
        </w:rPr>
        <w:t>（</w:t>
      </w:r>
      <w:r>
        <w:rPr>
          <w:rFonts w:cs="宋体"/>
          <w:lang w:val="en-US" w:eastAsia="zh-CN"/>
        </w:rPr>
        <w:t>1</w:t>
      </w:r>
      <w:r>
        <w:rPr>
          <w:rFonts w:cs="宋体"/>
          <w:lang w:eastAsia="zh-CN"/>
        </w:rPr>
        <w:t>）</w:t>
      </w:r>
      <w:r>
        <w:rPr>
          <w:rFonts w:cs="宋体"/>
        </w:rPr>
        <w:t>必须</w:t>
      </w:r>
      <w:r>
        <w:rPr>
          <w:szCs w:val="21"/>
        </w:rPr>
        <w:t>限制</w:t>
      </w:r>
      <w:r>
        <w:rPr/>
        <w:object w:dxaOrig="200" w:dyaOrig="27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pt;height:13.9pt" filled="f" o:ole="">
            <v:imagedata r:id="rId6" o:title=""/>
          </v:shape>
          <o:OLEObject Type="Embed" ProgID="" ShapeID="ole_rId5" DrawAspect="Content" ObjectID="_469972361" r:id="rId5"/>
        </w:object>
      </w:r>
      <w:r>
        <w:rPr>
          <w:position w:val="-6"/>
        </w:rPr>
        <w:t>、</w:t>
      </w:r>
      <w:r>
        <w:rPr/>
        <w:object w:dxaOrig="200" w:dyaOrig="31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0pt;height:15.95pt" filled="f" o:ole="">
            <v:imagedata r:id="rId8" o:title=""/>
          </v:shape>
          <o:OLEObject Type="Embed" ProgID="" ShapeID="ole_rId7" DrawAspect="Content" ObjectID="_1507038337" r:id="rId7"/>
        </w:object>
      </w:r>
      <w:r>
        <w:rPr/>
        <w:t>、</w:t>
      </w:r>
      <w:r>
        <w:rPr/>
        <w:drawing>
          <wp:inline distT="0" distB="0" distL="0" distR="0">
            <wp:extent cx="71120" cy="167640"/>
            <wp:effectExtent l="0" t="0" r="0" b="0"/>
            <wp:docPr id="2" name="图片 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6" descr="" title=""/>
                    <pic:cNvPicPr>
                      <a:picLocks noChangeAspect="1" noChangeArrowheads="1"/>
                    </pic:cNvPicPr>
                  </pic:nvPicPr>
                  <pic:blipFill>
                    <a:blip r:embed="rId9"/>
                    <a:srcRect l="-463" t="-170" r="-463" b="9694"/>
                    <a:stretch>
                      <a:fillRect/>
                    </a:stretch>
                  </pic:blipFill>
                  <pic:spPr bwMode="auto">
                    <a:xfrm>
                      <a:off x="0" y="0"/>
                      <a:ext cx="71120" cy="167640"/>
                    </a:xfrm>
                    <a:prstGeom prst="rect">
                      <a:avLst/>
                    </a:prstGeom>
                  </pic:spPr>
                </pic:pic>
              </a:graphicData>
            </a:graphic>
          </wp:inline>
        </w:drawing>
      </w:r>
      <w:r>
        <w:rPr/>
        <w:t>、</w:t>
      </w:r>
      <w:r>
        <w:rPr/>
        <w:drawing>
          <wp:inline distT="0" distB="0" distL="0" distR="0">
            <wp:extent cx="93345" cy="144780"/>
            <wp:effectExtent l="0" t="0" r="0" b="0"/>
            <wp:docPr id="3" name="图片 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7" descr="" title=""/>
                    <pic:cNvPicPr>
                      <a:picLocks noChangeAspect="1" noChangeArrowheads="1"/>
                    </pic:cNvPicPr>
                  </pic:nvPicPr>
                  <pic:blipFill>
                    <a:blip r:embed="rId10"/>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个自由度；（</w:t>
      </w:r>
      <w:r>
        <w:rPr>
          <w:szCs w:val="21"/>
        </w:rPr>
        <w:t>4</w:t>
      </w:r>
      <w:r>
        <w:rPr>
          <w:szCs w:val="21"/>
        </w:rPr>
        <w:t>分）</w:t>
      </w:r>
    </w:p>
    <w:p>
      <w:pPr>
        <w:pStyle w:val="Normal"/>
        <w:spacing w:lineRule="auto" w:line="276"/>
        <w:ind w:firstLine="420" w:end="0"/>
        <w:rPr>
          <w:rFonts w:cs="宋体"/>
        </w:rPr>
      </w:pPr>
      <w:r>
        <w:rPr>
          <w:rFonts w:cs="宋体"/>
        </w:rPr>
        <w:t>（</w:t>
      </w:r>
      <w:r>
        <w:rPr>
          <w:rFonts w:cs="宋体"/>
        </w:rPr>
        <w:t>2</w:t>
      </w:r>
      <w:r>
        <w:rPr>
          <w:rFonts w:cs="宋体"/>
        </w:rPr>
        <w:t>）定位方案：以台阶端面、小直径外圆为定位基准，选择长</w:t>
      </w:r>
      <w:r>
        <w:rPr>
          <w:rFonts w:cs="宋体"/>
        </w:rPr>
        <w:t>V</w:t>
      </w:r>
      <w:r>
        <w:rPr>
          <w:rFonts w:cs="宋体"/>
        </w:rPr>
        <w:t>型块的</w:t>
      </w:r>
      <w:r>
        <w:rPr>
          <w:rFonts w:cs="宋体"/>
        </w:rPr>
        <w:t>V</w:t>
      </w:r>
      <w:r>
        <w:rPr>
          <w:rFonts w:cs="宋体"/>
        </w:rPr>
        <w:t>形面及端面作为定位面；（</w:t>
      </w:r>
      <w:r>
        <w:rPr>
          <w:rFonts w:cs="宋体"/>
        </w:rPr>
        <w:t>3</w:t>
      </w:r>
      <w:r>
        <w:rPr>
          <w:rFonts w:cs="宋体"/>
        </w:rPr>
        <w:t>分）</w:t>
      </w:r>
    </w:p>
    <w:p>
      <w:pPr>
        <w:pStyle w:val="Normal"/>
        <w:spacing w:lineRule="auto" w:line="276"/>
        <w:ind w:firstLine="420" w:end="0"/>
        <w:rPr>
          <w:szCs w:val="21"/>
        </w:rPr>
      </w:pPr>
      <w:r>
        <w:rPr>
          <w:szCs w:val="21"/>
        </w:rPr>
        <w:t>（</w:t>
      </w:r>
      <w:r>
        <w:rPr>
          <w:szCs w:val="21"/>
        </w:rPr>
        <w:t>3</w:t>
      </w:r>
      <w:r>
        <w:rPr>
          <w:szCs w:val="21"/>
        </w:rPr>
        <w:t>）</w:t>
      </w:r>
      <w:r>
        <w:rPr>
          <w:szCs w:val="21"/>
        </w:rPr>
        <w:t>V</w:t>
      </w:r>
      <w:r>
        <w:rPr>
          <w:szCs w:val="21"/>
        </w:rPr>
        <w:t>型块的</w:t>
      </w:r>
      <w:r>
        <w:rPr>
          <w:szCs w:val="21"/>
        </w:rPr>
        <w:t>V</w:t>
      </w:r>
      <w:r>
        <w:rPr>
          <w:szCs w:val="21"/>
        </w:rPr>
        <w:t>形面限制</w:t>
      </w:r>
      <w:r>
        <w:rPr/>
        <w:object w:dxaOrig="200" w:dyaOrig="31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0pt;height:15.95pt" filled="f" o:ole="">
            <v:imagedata r:id="rId12" o:title=""/>
          </v:shape>
          <o:OLEObject Type="Embed" ProgID="" ShapeID="ole_rId11" DrawAspect="Content" ObjectID="_1845039006" r:id="rId11"/>
        </w:object>
      </w:r>
      <w:r>
        <w:rPr>
          <w:position w:val="-2"/>
        </w:rPr>
        <w:t>、</w:t>
      </w:r>
      <w:r>
        <w:rPr/>
        <w:object w:dxaOrig="200" w:dyaOrig="25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0pt;height:12.95pt" filled="f" o:ole="">
            <v:imagedata r:id="rId14" o:title=""/>
          </v:shape>
          <o:OLEObject Type="Embed" ProgID="" ShapeID="ole_rId13" DrawAspect="Content" ObjectID="_2124494428" r:id="rId13"/>
        </w:object>
      </w:r>
      <w:r>
        <w:rPr/>
        <w:t>、</w:t>
      </w:r>
      <w:r>
        <w:rPr/>
        <w:drawing>
          <wp:inline distT="0" distB="0" distL="0" distR="0">
            <wp:extent cx="74930" cy="170180"/>
            <wp:effectExtent l="0" t="0" r="0" b="0"/>
            <wp:docPr id="4" name="图片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 title=""/>
                    <pic:cNvPicPr>
                      <a:picLocks noChangeAspect="1" noChangeArrowheads="1"/>
                    </pic:cNvPicPr>
                  </pic:nvPicPr>
                  <pic:blipFill>
                    <a:blip r:embed="rId15"/>
                    <a:srcRect l="-463" t="-170" r="-463" b="9694"/>
                    <a:stretch>
                      <a:fillRect/>
                    </a:stretch>
                  </pic:blipFill>
                  <pic:spPr bwMode="auto">
                    <a:xfrm>
                      <a:off x="0" y="0"/>
                      <a:ext cx="74930" cy="170180"/>
                    </a:xfrm>
                    <a:prstGeom prst="rect">
                      <a:avLst/>
                    </a:prstGeom>
                  </pic:spPr>
                </pic:pic>
              </a:graphicData>
            </a:graphic>
          </wp:inline>
        </w:drawing>
      </w:r>
      <w:r>
        <w:rPr/>
        <w:t>、</w:t>
      </w:r>
      <w:r>
        <w:rPr/>
        <w:drawing>
          <wp:inline distT="0" distB="0" distL="0" distR="0">
            <wp:extent cx="93345" cy="144780"/>
            <wp:effectExtent l="0" t="0" r="0" b="0"/>
            <wp:docPr id="5" name="图片 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 title=""/>
                    <pic:cNvPicPr>
                      <a:picLocks noChangeAspect="1" noChangeArrowheads="1"/>
                    </pic:cNvPicPr>
                  </pic:nvPicPr>
                  <pic:blipFill>
                    <a:blip r:embed="rId16"/>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w:t>
      </w:r>
      <w:r>
        <w:rPr/>
        <w:t>自由度，端面限制</w:t>
      </w:r>
      <w:r>
        <w:rPr/>
        <w:object w:dxaOrig="200" w:dyaOrig="279">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0pt;height:13.9pt" filled="f" o:ole="">
            <v:imagedata r:id="rId18" o:title=""/>
          </v:shape>
          <o:OLEObject Type="Embed" ProgID="" ShapeID="ole_rId17" DrawAspect="Content" ObjectID="_757938553" r:id="rId17"/>
        </w:object>
      </w:r>
      <w:r>
        <w:rPr/>
        <w:t>1</w:t>
      </w:r>
      <w:r>
        <w:rPr/>
        <w:t>个自由度。（</w:t>
      </w:r>
      <w:r>
        <w:rPr/>
        <w:t>3</w:t>
      </w:r>
      <w:r>
        <w:rPr/>
        <w:t>分）</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11.</w:t>
      </w:r>
      <w:r>
        <w:rPr>
          <w:sz w:val="24"/>
          <w:lang w:val="en-US" w:eastAsia="zh-CN"/>
        </w:rPr>
        <w:t>批量生产如题</w:t>
      </w:r>
      <w:r>
        <w:rPr>
          <w:sz w:val="24"/>
          <w:lang w:val="en-US" w:eastAsia="zh-CN"/>
        </w:rPr>
        <w:t>33</w:t>
      </w:r>
      <w:r>
        <w:rPr>
          <w:sz w:val="24"/>
          <w:lang w:val="en-US" w:eastAsia="zh-CN"/>
        </w:rPr>
        <w:t>图的阶梯轴零件，工件材料为</w:t>
      </w:r>
      <w:r>
        <w:rPr>
          <w:sz w:val="24"/>
          <w:lang w:val="en-US" w:eastAsia="zh-CN"/>
        </w:rPr>
        <w:t>T8</w:t>
      </w:r>
      <w:r>
        <w:rPr>
          <w:sz w:val="24"/>
          <w:lang w:val="en-US" w:eastAsia="zh-CN"/>
        </w:rPr>
        <w:t>钢，已确定各主要表面的加工方案如下：</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外圆：粗车—精车—磨削；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两个</w:t>
      </w:r>
      <w:r>
        <w:rPr>
          <w:sz w:val="24"/>
          <w:lang w:val="en-US" w:eastAsia="zh-CN"/>
        </w:rPr>
        <w:t>Φ20</w:t>
      </w:r>
      <w:r>
        <w:rPr>
          <w:sz w:val="24"/>
          <w:lang w:val="en-US" w:eastAsia="zh-CN"/>
        </w:rPr>
        <w:t>外圆及轴肩：粗车—精车；</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两端面：粗车—打中心孔；</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键槽：铣削；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外圆：表面淬火。</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试安排此台阶轴零件的加工工艺路线。</w:t>
      </w:r>
    </w:p>
    <w:p>
      <w:pPr>
        <w:pStyle w:val="Normal"/>
        <w:jc w:val="center"/>
        <w:rPr/>
      </w:pPr>
      <w:r>
        <w:rPr/>
        <w:object w:dxaOrig="6749" w:dyaOrig="4455">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255.15pt;height:168.15pt" filled="f" o:ole="">
            <v:imagedata r:id="rId20" o:title=""/>
          </v:shape>
          <o:OLEObject Type="Embed" ProgID="" ShapeID="ole_rId19" DrawAspect="Content" ObjectID="_620704621" r:id="rId19"/>
        </w:object>
      </w:r>
    </w:p>
    <w:p>
      <w:pPr>
        <w:pStyle w:val="Normal"/>
        <w:spacing w:lineRule="exact" w:line="320"/>
        <w:jc w:val="center"/>
        <w:rPr/>
      </w:pPr>
      <w:r>
        <w:rPr/>
        <w:t>题</w:t>
      </w:r>
      <w:r>
        <w:rPr>
          <w:lang w:val="en-US" w:eastAsia="zh-CN"/>
        </w:rPr>
        <w:t>11</w:t>
      </w:r>
      <w:r>
        <w:rPr/>
        <w:t>图</w:t>
      </w:r>
    </w:p>
    <w:p>
      <w:pPr>
        <w:pStyle w:val="Normal"/>
        <w:spacing w:lineRule="auto" w:line="276"/>
        <w:ind w:start="420" w:end="0"/>
        <w:rPr>
          <w:szCs w:val="21"/>
        </w:rPr>
      </w:pPr>
      <w:r>
        <w:rPr>
          <w:szCs w:val="21"/>
        </w:rPr>
        <w:t>（</w:t>
      </w:r>
      <w:r>
        <w:rPr>
          <w:szCs w:val="21"/>
        </w:rPr>
        <w:t>1</w:t>
      </w:r>
      <w:r>
        <w:rPr>
          <w:szCs w:val="21"/>
        </w:rPr>
        <w:t>）粗车端面、</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2</w:t>
      </w:r>
      <w:r>
        <w:rPr>
          <w:szCs w:val="21"/>
        </w:rPr>
        <w:t>）粗车另一</w:t>
      </w:r>
      <w:r>
        <w:rPr>
          <w:rFonts w:cs="宋体"/>
          <w:szCs w:val="21"/>
        </w:rPr>
        <w:t>端面</w:t>
      </w:r>
      <w:r>
        <w:rPr>
          <w:szCs w:val="21"/>
        </w:rPr>
        <w:t>、</w:t>
      </w:r>
      <w:r>
        <w:rPr>
          <w:szCs w:val="21"/>
        </w:rPr>
        <w:t>Φ</w:t>
      </w:r>
      <w:r>
        <w:rPr>
          <w:szCs w:val="21"/>
        </w:rPr>
        <w:t>50</w:t>
      </w:r>
      <w:r>
        <w:rPr>
          <w:szCs w:val="21"/>
        </w:rPr>
        <w:t>外圆、</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3</w:t>
      </w:r>
      <w:r>
        <w:rPr>
          <w:szCs w:val="21"/>
        </w:rPr>
        <w:t>）精车</w:t>
      </w:r>
      <w:r>
        <w:rPr>
          <w:szCs w:val="21"/>
        </w:rPr>
        <w:t>Φ</w:t>
      </w:r>
      <w:r>
        <w:rPr>
          <w:szCs w:val="21"/>
        </w:rPr>
        <w:t>50</w:t>
      </w:r>
      <w:r>
        <w:rPr>
          <w:szCs w:val="21"/>
        </w:rPr>
        <w:t>外圆、</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4</w:t>
      </w:r>
      <w:r>
        <w:rPr>
          <w:szCs w:val="21"/>
        </w:rPr>
        <w:t>）精车另一端</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5</w:t>
      </w:r>
      <w:r>
        <w:rPr>
          <w:szCs w:val="21"/>
        </w:rPr>
        <w:t>）铣键槽；</w:t>
      </w:r>
    </w:p>
    <w:p>
      <w:pPr>
        <w:pStyle w:val="Normal"/>
        <w:spacing w:lineRule="auto" w:line="276"/>
        <w:ind w:hanging="525" w:start="1260" w:end="0"/>
        <w:rPr>
          <w:szCs w:val="21"/>
        </w:rPr>
      </w:pPr>
      <w:r>
        <w:rPr>
          <w:szCs w:val="21"/>
        </w:rPr>
        <w:t>（</w:t>
      </w:r>
      <w:r>
        <w:rPr>
          <w:szCs w:val="21"/>
        </w:rPr>
        <w:t>6</w:t>
      </w:r>
      <w:r>
        <w:rPr>
          <w:szCs w:val="21"/>
        </w:rPr>
        <w:t>）</w:t>
      </w:r>
      <w:r>
        <w:rPr>
          <w:szCs w:val="21"/>
        </w:rPr>
        <w:t>Φ</w:t>
      </w:r>
      <w:r>
        <w:rPr>
          <w:szCs w:val="21"/>
        </w:rPr>
        <w:t>50</w:t>
      </w:r>
      <w:r>
        <w:rPr>
          <w:szCs w:val="21"/>
        </w:rPr>
        <w:t>外圆表面淬火；</w:t>
      </w:r>
    </w:p>
    <w:p>
      <w:pPr>
        <w:pStyle w:val="Normal"/>
        <w:spacing w:lineRule="auto" w:line="276"/>
        <w:ind w:hanging="525" w:start="1260" w:end="0"/>
        <w:rPr>
          <w:szCs w:val="21"/>
        </w:rPr>
      </w:pPr>
      <w:r>
        <w:rPr>
          <w:szCs w:val="21"/>
        </w:rPr>
        <w:t>（</w:t>
      </w:r>
      <w:r>
        <w:rPr>
          <w:szCs w:val="21"/>
        </w:rPr>
        <w:t>7</w:t>
      </w:r>
      <w:r>
        <w:rPr>
          <w:szCs w:val="21"/>
        </w:rPr>
        <w:t>）磨削</w:t>
      </w:r>
      <w:r>
        <w:rPr>
          <w:szCs w:val="21"/>
        </w:rPr>
        <w:t>Φ</w:t>
      </w:r>
      <w:r>
        <w:rPr>
          <w:szCs w:val="21"/>
        </w:rPr>
        <w:t>50</w:t>
      </w:r>
      <w:r>
        <w:rPr>
          <w:szCs w:val="21"/>
        </w:rPr>
        <w:t>外圆。</w:t>
      </w:r>
    </w:p>
    <w:p>
      <w:pPr>
        <w:pStyle w:val="Normal"/>
        <w:spacing w:lineRule="auto" w:line="276"/>
        <w:ind w:hanging="1260" w:start="1575" w:end="0"/>
        <w:rPr/>
      </w:pPr>
      <w:r>
        <w:rPr/>
        <w:t>【</w:t>
      </w:r>
      <w:r>
        <w:rPr>
          <w:rFonts w:eastAsia="黑体"/>
        </w:rPr>
        <w:t>评分参考</w:t>
      </w:r>
      <w:r>
        <w:rPr/>
        <w:t>】前后顺序基本</w:t>
      </w:r>
      <w:r>
        <w:rPr>
          <w:rFonts w:cs="宋体"/>
          <w:szCs w:val="21"/>
        </w:rPr>
        <w:t>正确</w:t>
      </w:r>
      <w:r>
        <w:rPr/>
        <w:t>4</w:t>
      </w:r>
      <w:r>
        <w:rPr/>
        <w:t>分；热处理位置正确</w:t>
      </w:r>
      <w:r>
        <w:rPr/>
        <w:t>3</w:t>
      </w:r>
      <w:r>
        <w:rPr/>
        <w:t>分；粗精加工分开</w:t>
      </w:r>
      <w:r>
        <w:rPr/>
        <w:t>3</w:t>
      </w:r>
      <w:r>
        <w:rPr/>
        <w:t>分。</w:t>
      </w:r>
    </w:p>
    <w:p>
      <w:pPr>
        <w:pStyle w:val="Normal"/>
        <w:widowControl/>
        <w:tabs>
          <w:tab w:val="clear" w:pos="425"/>
          <w:tab w:val="left" w:pos="3403" w:leader="none"/>
        </w:tabs>
        <w:autoSpaceDE w:val="false"/>
        <w:spacing w:lineRule="auto" w:line="360" w:before="0" w:after="120"/>
        <w:ind w:hanging="504" w:start="504" w:end="0"/>
        <w:jc w:val="both"/>
        <w:textAlignment w:val="bottom"/>
        <w:rPr/>
      </w:pPr>
      <w:r>
        <w:rPr/>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numPr>
          <w:ilvl w:val="0"/>
          <w:numId w:val="3"/>
        </w:numPr>
        <w:spacing w:lineRule="auto" w:line="240"/>
        <w:jc w:val="both"/>
        <w:rPr>
          <w:rFonts w:ascii="宋体" w:hAnsi="宋体"/>
          <w:sz w:val="24"/>
        </w:rPr>
      </w:pPr>
      <w:r>
        <w:rPr>
          <w:rFonts w:ascii="宋体" w:hAnsi="宋体"/>
          <w:sz w:val="24"/>
        </w:rPr>
        <w:t>（</w:t>
      </w:r>
      <w:r>
        <w:rPr>
          <w:rFonts w:ascii="宋体" w:hAnsi="宋体"/>
          <w:sz w:val="24"/>
          <w:lang w:val="en-US" w:eastAsia="zh-CN"/>
        </w:rPr>
        <w:t>20</w:t>
      </w:r>
      <w:r>
        <w:rPr>
          <w:rFonts w:ascii="宋体" w:hAnsi="宋体"/>
          <w:sz w:val="24"/>
        </w:rPr>
        <w:t>分）</w:t>
      </w:r>
    </w:p>
    <w:p>
      <w:pPr>
        <w:pStyle w:val="Normal"/>
        <w:spacing w:lineRule="exact" w:line="400"/>
        <w:ind w:hanging="420" w:start="420" w:end="0"/>
        <w:rPr/>
      </w:pPr>
      <w:r>
        <w:rPr/>
        <w:t>批量生产题</w:t>
      </w:r>
      <w:r>
        <w:rPr/>
        <w:t>33</w:t>
      </w:r>
      <w:r>
        <w:rPr/>
        <w:t>图示零件，图（</w:t>
      </w:r>
      <w:r>
        <w:rPr/>
        <w:t>a</w:t>
      </w:r>
      <w:r>
        <w:rPr/>
        <w:t>）为零件图，图（</w:t>
      </w:r>
      <w:r>
        <w:rPr/>
        <w:t>b</w:t>
      </w:r>
      <w:r>
        <w:rPr/>
        <w:t>）为在镗床上加工水平孔保证尺寸</w:t>
      </w:r>
      <w:r>
        <w:rPr/>
        <w:t>40</w:t>
      </w:r>
      <w:r>
        <w:rPr>
          <w:rFonts w:cs="宋体" w:ascii="宋体" w:hAnsi="宋体"/>
        </w:rPr>
        <w:t>±</w:t>
      </w:r>
      <w:r>
        <w:rPr/>
        <w:t>0.16</w:t>
      </w:r>
      <w:r>
        <w:rPr/>
        <w:t>的工序简图（前工序已加工完上下平面保证尺寸</w:t>
      </w:r>
      <w:r>
        <w:rPr/>
        <w:t>150</w:t>
      </w:r>
      <w:r>
        <w:rPr>
          <w:rFonts w:cs="宋体" w:ascii="宋体" w:hAnsi="宋体"/>
        </w:rPr>
        <w:t>±</w:t>
      </w:r>
      <w:r>
        <w:rPr/>
        <w:t>0.06</w:t>
      </w:r>
      <w:r>
        <w:rPr>
          <w:rFonts w:ascii="宋体" w:hAnsi="宋体" w:cs="宋体"/>
        </w:rPr>
        <w:t>）。</w:t>
      </w:r>
      <w:r>
        <w:rPr/>
        <w:t>试分析计算镗孔工序：</w:t>
      </w:r>
    </w:p>
    <w:p>
      <w:pPr>
        <w:pStyle w:val="Normal"/>
        <w:spacing w:lineRule="exact" w:line="400"/>
        <w:ind w:firstLine="315" w:end="0"/>
        <w:rPr/>
      </w:pPr>
      <w:r>
        <w:rPr/>
        <w:t>（</w:t>
      </w:r>
      <w:r>
        <w:rPr/>
        <w:t>1</w:t>
      </w:r>
      <w:r>
        <w:rPr/>
        <w:t>）基准不重合误差是多少？</w:t>
      </w:r>
    </w:p>
    <w:p>
      <w:pPr>
        <w:pStyle w:val="Normal"/>
        <w:spacing w:lineRule="exact" w:line="400"/>
        <w:ind w:firstLine="315" w:end="0"/>
        <w:rPr/>
      </w:pPr>
      <w:r>
        <w:rPr/>
        <w:t>（</w:t>
      </w:r>
      <w:r>
        <w:rPr/>
        <w:t>2</w:t>
      </w:r>
      <w:r>
        <w:rPr/>
        <w:t>）工序尺寸</w:t>
      </w:r>
      <w:r>
        <w:rPr/>
        <w:t>H</w:t>
      </w:r>
      <w:r>
        <w:rPr/>
        <w:t>及偏差是多少？</w:t>
      </w:r>
    </w:p>
    <w:p>
      <w:pPr>
        <w:pStyle w:val="Normal"/>
        <w:jc w:val="center"/>
        <w:rPr/>
      </w:pPr>
      <w:r>
        <w:rPr>
          <w:rFonts w:eastAsia="Times New Roman"/>
        </w:rPr>
        <w:t xml:space="preserve"> </w:t>
      </w:r>
      <w:r>
        <w:rPr/>
        <w:object w:dxaOrig="13733" w:dyaOrig="3742">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377.75pt;height:103.1pt" filled="f" o:ole="">
            <v:imagedata r:id="rId22" o:title=""/>
          </v:shape>
          <o:OLEObject Type="Embed" ProgID="" ShapeID="ole_rId21" DrawAspect="Content" ObjectID="_1723849355" r:id="rId21"/>
        </w:object>
      </w:r>
    </w:p>
    <w:p>
      <w:pPr>
        <w:pStyle w:val="Normal"/>
        <w:jc w:val="center"/>
        <w:rPr/>
      </w:pPr>
      <w:r>
        <w:rPr/>
        <w:t>（</w:t>
      </w:r>
      <w:r>
        <w:rPr/>
        <w:t>a</w:t>
      </w:r>
      <w:r>
        <w:rPr/>
        <w:t>）</w:t>
      </w:r>
      <w:r>
        <w:rPr/>
        <w:tab/>
        <w:tab/>
        <w:tab/>
        <w:tab/>
        <w:tab/>
        <w:tab/>
        <w:tab/>
        <w:tab/>
        <w:tab/>
      </w:r>
      <w:r>
        <w:rPr/>
        <w:t>（</w:t>
      </w:r>
      <w:r>
        <w:rPr/>
        <w:t>b</w:t>
      </w:r>
      <w:r>
        <w:rPr/>
        <w:t>）</w:t>
      </w:r>
    </w:p>
    <w:p>
      <w:pPr>
        <w:pStyle w:val="Normal"/>
        <w:jc w:val="center"/>
        <w:rPr/>
      </w:pPr>
      <w:r>
        <w:rPr/>
        <w:t>题</w:t>
      </w:r>
      <w:r>
        <w:rPr/>
        <w:t>33</w:t>
      </w:r>
      <w:r>
        <w:rPr/>
        <w:t>图</w:t>
      </w:r>
    </w:p>
    <w:p>
      <w:pPr>
        <w:pStyle w:val="Normal"/>
        <w:spacing w:lineRule="auto" w:line="288"/>
        <w:ind w:start="420" w:end="0"/>
        <w:rPr>
          <w:szCs w:val="21"/>
        </w:rPr>
      </w:pPr>
      <w:r>
        <w:rPr>
          <w:szCs w:val="21"/>
        </w:rPr>
        <w:t>（</w:t>
      </w:r>
      <w:r>
        <w:rPr>
          <w:szCs w:val="21"/>
        </w:rPr>
        <w:t>1</w:t>
      </w:r>
      <w:r>
        <w:rPr>
          <w:szCs w:val="21"/>
        </w:rPr>
        <w:t>）基准不重合误差是</w:t>
      </w:r>
      <w:r>
        <w:rPr>
          <w:szCs w:val="21"/>
        </w:rPr>
        <w:t>0.12mm</w:t>
        <w:tab/>
        <w:tab/>
      </w:r>
      <w:r>
        <w:rPr>
          <w:szCs w:val="21"/>
        </w:rPr>
        <w:t>（</w:t>
      </w:r>
      <w:r>
        <w:rPr>
          <w:szCs w:val="21"/>
          <w:lang w:val="en-US" w:eastAsia="zh-CN"/>
        </w:rPr>
        <w:t>4</w:t>
      </w:r>
      <w:r>
        <w:rPr>
          <w:szCs w:val="21"/>
        </w:rPr>
        <w:t>分）</w:t>
      </w:r>
    </w:p>
    <w:p>
      <w:pPr>
        <w:pStyle w:val="Normal"/>
        <w:spacing w:lineRule="auto" w:line="288"/>
        <w:ind w:firstLine="340" w:start="420" w:end="0"/>
        <w:rPr>
          <w:szCs w:val="21"/>
        </w:rPr>
      </w:pPr>
      <w:r>
        <w:rPr>
          <w:szCs w:val="21"/>
        </w:rPr>
        <w:t>（</w:t>
      </w:r>
      <w:r>
        <w:rPr>
          <w:szCs w:val="21"/>
        </w:rPr>
        <w:t>2</w:t>
      </w:r>
      <w:r>
        <w:rPr>
          <w:szCs w:val="21"/>
        </w:rPr>
        <w:t>）建立尺寸链</w:t>
      </w:r>
      <w:r>
        <w:rPr/>
        <w:t>如答</w:t>
      </w:r>
      <w:r>
        <w:rPr/>
        <w:t>33</w:t>
      </w:r>
      <w:r>
        <w:rPr/>
        <w:t>图所示：</w:t>
      </w:r>
      <w:r>
        <w:rPr>
          <w:szCs w:val="21"/>
        </w:rPr>
        <w:t>（</w:t>
      </w:r>
      <w:r>
        <w:rPr>
          <w:szCs w:val="21"/>
          <w:lang w:val="en-US" w:eastAsia="zh-CN"/>
        </w:rPr>
        <w:t>4</w:t>
      </w:r>
      <w:r>
        <w:rPr>
          <w:szCs w:val="21"/>
        </w:rPr>
        <mc:AlternateContent>
          <mc:Choice Requires="wpg">
            <w:drawing>
              <wp:anchor behindDoc="0" distT="0" distB="0" distL="114935" distR="114935" simplePos="0" locked="0" layoutInCell="0" allowOverlap="1" relativeHeight="17">
                <wp:simplePos x="0" y="0"/>
                <wp:positionH relativeFrom="character">
                  <wp:posOffset>174625</wp:posOffset>
                </wp:positionH>
                <wp:positionV relativeFrom="line">
                  <wp:posOffset>-156845</wp:posOffset>
                </wp:positionV>
                <wp:extent cx="2056765" cy="1191260"/>
                <wp:effectExtent l="5080" t="0" r="0" b="0"/>
                <wp:wrapNone/>
                <wp:docPr id="6" name="组合 6"/>
                <a:graphic xmlns:a="http://schemas.openxmlformats.org/drawingml/2006/main">
                  <a:graphicData uri="http://schemas.microsoft.com/office/word/2010/wordprocessingGroup">
                    <wpg:wgp>
                      <wpg:cNvGrpSpPr/>
                      <wpg:grpSpPr>
                        <a:xfrm>
                          <a:off x="0" y="0"/>
                          <a:ext cx="2056680" cy="1191240"/>
                          <a:chOff x="0" y="0"/>
                          <a:chExt cx="2056680" cy="1191240"/>
                        </a:xfrm>
                      </wpg:grpSpPr>
                      <wps:wsp>
                        <wps:cNvSpPr txBox="1"/>
                        <wps:spPr>
                          <a:xfrm>
                            <a:off x="667440" y="897840"/>
                            <a:ext cx="718200" cy="293400"/>
                          </a:xfrm>
                          <a:prstGeom prst="rect">
                            <a:avLst/>
                          </a:prstGeom>
                          <a:solidFill>
                            <a:srgbClr val="ffffff"/>
                          </a:solidFill>
                          <a:ln w="0">
                            <a:noFill/>
                          </a:ln>
                        </wps:spPr>
                        <wps:txb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wps:txbx>
                        <wps:bodyPr wrap="square" anchor="t">
                          <a:noAutofit/>
                        </wps:bodyPr>
                      </wps:wsp>
                      <wpg:grpSp>
                        <wpg:cNvGrpSpPr/>
                        <wpg:grpSpPr>
                          <a:xfrm>
                            <a:off x="0" y="0"/>
                            <a:ext cx="2056680" cy="1089720"/>
                          </a:xfrm>
                        </wpg:grpSpPr>
                        <wps:wsp>
                          <wps:cNvSpPr/>
                          <wps:nvSpPr>
                            <wps:cNvPr id="7" name=""/>
                            <wps:cNvSpPr/>
                          </wps:nvSpPr>
                          <wps:spPr>
                            <a:xfrm>
                              <a:off x="669240" y="359280"/>
                              <a:ext cx="1387440" cy="730080"/>
                            </a:xfrm>
                            <a:prstGeom prst="rect">
                              <a:avLst/>
                            </a:prstGeom>
                            <a:noFill/>
                            <a:ln w="0">
                              <a:noFill/>
                            </a:ln>
                          </wps:spPr>
                          <wps:bodyPr/>
                        </wps:wsp>
                        <wpg:grpSp>
                          <wpg:cNvGrpSpPr/>
                          <wpg:grpSpPr>
                            <a:xfrm>
                              <a:off x="0" y="132840"/>
                              <a:ext cx="1049040" cy="531000"/>
                            </a:xfrm>
                          </wpg:grpSpPr>
                          <wpg:grpSp>
                            <wpg:cNvGrpSpPr/>
                            <wpg:grpSpPr>
                              <a:xfrm>
                                <a:off x="1440" y="66600"/>
                                <a:ext cx="1047600" cy="398160"/>
                              </a:xfrm>
                            </wpg:grpSpPr>
                            <wps:wsp>
                              <wps:cNvSpPr/>
                              <wps:spPr>
                                <a:xfrm>
                                  <a:off x="321840" y="198720"/>
                                  <a:ext cx="0" cy="199440"/>
                                </a:xfrm>
                                <a:prstGeom prst="line">
                                  <a:avLst/>
                                </a:prstGeom>
                                <a:ln w="9360">
                                  <a:solidFill>
                                    <a:srgbClr val="000000"/>
                                  </a:solidFill>
                                  <a:miter/>
                                </a:ln>
                              </wps:spPr>
                              <wps:style>
                                <a:lnRef idx="0"/>
                                <a:fillRef idx="0"/>
                                <a:effectRef idx="0"/>
                                <a:fontRef idx="minor"/>
                              </wps:style>
                              <wps:bodyPr/>
                            </wps:wsp>
                            <wps:wsp>
                              <wps:cNvSpPr/>
                              <wps:spPr>
                                <a:xfrm>
                                  <a:off x="0" y="0"/>
                                  <a:ext cx="104760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321840" y="331560"/>
                                  <a:ext cx="7250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0" y="331560"/>
                                  <a:ext cx="3218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g:grpSp>
                          <wps:wsp>
                            <wps:cNvSpPr/>
                            <wps:spPr>
                              <a:xfrm>
                                <a:off x="1049040" y="0"/>
                                <a:ext cx="0" cy="531000"/>
                              </a:xfrm>
                              <a:prstGeom prst="line">
                                <a:avLst/>
                              </a:prstGeom>
                              <a:ln w="9360">
                                <a:solidFill>
                                  <a:srgbClr val="000000"/>
                                </a:solidFill>
                                <a:miter/>
                              </a:ln>
                            </wps:spPr>
                            <wps:style>
                              <a:lnRef idx="0"/>
                              <a:fillRef idx="0"/>
                              <a:effectRef idx="0"/>
                              <a:fontRef idx="minor"/>
                            </wps:style>
                            <wps:bodyPr/>
                          </wps:wsp>
                          <wps:wsp>
                            <wps:cNvSpPr/>
                            <wps:spPr>
                              <a:xfrm>
                                <a:off x="0" y="0"/>
                                <a:ext cx="0" cy="531000"/>
                              </a:xfrm>
                              <a:prstGeom prst="line">
                                <a:avLst/>
                              </a:prstGeom>
                              <a:ln w="9360">
                                <a:solidFill>
                                  <a:srgbClr val="000000"/>
                                </a:solidFill>
                                <a:miter/>
                              </a:ln>
                            </wps:spPr>
                            <wps:style>
                              <a:lnRef idx="0"/>
                              <a:fillRef idx="0"/>
                              <a:effectRef idx="0"/>
                              <a:fontRef idx="minor"/>
                            </wps:style>
                            <wps:bodyPr/>
                          </wps:wsp>
                        </wpg:grpSp>
                        <pic:pic xmlns:pic="http://schemas.openxmlformats.org/drawingml/2006/picture">
                          <pic:nvPicPr>
                            <pic:cNvPr id="8" name="Object 64" descr=""/>
                            <pic:cNvPicPr/>
                          </pic:nvPicPr>
                          <pic:blipFill>
                            <a:blip r:embed="rId23"/>
                            <a:stretch/>
                          </pic:blipFill>
                          <pic:spPr>
                            <a:xfrm>
                              <a:off x="14760" y="330840"/>
                              <a:ext cx="319320" cy="193680"/>
                            </a:xfrm>
                            <a:prstGeom prst="rect">
                              <a:avLst/>
                            </a:prstGeom>
                            <a:ln w="0">
                              <a:noFill/>
                            </a:ln>
                          </pic:spPr>
                        </pic:pic>
                        <pic:pic xmlns:pic="http://schemas.openxmlformats.org/drawingml/2006/picture">
                          <pic:nvPicPr>
                            <pic:cNvPr id="9" name="Object 65" descr=""/>
                            <pic:cNvPicPr/>
                          </pic:nvPicPr>
                          <pic:blipFill>
                            <a:blip r:embed="rId24"/>
                            <a:stretch/>
                          </pic:blipFill>
                          <pic:spPr>
                            <a:xfrm>
                              <a:off x="400680" y="0"/>
                              <a:ext cx="473760" cy="193680"/>
                            </a:xfrm>
                            <a:prstGeom prst="rect">
                              <a:avLst/>
                            </a:prstGeom>
                            <a:ln w="0">
                              <a:noFill/>
                            </a:ln>
                          </pic:spPr>
                        </pic:pic>
                        <wps:wsp>
                          <wps:cNvSpPr txBox="1"/>
                          <wps:spPr>
                            <a:xfrm>
                              <a:off x="508680" y="330840"/>
                              <a:ext cx="280800" cy="290160"/>
                            </a:xfrm>
                            <a:prstGeom prst="rect">
                              <a:avLst/>
                            </a:prstGeom>
                            <a:noFill/>
                            <a:ln w="0">
                              <a:noFill/>
                            </a:ln>
                          </wps:spPr>
                          <wps:txb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wps:txbx>
                          <wps:bodyPr wrap="square" anchor="t">
                            <a:noAutofit/>
                          </wps:bodyPr>
                        </wps:wsp>
                      </wpg:grpSp>
                    </wpg:wgp>
                  </a:graphicData>
                </a:graphic>
              </wp:anchor>
            </w:drawing>
          </mc:Choice>
          <mc:Fallback>
            <w:pict>
              <v:group id="shape_0" alt="组合 6" style="position:absolute;margin-left:13.75pt;margin-top:12.35pt;width:161.9pt;height:93.8pt" coordorigin="275,247" coordsize="3238,1876">
                <v:shapetype id="_x0000_t202" coordsize="21600,21600" o:spt="202" path="m,l,21600l21600,21600l21600,xe">
                  <v:stroke joinstyle="miter"/>
                  <v:path gradientshapeok="t" o:connecttype="rect"/>
                </v:shapetype>
                <v:shape id="shape_0" fillcolor="white" stroked="f" o:allowincell="f" style="position:absolute;left:1326;top:1661;width:1130;height:461;mso-wrap-style:square;v-text-anchor:top;mso-position-horizontal-relative:char" type="_x0000_t202">
                  <v:textbo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v:textbox>
                  <v:fill o:detectmouseclick="t" type="solid" color2="black"/>
                  <v:stroke color="#3465a4" joinstyle="round" endcap="flat"/>
                  <w10:wrap type="none"/>
                </v:shape>
                <v:group id="shape_0" alt="画布 8" style="position:absolute;left:275;top:247;width:3238;height:1716">
                  <v:rect id="shape_0" stroked="f" o:allowincell="f" style="position:absolute;left:1329;top:813;width:2184;height:1149;mso-wrap-style:none;v-text-anchor:middle;mso-position-horizontal-relative:char">
                    <v:fill o:detectmouseclick="t" on="false"/>
                    <v:stroke color="#3465a4" joinstyle="round" endcap="flat"/>
                    <w10:wrap type="none"/>
                  </v:rect>
                  <v:group id="shape_0" alt="组合 10" style="position:absolute;left:275;top:456;width:1651;height:835">
                    <v:group id="shape_0" alt="组合 11" style="position:absolute;left:277;top:561;width:1649;height:626">
                      <v:line id="shape_0" from="784,874" to="784,1187" ID="直线 12" stroked="t" o:allowincell="f" style="position:absolute;mso-position-horizontal-relative:char">
                        <v:stroke color="black" weight="9360" joinstyle="miter" endcap="flat"/>
                        <v:fill o:detectmouseclick="t" on="false"/>
                        <w10:wrap type="none"/>
                      </v:line>
                      <v:line id="shape_0" from="277,561" to="1926,561" ID="直线 13"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784,1083" to="1925,1083" ID="直线 14"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277,1083" to="783,1083" ID="直线 15"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group>
                    <v:line id="shape_0" from="1927,456" to="1927,1291" ID="直线 16" stroked="t" o:allowincell="f" style="position:absolute;mso-position-horizontal-relative:char">
                      <v:stroke color="black" weight="9360" joinstyle="miter" endcap="flat"/>
                      <v:fill o:detectmouseclick="t" on="false"/>
                      <w10:wrap type="none"/>
                    </v:line>
                    <v:line id="shape_0" from="275,456" to="275,1291" ID="直线 17" stroked="t" o:allowincell="f" style="position:absolute;mso-position-horizontal-relative:char">
                      <v:stroke color="black" weight="9360" joinstyle="miter" endcap="flat"/>
                      <v:fill o:detectmouseclick="t" on="false"/>
                      <w10:wrap type="none"/>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bject 64" stroked="f" o:allowincell="f" style="position:absolute;left:298;top:768;width:502;height:304;mso-wrap-style:none;v-text-anchor:middle;mso-position-horizontal-relative:char" type="_x0000_t75">
                    <v:imagedata r:id="rId25" o:detectmouseclick="t"/>
                    <v:stroke color="#3465a4" joinstyle="round" endcap="flat"/>
                    <w10:wrap type="none"/>
                  </v:shape>
                  <v:shape id="shape_0" ID="Object 65" stroked="f" o:allowincell="f" style="position:absolute;left:906;top:247;width:745;height:304;mso-wrap-style:none;v-text-anchor:middle;mso-position-horizontal-relative:char" type="_x0000_t75">
                    <v:imagedata r:id="rId26" o:detectmouseclick="t"/>
                    <v:stroke color="#3465a4" joinstyle="round" endcap="flat"/>
                    <w10:wrap type="none"/>
                  </v:shape>
                  <v:shape id="shape_0" stroked="f" o:allowincell="f" style="position:absolute;left:1076;top:768;width:441;height:456;mso-wrap-style:none;v-text-anchor:top;mso-position-horizontal-relative:char" type="_x0000_t202">
                    <v:textbo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v:textbox>
                    <v:fill o:detectmouseclick="t" on="false"/>
                    <v:stroke color="#3465a4" joinstyle="round" endcap="flat"/>
                    <w10:wrap type="none"/>
                  </v:shape>
                </v:group>
              </v:group>
            </w:pict>
          </mc:Fallback>
        </mc:AlternateContent>
      </w:r>
      <w:r>
        <w:rPr>
          <w:szCs w:val="21"/>
        </w:rPr>
        <w:t>分）</w:t>
      </w:r>
    </w:p>
    <w:p>
      <w:pPr>
        <w:pStyle w:val="Normal"/>
        <w:spacing w:lineRule="auto" w:line="288"/>
        <w:ind w:firstLine="1302" w:end="0"/>
        <w:rPr>
          <w:szCs w:val="21"/>
        </w:rPr>
      </w:pPr>
      <w:r>
        <w:rPr>
          <w:szCs w:val="21"/>
        </w:rPr>
        <w:t>封闭环为：</w:t>
      </w:r>
      <w:r>
        <w:rPr>
          <w:szCs w:val="21"/>
        </w:rPr>
        <w:object w:dxaOrig="858" w:dyaOrig="26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5.9pt;height:13.5pt" filled="f" o:ole="">
            <v:imagedata r:id="rId28" o:title=""/>
          </v:shape>
          <o:OLEObject Type="Embed" ProgID="" ShapeID="ole_rId27" DrawAspect="Content" ObjectID="_1902304924" r:id="rId27"/>
        </w:object>
      </w:r>
      <w:r>
        <w:rPr>
          <w:szCs w:val="21"/>
        </w:rPr>
        <w:t>（</w:t>
      </w:r>
      <w:r>
        <w:rPr>
          <w:szCs w:val="21"/>
          <w:lang w:val="en-US" w:eastAsia="zh-CN"/>
        </w:rPr>
        <w:t>4</w:t>
      </w:r>
      <w:r>
        <w:rPr>
          <w:szCs w:val="21"/>
        </w:rPr>
        <w:t>分）</w:t>
      </w:r>
    </w:p>
    <w:p>
      <w:pPr>
        <w:pStyle w:val="Normal"/>
        <w:spacing w:lineRule="auto" w:line="288"/>
        <w:ind w:firstLine="1302" w:end="0"/>
        <w:rPr/>
      </w:pPr>
      <w:r>
        <w:rPr/>
        <w:t>根据尺寸链的基本计算公式得：</w:t>
      </w:r>
    </w:p>
    <w:p>
      <w:pPr>
        <w:pStyle w:val="Normal"/>
        <w:spacing w:lineRule="auto" w:line="288"/>
        <w:ind w:firstLine="1302" w:end="0"/>
        <w:rPr/>
      </w:pPr>
      <w:r>
        <w:rPr>
          <w:szCs w:val="21"/>
        </w:rPr>
        <w:object w:dxaOrig="819" w:dyaOrig="26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43.8pt;height:13.5pt" filled="f" o:ole="">
            <v:imagedata r:id="rId30" o:title=""/>
          </v:shape>
          <o:OLEObject Type="Embed" ProgID="" ShapeID="ole_rId29" DrawAspect="Content" ObjectID="_1452744393" r:id="rId29"/>
        </w:object>
      </w:r>
      <w:r>
        <w:rPr>
          <w:szCs w:val="21"/>
        </w:rPr>
        <w:t>（</w:t>
      </w:r>
      <w:r>
        <w:rPr>
          <w:szCs w:val="21"/>
          <w:lang w:val="en-US" w:eastAsia="zh-CN"/>
        </w:rPr>
        <w:t>8</w:t>
      </w:r>
      <w:r>
        <w:rPr>
          <w:szCs w:val="21"/>
        </w:rPr>
        <w:t>分）</w:t>
      </w:r>
    </w:p>
    <w:p>
      <w:pPr>
        <w:pStyle w:val="Normal"/>
        <w:numPr>
          <w:ilvl w:val="0"/>
          <w:numId w:val="0"/>
        </w:numPr>
        <w:spacing w:lineRule="auto" w:line="240"/>
        <w:ind w:hanging="0" w:start="0"/>
        <w:jc w:val="both"/>
        <w:rPr>
          <w:rFonts w:ascii="宋体" w:hAnsi="宋体"/>
          <w:sz w:val="24"/>
        </w:rPr>
      </w:pPr>
      <w:r>
        <w:rPr>
          <w:rFonts w:ascii="宋体" w:hAnsi="宋体"/>
          <w:sz w:val="24"/>
        </w:rPr>
      </w:r>
    </w:p>
    <w:p>
      <w:pPr>
        <w:pStyle w:val="Normal"/>
        <w:spacing w:lineRule="auto" w:line="240"/>
        <w:jc w:val="both"/>
        <w:rPr>
          <w:rFonts w:ascii="宋体" w:hAnsi="宋体"/>
          <w:sz w:val="24"/>
        </w:rPr>
      </w:pPr>
      <w:r>
        <w:rPr>
          <w:rFonts w:ascii="宋体" w:hAnsi="宋体"/>
          <w:sz w:val="24"/>
        </w:rPr>
      </w:r>
    </w:p>
    <w:p>
      <w:pPr>
        <w:pStyle w:val="Normal"/>
        <w:spacing w:lineRule="auto" w:line="240"/>
        <w:jc w:val="both"/>
        <w:rPr/>
      </w:pPr>
      <w:r>
        <w:rPr/>
      </w:r>
    </w:p>
    <w:p>
      <w:pPr>
        <w:pStyle w:val="Normal"/>
        <w:spacing w:lineRule="auto" w:line="240"/>
        <w:jc w:val="both"/>
        <w:rPr/>
      </w:pPr>
      <w:r>
        <w:rPr/>
      </w:r>
    </w:p>
    <w:sectPr>
      <w:footerReference w:type="default" r:id="rId31"/>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Wingdings">
    <w:charset w:val="02"/>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5</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5</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12"/>
      <w:numFmt w:val="decimal"/>
      <w:suff w:val="space"/>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Char">
    <w:name w:val="解释 Char"/>
    <w:qFormat/>
    <w:rPr>
      <w:rFonts w:eastAsia="宋体"/>
      <w:sz w:val="2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8"/>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Style19">
    <w:name w:val="解释"/>
    <w:basedOn w:val="Normal"/>
    <w:next w:val="Normal"/>
    <w:qFormat/>
    <w:pPr/>
    <w:rPr>
      <w:rFonts w:eastAsia="宋体"/>
      <w:sz w:val="2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oleObject" Target="embeddings/oleObject4.bin"/><Relationship Id="rId12" Type="http://schemas.openxmlformats.org/officeDocument/2006/relationships/image" Target="media/image4.wmf"/><Relationship Id="rId13" Type="http://schemas.openxmlformats.org/officeDocument/2006/relationships/oleObject" Target="embeddings/oleObject5.bin"/><Relationship Id="rId14" Type="http://schemas.openxmlformats.org/officeDocument/2006/relationships/image" Target="media/image7.wmf"/><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oleObject" Target="embeddings/oleObject6.bin"/><Relationship Id="rId18" Type="http://schemas.openxmlformats.org/officeDocument/2006/relationships/image" Target="media/image3.wmf"/><Relationship Id="rId19" Type="http://schemas.openxmlformats.org/officeDocument/2006/relationships/oleObject" Target="embeddings/oleObject7.bin"/><Relationship Id="rId20" Type="http://schemas.openxmlformats.org/officeDocument/2006/relationships/image" Target="media/image8.wmf"/><Relationship Id="rId21" Type="http://schemas.openxmlformats.org/officeDocument/2006/relationships/oleObject" Target="embeddings/oleObject8.bin"/><Relationship Id="rId22" Type="http://schemas.openxmlformats.org/officeDocument/2006/relationships/image" Target="media/image9.wmf"/><Relationship Id="rId23" Type="http://schemas.openxmlformats.org/officeDocument/2006/relationships/image" Target="media/image10.wmf"/><Relationship Id="rId24" Type="http://schemas.openxmlformats.org/officeDocument/2006/relationships/image" Target="media/image11.wmf"/><Relationship Id="rId25" Type="http://schemas.openxmlformats.org/officeDocument/2006/relationships/image" Target="media/image10.wmf"/><Relationship Id="rId26" Type="http://schemas.openxmlformats.org/officeDocument/2006/relationships/image" Target="media/image11.wmf"/><Relationship Id="rId27" Type="http://schemas.openxmlformats.org/officeDocument/2006/relationships/oleObject" Target="embeddings/oleObject9.bin"/><Relationship Id="rId28" Type="http://schemas.openxmlformats.org/officeDocument/2006/relationships/image" Target="media/image12.wmf"/><Relationship Id="rId29" Type="http://schemas.openxmlformats.org/officeDocument/2006/relationships/oleObject" Target="embeddings/oleObject10.bin"/><Relationship Id="rId30" Type="http://schemas.openxmlformats.org/officeDocument/2006/relationships/image" Target="media/image13.wmf"/><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闻敬谦</cp:lastModifiedBy>
  <cp:lastPrinted>2019-05-16T15:17:00Z</cp:lastPrinted>
  <dcterms:modified xsi:type="dcterms:W3CDTF">2025-06-09T03:36:15Z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F45815164DFB44B393187C1397AC7B89_12</vt:lpwstr>
  </property>
  <property fmtid="{D5CDD505-2E9C-101B-9397-08002B2CF9AE}" pid="3" name="KSOProductBuildVer">
    <vt:lpwstr>2052-12.1.0.20784</vt:lpwstr>
  </property>
  <property fmtid="{D5CDD505-2E9C-101B-9397-08002B2CF9AE}" pid="4" name="KSOTemplateDocerSaveRecord">
    <vt:lpwstr>eyJoZGlkIjoiODJhNTVlYjQ3MmIwZTJmMWFmNmVkYWJlZjYzYzljYjkiLCJ1c2VySWQiOiIxNjc5NjY4MzEwIn0=</vt:lpwstr>
  </property>
</Properties>
</file>