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media/image1.wmf" ContentType="image/x-wmf"/>
  <Override PartName="/word/media/image2.png" ContentType="image/png"/>
  <Override PartName="/word/media/image3.png" ContentType="image/png"/>
  <Override PartName="/word/media/image4.png" ContentType="image/png"/>
  <Override PartName="/word/media/image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11.wmf" ContentType="image/x-wmf"/>
  <Override PartName="/word/media/image8.wmf" ContentType="image/x-wmf"/>
  <Override PartName="/word/media/image12.wmf" ContentType="image/x-wmf"/>
  <Override PartName="/word/media/image9.wmf" ContentType="image/x-wmf"/>
  <Override PartName="/word/media/image13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10036309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20</w:t>
      </w:r>
      <w:r>
        <w:rPr>
          <w:sz w:val="24"/>
        </w:rPr>
        <w:t xml:space="preserve"> 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1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eastAsia="黑体" w:cs="宋体" w:ascii="黑体" w:hAnsi="黑体"/>
          <w:b/>
          <w:sz w:val="32"/>
          <w:szCs w:val="32"/>
        </w:rPr>
        <w:t>201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8</w:t>
      </w:r>
      <w:r>
        <w:rPr>
          <w:rFonts w:ascii="黑体" w:hAnsi="黑体" w:cs="宋体" w:eastAsia="黑体"/>
          <w:b/>
          <w:sz w:val="32"/>
          <w:szCs w:val="32"/>
        </w:rPr>
        <w:t>级工业工程专业机械制造工程学</w:t>
      </w:r>
      <w:r>
        <w:rPr>
          <w:rFonts w:eastAsia="黑体" w:cs="宋体" w:ascii="黑体" w:hAnsi="黑体"/>
          <w:b/>
          <w:sz w:val="32"/>
          <w:szCs w:val="32"/>
        </w:rPr>
        <w:t>B</w:t>
      </w:r>
      <w:r>
        <w:rPr>
          <w:rFonts w:ascii="黑体" w:hAnsi="黑体" w:cs="宋体" w:eastAsia="黑体"/>
          <w:b/>
          <w:sz w:val="32"/>
          <w:szCs w:val="32"/>
          <w:lang w:val="en-US" w:eastAsia="zh-CN"/>
        </w:rPr>
        <w:t>补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/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工位</w:t>
      </w:r>
      <w:r>
        <w:rPr>
          <w:color w:val="FF0000"/>
          <w:sz w:val="24"/>
        </w:rPr>
        <w:tab/>
      </w:r>
      <w:r>
        <w:rPr>
          <w:sz w:val="24"/>
        </w:rPr>
        <w:t xml:space="preserve"> 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1800" w:leader="none"/>
        </w:tabs>
        <w:spacing w:lineRule="auto" w:line="600" w:before="0" w:after="120"/>
        <w:ind w:hanging="0" w:start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color w:val="FF0000"/>
          <w:sz w:val="24"/>
        </w:rPr>
      </w:pPr>
      <w:r>
        <w:rPr>
          <w:sz w:val="24"/>
          <w:lang w:val="en-US" w:eastAsia="zh-CN"/>
        </w:rPr>
        <w:t>欠定位</w:t>
      </w:r>
      <w:r>
        <w:rPr>
          <w:rFonts w:eastAsia="Times New Roman"/>
          <w:color w:val="FF0000"/>
          <w:sz w:val="24"/>
        </w:rPr>
        <w:t xml:space="preserve">   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1800" w:leader="none"/>
        </w:tabs>
        <w:spacing w:lineRule="auto" w:line="600" w:before="0" w:after="120"/>
        <w:ind w:hanging="0" w:start="480" w:end="0"/>
        <w:jc w:val="start"/>
        <w:rPr>
          <w:color w:val="FF0000"/>
          <w:sz w:val="24"/>
        </w:rPr>
      </w:pPr>
      <w:r>
        <w:rPr>
          <w:color w:val="FF0000"/>
          <w:sz w:val="24"/>
        </w:rPr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color w:val="FF0000"/>
          <w:sz w:val="24"/>
        </w:rPr>
      </w:pPr>
      <w:r>
        <w:rPr>
          <w:sz w:val="24"/>
        </w:rPr>
        <w:t>加工余量</w:t>
      </w:r>
      <w:r>
        <w:rPr>
          <w:rFonts w:eastAsia="Times New Roman"/>
          <w:color w:val="FF0000"/>
          <w:sz w:val="24"/>
        </w:rPr>
        <w:t xml:space="preserve">    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1800" w:leader="none"/>
        </w:tabs>
        <w:spacing w:lineRule="auto" w:line="600" w:before="0" w:after="120"/>
        <w:ind w:hanging="0" w:start="480" w:end="0"/>
        <w:jc w:val="start"/>
        <w:rPr>
          <w:color w:val="FF0000"/>
          <w:sz w:val="24"/>
        </w:rPr>
      </w:pPr>
      <w:r>
        <w:rPr>
          <w:color w:val="FF0000"/>
          <w:sz w:val="24"/>
        </w:rPr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误差复映</w:t>
      </w:r>
      <w:r>
        <w:rPr>
          <w:rFonts w:eastAsia="Times New Roman"/>
          <w:sz w:val="24"/>
        </w:rPr>
        <w:t xml:space="preserve">    </w:t>
      </w:r>
    </w:p>
    <w:p>
      <w:pPr>
        <w:pStyle w:val="Normal"/>
        <w:numPr>
          <w:ilvl w:val="0"/>
          <w:numId w:val="0"/>
        </w:numPr>
        <w:tabs>
          <w:tab w:val="clear" w:pos="425"/>
          <w:tab w:val="left" w:pos="1800" w:leader="none"/>
        </w:tabs>
        <w:spacing w:lineRule="auto" w:line="600" w:before="0" w:after="120"/>
        <w:ind w:hanging="0" w:start="480" w:end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425"/>
          <w:tab w:val="left" w:pos="1800" w:leader="none"/>
        </w:tabs>
        <w:spacing w:lineRule="auto" w:line="60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</w:t>
      </w:r>
      <w:r>
        <w:rPr>
          <w:sz w:val="24"/>
          <w:lang w:val="en-US" w:eastAsia="zh-CN"/>
        </w:rPr>
        <w:t>工艺基准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object w:dxaOrig="2880" w:dyaOrig="1754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286.45pt;margin-top:4.05pt;width:144.5pt;height:88pt;mso-wrap-distance-left:9.05pt;mso-wrap-distance-right:9.05pt;mso-position-horizontal-relative:text;mso-position-vertical-relative:text" filled="f" o:ole="">
            <v:imagedata r:id="rId3" o:title=""/>
            <w10:wrap type="square"/>
          </v:shape>
          <o:OLEObject Type="Embed" ProgID="" ShapeID="ole_rId2" DrawAspect="Content" ObjectID="_662031650" r:id="rId2"/>
        </w:object>
      </w:r>
      <w:r>
        <w:rPr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分）如右图所示铸件，</w:t>
      </w:r>
      <w:r>
        <w:rPr>
          <w:rFonts w:ascii="宋体" w:hAnsi="宋体"/>
          <w:sz w:val="24"/>
        </w:rPr>
        <w:t>B</w:t>
      </w:r>
      <w:r>
        <w:rPr>
          <w:rFonts w:ascii="宋体" w:hAnsi="宋体"/>
          <w:sz w:val="24"/>
        </w:rPr>
        <w:t>部分比</w:t>
      </w:r>
      <w:r>
        <w:rPr>
          <w:rFonts w:ascii="宋体" w:hAnsi="宋体"/>
          <w:sz w:val="24"/>
        </w:rPr>
        <w:t>A</w:t>
      </w:r>
      <w:r>
        <w:rPr>
          <w:rFonts w:ascii="宋体" w:hAnsi="宋体"/>
          <w:sz w:val="24"/>
        </w:rPr>
        <w:t>部分厚得多，铸造冷却后将铸件上面部分沿虚线切去，试绘图说明铸件加工后的误差形状，并分析其产生加工误差的原因。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分）什么是误差敏感方向？请使用车削外圆时，机床导轨误差对加工误差的影响情况进行解释说明。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0" w:start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分）什么是工艺系统刚度？试以车削细长轴外圆柱面为例，用两顶尖装夹工件，说明由于工件刚度不足会引起什么样的形状误差？</w:t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0" w:start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0" w:start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0" w:start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0" w:start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分）什么是粗基准，请说明粗基准的选择原则。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spacing w:before="156" w:after="156"/>
        <w:ind w:firstLine="240" w:start="-210" w:end="105"/>
        <w:rPr>
          <w:rFonts w:ascii="宋体" w:hAnsi="宋体" w:eastAsia="宋体" w:cs="Times New Roman"/>
          <w:b/>
          <w:bCs/>
          <w:sz w:val="24"/>
        </w:rPr>
      </w:pPr>
      <w:r>
        <w:rPr>
          <w:rFonts w:ascii="宋体" w:hAnsi="宋体" w:cs="Times New Roman"/>
          <w:b/>
          <w:bCs/>
          <w:sz w:val="24"/>
          <w:lang w:val="en-US" w:eastAsia="zh-CN"/>
        </w:rPr>
        <w:t>三</w:t>
      </w:r>
      <w:r>
        <w:rPr>
          <w:rFonts w:eastAsia="宋体" w:cs="Times New Roman" w:ascii="宋体" w:hAnsi="宋体"/>
          <w:b/>
          <w:bCs/>
          <w:sz w:val="24"/>
        </w:rPr>
        <w:t>.</w:t>
      </w:r>
      <w:r>
        <w:rPr>
          <w:rFonts w:ascii="宋体" w:hAnsi="宋体" w:cs="Times New Roman"/>
          <w:b/>
          <w:bCs/>
          <w:sz w:val="24"/>
        </w:rPr>
        <w:t>分析</w:t>
      </w:r>
      <w:r>
        <w:rPr>
          <w:rFonts w:ascii="宋体" w:hAnsi="宋体" w:cs="Times New Roman"/>
          <w:b/>
          <w:bCs/>
          <w:sz w:val="24"/>
          <w:lang w:val="en-US" w:eastAsia="zh-CN"/>
        </w:rPr>
        <w:t>计算</w:t>
      </w:r>
      <w:r>
        <w:rPr>
          <w:rFonts w:ascii="宋体" w:hAnsi="宋体" w:cs="Times New Roman"/>
          <w:b/>
          <w:bCs/>
          <w:sz w:val="24"/>
        </w:rPr>
        <w:t>题（</w:t>
      </w:r>
      <w:r>
        <w:rPr>
          <w:rFonts w:eastAsia="宋体" w:cs="Times New Roman" w:ascii="宋体" w:hAnsi="宋体"/>
          <w:b/>
          <w:bCs/>
          <w:sz w:val="24"/>
          <w:lang w:val="en-US" w:eastAsia="zh-CN"/>
        </w:rPr>
        <w:t>4</w:t>
      </w:r>
      <w:r>
        <w:rPr>
          <w:rFonts w:eastAsia="宋体" w:cs="Times New Roman" w:ascii="宋体" w:hAnsi="宋体"/>
          <w:b/>
          <w:bCs/>
          <w:sz w:val="24"/>
        </w:rPr>
        <w:t>0</w:t>
      </w:r>
      <w:r>
        <w:rPr>
          <w:rFonts w:ascii="宋体" w:hAnsi="宋体" w:cs="Times New Roman"/>
          <w:b/>
          <w:bCs/>
          <w:sz w:val="24"/>
        </w:rPr>
        <w:t>分）</w:t>
      </w:r>
    </w:p>
    <w:p>
      <w:pPr>
        <w:pStyle w:val="Normal"/>
        <w:spacing w:before="156" w:after="156"/>
        <w:ind w:firstLine="240" w:start="-210" w:end="105"/>
        <w:rPr>
          <w:rFonts w:eastAsia="宋体"/>
          <w:b/>
          <w:sz w:val="28"/>
          <w:szCs w:val="28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10.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 w:cs="Times New Roman"/>
          <w:sz w:val="24"/>
        </w:rPr>
        <w:t>下图所示，活塞在平面支承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、短圆柱销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和短菱形销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上定位，</w:t>
      </w:r>
      <w:r>
        <w:rPr>
          <w:rFonts w:ascii="宋体" w:hAnsi="宋体" w:cs="Times New Roman"/>
          <w:sz w:val="24"/>
          <w:lang w:val="en-US" w:eastAsia="zh-CN"/>
        </w:rPr>
        <w:t>指出各</w:t>
      </w:r>
      <w:r>
        <w:rPr>
          <w:rFonts w:ascii="宋体" w:hAnsi="宋体" w:cs="Times New Roman"/>
          <w:sz w:val="24"/>
        </w:rPr>
        <w:t>定位元件所限制的自由度</w:t>
      </w:r>
      <w:r>
        <w:rPr>
          <w:rFonts w:ascii="宋体" w:hAnsi="宋体" w:cs="Times New Roman"/>
          <w:sz w:val="24"/>
          <w:lang w:eastAsia="zh-CN"/>
        </w:rPr>
        <w:t>。</w:t>
      </w:r>
      <w:r>
        <w:rPr>
          <w:rFonts w:ascii="宋体" w:hAnsi="宋体" w:cs="Times New Roman"/>
          <w:sz w:val="24"/>
        </w:rPr>
        <w:t>试分析</w:t>
      </w:r>
      <w:r>
        <w:rPr>
          <w:rFonts w:ascii="宋体" w:hAnsi="宋体" w:cs="Times New Roman"/>
          <w:sz w:val="24"/>
          <w:lang w:val="en-US" w:eastAsia="zh-CN"/>
        </w:rPr>
        <w:t>定位方案是否合理。</w:t>
      </w:r>
    </w:p>
    <w:p>
      <w:pPr>
        <w:pStyle w:val="Normal"/>
        <w:jc w:val="start"/>
        <w:rPr/>
      </w:pPr>
      <w:r>
        <w:rPr/>
        <w:drawing>
          <wp:inline distT="0" distB="0" distL="0" distR="0">
            <wp:extent cx="4045585" cy="2049145"/>
            <wp:effectExtent l="0" t="0" r="0" b="0"/>
            <wp:docPr id="1" name="图片 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9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" t="-9" r="-4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val="en-US" w:eastAsia="zh-CN"/>
        </w:rPr>
      </w:pPr>
      <w:r>
        <w:rPr>
          <w:sz w:val="24"/>
          <w:lang w:val="en-US" w:eastAsia="zh-CN"/>
        </w:rPr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eastAsia="zh-CN"/>
        </w:rPr>
      </w:pPr>
      <w:r>
        <w:rPr>
          <w:sz w:val="24"/>
          <w:lang w:val="en-US" w:eastAsia="zh-CN"/>
        </w:rPr>
        <w:t>11.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分）在图所示的环形零件上铣一缺口，其尺寸要求见零件图（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sz w:val="24"/>
          <w:lang w:eastAsia="zh-CN"/>
        </w:rPr>
        <w:t>，采用定位方案（</w:t>
      </w:r>
      <w:r>
        <w:rPr>
          <w:sz w:val="24"/>
          <w:lang w:val="en-US" w:eastAsia="zh-CN"/>
        </w:rPr>
        <w:t>d</w:t>
      </w:r>
      <w:r>
        <w:rPr>
          <w:sz w:val="24"/>
          <w:lang w:eastAsia="zh-CN"/>
        </w:rPr>
        <w:t>）。试计算定位误差，并判断能否满足加工要求。</w:t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eastAsia="zh-CN"/>
        </w:rPr>
      </w:pPr>
      <w:r>
        <w:rPr/>
        <w:drawing>
          <wp:inline distT="0" distB="0" distL="0" distR="0">
            <wp:extent cx="1917700" cy="2211705"/>
            <wp:effectExtent l="0" t="0" r="0" b="0"/>
            <wp:docPr id="2" name="图片 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0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4" t="-12" r="-1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 w:eastAsia="zh-CN"/>
        </w:rPr>
        <w:t xml:space="preserve">   </w:t>
      </w:r>
      <w:r>
        <w:rPr/>
        <w:drawing>
          <wp:inline distT="0" distB="0" distL="0" distR="0">
            <wp:extent cx="1282700" cy="1800860"/>
            <wp:effectExtent l="0" t="0" r="0" b="0"/>
            <wp:docPr id="3" name="图片 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0" t="-14" r="-20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  <w:lang w:eastAsia="zh-CN"/>
        </w:rPr>
      </w:pPr>
      <w:r>
        <w:rPr>
          <w:rFonts w:ascii="宋体" w:hAnsi="宋体"/>
          <w:sz w:val="24"/>
          <w:lang w:eastAsia="zh-CN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12</w:t>
      </w:r>
      <w:r>
        <w:rPr>
          <w:rFonts w:ascii="宋体" w:hAnsi="宋体"/>
          <w:sz w:val="24"/>
        </w:rPr>
        <w:t>．（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分）加工一批齿轮内孔，要求齿轮内孔与键槽深为</w:t>
      </w:r>
      <w:bookmarkStart w:id="2" w:name="OLE_LINK3"/>
      <w:r>
        <w:rPr>
          <w:rFonts w:ascii="宋体" w:hAnsi="宋体"/>
          <w:sz w:val="24"/>
        </w:rPr>
        <w:object w:dxaOrig="579" w:dyaOrig="379">
          <v:shapetype id="_x0000_tole_rId7" coordsize="21600,21600" o:spt="ole_rId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29pt;height:19pt" filled="f" o:ole="">
            <v:imagedata r:id="rId8" o:title=""/>
          </v:shape>
          <o:OLEObject Type="Embed" ProgID="" ShapeID="ole_rId7" DrawAspect="Content" ObjectID="_441487774" r:id="rId7"/>
        </w:object>
      </w:r>
      <w:r>
        <w:rPr>
          <w:rFonts w:ascii="宋体" w:hAnsi="宋体"/>
          <w:sz w:val="24"/>
        </w:rPr>
        <w:t>m</w:t>
      </w:r>
      <w:bookmarkEnd w:id="2"/>
      <w:r>
        <w:rPr>
          <w:rFonts w:ascii="宋体" w:hAnsi="宋体"/>
          <w:sz w:val="24"/>
        </w:rPr>
        <w:t>m</w:t>
      </w:r>
      <w:r>
        <w:rPr>
          <w:rFonts w:ascii="宋体" w:hAnsi="宋体"/>
          <w:sz w:val="24"/>
        </w:rPr>
        <w:t>如右零件</w:t>
      </w:r>
      <w:r>
        <w:rPr>
          <w:rFonts w:ascii="宋体" w:hAnsi="宋体"/>
          <w:sz w:val="24"/>
        </w:rPr>
        <w:t>图所</w:t>
      </w:r>
      <w:r>
        <w:rPr>
          <w:rFonts w:ascii="宋体" w:hAnsi="宋体"/>
          <w:sz w:val="24"/>
        </w:rPr>
        <w:t>示，加工顺序为：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page">
                  <wp:posOffset>4480560</wp:posOffset>
                </wp:positionH>
                <wp:positionV relativeFrom="paragraph">
                  <wp:posOffset>21590</wp:posOffset>
                </wp:positionV>
                <wp:extent cx="2339340" cy="2301240"/>
                <wp:effectExtent l="0" t="0" r="0" b="0"/>
                <wp:wrapSquare wrapText="bothSides"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2301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/>
                            </w:pPr>
                            <w:r>
                              <w:rPr/>
                              <w:object w:dxaOrig="3437" w:dyaOrig="3040">
                                <v:shapetype id="_x0000_tole_rId9" coordsize="21600,21600" o:spt="ole_rId9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9" type="_x0000_tole_rId9" style="width:166.9pt;height:147.85pt" filled="f" o:ole="">
                                  <v:imagedata r:id="rId10" o:title=""/>
                                </v:shape>
                                <o:OLEObject Type="Embed" ProgID="" ShapeID="ole_rId9" DrawAspect="Content" ObjectID="_319313502" r:id="rId9"/>
                              </w:objec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2pt;height:181.2pt;mso-wrap-distance-left:9.05pt;mso-wrap-distance-right:9.05pt;mso-wrap-distance-top:0pt;mso-wrap-distance-bottom:0pt;margin-top:1.7pt;mso-position-vertical-relative:text;margin-left:352.8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spacing w:lineRule="auto" w:line="360"/>
                        <w:jc w:val="center"/>
                        <w:rPr/>
                      </w:pPr>
                      <w:r>
                        <w:rPr/>
                        <w:object w:dxaOrig="3437" w:dyaOrig="3040">
                          <v:shapetype id="_x0000_tole_rId11" coordsize="21600,21600" o:spt="ole_rId11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1" type="_x0000_tole_rId11" style="width:166.9pt;height:147.85pt" filled="f" o:ole="">
                            <v:imagedata r:id="rId12" o:title=""/>
                          </v:shape>
                          <o:OLEObject Type="Embed" ProgID="" ShapeID="ole_rId11" DrawAspect="Content" ObjectID="_719811980" r:id="rId11"/>
                        </w:object>
                      </w:r>
                    </w:p>
                    <w:p>
                      <w:pPr>
                        <w:pStyle w:val="Normal"/>
                        <w:spacing w:lineRule="auto" w:line="36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）先镗内孔至</w:t>
      </w:r>
      <w:r>
        <w:rPr>
          <w:rFonts w:ascii="宋体" w:hAnsi="宋体"/>
          <w:sz w:val="24"/>
        </w:rPr>
        <w:object w:dxaOrig="279" w:dyaOrig="339">
          <v:shapetype id="_x0000_tole_rId13" coordsize="21600,21600" o:spt="ole_rId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13.95pt;height:17pt" filled="f" o:ole="">
            <v:imagedata r:id="rId14" o:title=""/>
          </v:shape>
          <o:OLEObject Type="Embed" ProgID="" ShapeID="ole_rId13" DrawAspect="Content" ObjectID="_2111037309" r:id="rId13"/>
        </w:object>
      </w:r>
      <w:r>
        <w:rPr>
          <w:rFonts w:ascii="宋体" w:hAnsi="宋体"/>
          <w:sz w:val="24"/>
        </w:rPr>
        <w:t>，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）拉键槽深至</w:t>
      </w:r>
      <w:r>
        <w:rPr>
          <w:rFonts w:ascii="宋体" w:hAnsi="宋体"/>
          <w:sz w:val="24"/>
        </w:rPr>
        <w:object w:dxaOrig="299" w:dyaOrig="339">
          <v:shapetype id="_x0000_tole_rId15" coordsize="21600,21600" o:spt="ole_rId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15pt;height:17pt" filled="f" o:ole="">
            <v:imagedata r:id="rId16" o:title=""/>
          </v:shape>
          <o:OLEObject Type="Embed" ProgID="" ShapeID="ole_rId15" DrawAspect="Content" ObjectID="_1801284931" r:id="rId15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t>）淬火后磨内孔至</w:t>
      </w:r>
      <w:r>
        <w:rPr>
          <w:rFonts w:ascii="宋体" w:hAnsi="宋体"/>
          <w:sz w:val="24"/>
        </w:rPr>
        <w:object w:dxaOrig="260" w:dyaOrig="359">
          <v:shapetype id="_x0000_tole_rId17" coordsize="21600,21600" o:spt="ole_rId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13pt;height:18pt" filled="f" o:ole="">
            <v:imagedata r:id="rId18" o:title=""/>
          </v:shape>
          <o:OLEObject Type="Embed" ProgID="" ShapeID="ole_rId17" DrawAspect="Content" ObjectID="_233543907" r:id="rId17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 w:before="156" w:after="0"/>
        <w:ind w:firstLine="628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如果磨削</w:t>
      </w:r>
      <w:r>
        <w:rPr>
          <w:rFonts w:ascii="宋体" w:hAnsi="宋体"/>
          <w:sz w:val="24"/>
        </w:rPr>
        <w:t>内孔时的单边余量要求为</w:t>
      </w:r>
      <w:r>
        <w:rPr>
          <w:rFonts w:ascii="宋体" w:hAnsi="宋体"/>
          <w:sz w:val="24"/>
        </w:rPr>
        <w:t>0.05-0.2mm</w:t>
      </w:r>
      <w:r>
        <w:rPr>
          <w:rFonts w:ascii="宋体" w:hAnsi="宋体"/>
          <w:sz w:val="24"/>
        </w:rPr>
        <w:t>。</w:t>
      </w:r>
      <w:r>
        <w:rPr>
          <w:rFonts w:ascii="宋体" w:hAnsi="宋体"/>
          <w:sz w:val="24"/>
          <w:lang w:val="en-US" w:eastAsia="zh-CN"/>
        </w:rPr>
        <w:t>磨削经济精度为</w:t>
      </w:r>
      <w:r>
        <w:rPr>
          <w:rFonts w:ascii="宋体" w:hAnsi="宋体"/>
          <w:sz w:val="24"/>
          <w:lang w:val="en-US" w:eastAsia="zh-CN"/>
        </w:rPr>
        <w:t>0.02mm</w:t>
      </w:r>
      <w:r>
        <w:rPr>
          <w:rFonts w:ascii="宋体" w:hAnsi="宋体"/>
          <w:sz w:val="24"/>
          <w:lang w:val="en-US" w:eastAsia="zh-CN"/>
        </w:rPr>
        <w:t>，镗和拉加工余量为</w:t>
      </w:r>
      <w:r>
        <w:rPr>
          <w:rFonts w:ascii="宋体" w:hAnsi="宋体"/>
          <w:sz w:val="24"/>
          <w:lang w:val="en-US" w:eastAsia="zh-CN"/>
        </w:rPr>
        <w:t>0.1-0.3mm</w:t>
      </w:r>
      <w:r>
        <w:rPr>
          <w:rFonts w:ascii="宋体" w:hAnsi="宋体"/>
          <w:sz w:val="24"/>
          <w:lang w:val="en-US" w:eastAsia="zh-CN"/>
        </w:rPr>
        <w:t>，经济精度为</w:t>
      </w:r>
      <w:r>
        <w:rPr>
          <w:rFonts w:ascii="宋体" w:hAnsi="宋体"/>
          <w:sz w:val="24"/>
          <w:lang w:val="en-US" w:eastAsia="zh-CN"/>
        </w:rPr>
        <w:t>0.06mm</w:t>
      </w:r>
      <w:r>
        <w:rPr>
          <w:rFonts w:ascii="宋体" w:hAnsi="宋体"/>
          <w:sz w:val="24"/>
          <w:lang w:val="en-US" w:eastAsia="zh-CN"/>
        </w:rPr>
        <w:t>，</w:t>
      </w:r>
      <w:r>
        <w:rPr>
          <w:rFonts w:ascii="宋体" w:hAnsi="宋体"/>
          <w:sz w:val="24"/>
        </w:rPr>
        <w:t>请</w:t>
      </w:r>
      <w:r>
        <w:rPr>
          <w:rFonts w:ascii="宋体" w:hAnsi="宋体"/>
          <w:sz w:val="24"/>
        </w:rPr>
        <w:t>安排工序尺寸</w:t>
      </w:r>
      <w:r>
        <w:rPr>
          <w:rFonts w:ascii="宋体" w:hAnsi="宋体"/>
          <w:sz w:val="24"/>
        </w:rPr>
        <w:object w:dxaOrig="279" w:dyaOrig="339">
          <v:shapetype id="_x0000_tole_rId19" coordsize="21600,21600" o:spt="ole_rId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13.95pt;height:17pt" filled="f" o:ole="">
            <v:imagedata r:id="rId20" o:title=""/>
          </v:shape>
          <o:OLEObject Type="Embed" ProgID="" ShapeID="ole_rId19" DrawAspect="Content" ObjectID="_844665681" r:id="rId19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object w:dxaOrig="299" w:dyaOrig="339">
          <v:shapetype id="_x0000_tole_rId21" coordsize="21600,21600" o:spt="ole_rId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15pt;height:17pt" filled="f" o:ole="">
            <v:imagedata r:id="rId22" o:title=""/>
          </v:shape>
          <o:OLEObject Type="Embed" ProgID="" ShapeID="ole_rId21" DrawAspect="Content" ObjectID="_1713908987" r:id="rId21"/>
        </w:object>
      </w:r>
      <w:r>
        <w:rPr>
          <w:rFonts w:ascii="宋体" w:hAnsi="宋体"/>
          <w:sz w:val="24"/>
        </w:rPr>
        <w:t>和</w:t>
      </w:r>
      <w:r>
        <w:rPr>
          <w:rFonts w:ascii="宋体" w:hAnsi="宋体"/>
          <w:sz w:val="24"/>
        </w:rPr>
        <w:object w:dxaOrig="260" w:dyaOrig="359">
          <v:shapetype id="_x0000_tole_rId23" coordsize="21600,21600" o:spt="ole_rId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13pt;height:18pt" filled="f" o:ole="">
            <v:imagedata r:id="rId24" o:title=""/>
          </v:shape>
          <o:OLEObject Type="Embed" ProgID="" ShapeID="ole_rId23" DrawAspect="Content" ObjectID="_344343303" r:id="rId23"/>
        </w:object>
      </w:r>
      <w:r>
        <w:rPr>
          <w:rFonts w:ascii="宋体" w:hAnsi="宋体"/>
          <w:sz w:val="24"/>
        </w:rPr>
        <w:t>的</w:t>
      </w:r>
      <w:r>
        <w:rPr>
          <w:rFonts w:ascii="宋体" w:hAnsi="宋体"/>
          <w:sz w:val="24"/>
        </w:rPr>
        <w:t>基本尺寸和上下偏差</w:t>
      </w:r>
      <w:r>
        <w:rPr>
          <w:rFonts w:ascii="宋体" w:hAnsi="宋体"/>
          <w:sz w:val="24"/>
        </w:rPr>
        <w:t>。</w:t>
      </w:r>
    </w:p>
    <w:p>
      <w:pPr>
        <w:pStyle w:val="Normal"/>
        <w:spacing w:lineRule="auto" w:line="240"/>
        <w:jc w:val="center"/>
        <w:rPr/>
      </w:pPr>
      <w:r>
        <w:rPr>
          <w:rFonts w:eastAsia="Times New Roman"/>
          <w:sz w:val="24"/>
        </w:rPr>
        <w:t xml:space="preserve"> </w:t>
      </w:r>
      <w:r>
        <w:rPr/>
        <w:object w:dxaOrig="14113" w:dyaOrig="4317">
          <v:shapetype id="_x0000_tole_rId25" coordsize="21600,21600" o:spt="ole_rId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370.25pt;height:112.85pt" filled="f" o:ole="">
            <v:imagedata r:id="rId26" o:title=""/>
          </v:shape>
          <o:OLEObject Type="Embed" ProgID="" ShapeID="ole_rId25" DrawAspect="Content" ObjectID="_7391405" r:id="rId25"/>
        </w:object>
      </w:r>
    </w:p>
    <w:p>
      <w:pPr>
        <w:pStyle w:val="Normal"/>
        <w:spacing w:lineRule="auto" w:line="240"/>
        <w:ind w:firstLine="2160" w:end="0"/>
        <w:rPr>
          <w:sz w:val="24"/>
        </w:rPr>
      </w:pPr>
      <w:r>
        <w:rPr>
          <w:sz w:val="24"/>
          <w:szCs w:val="24"/>
        </w:rPr>
        <w:t>镗内孔</w:t>
      </w:r>
      <w:r>
        <w:rPr>
          <w:rFonts w:eastAsia="Times New Roman"/>
          <w:sz w:val="24"/>
          <w:szCs w:val="24"/>
        </w:rPr>
        <w:t xml:space="preserve">           </w:t>
      </w:r>
      <w:r>
        <w:rPr>
          <w:sz w:val="24"/>
          <w:szCs w:val="24"/>
        </w:rPr>
        <w:t>拉键槽</w:t>
      </w:r>
      <w:r>
        <w:rPr>
          <w:rFonts w:eastAsia="Times New Roman"/>
          <w:sz w:val="24"/>
          <w:szCs w:val="24"/>
        </w:rPr>
        <w:t xml:space="preserve">                  </w:t>
      </w:r>
      <w:r>
        <w:rPr>
          <w:sz w:val="24"/>
          <w:szCs w:val="24"/>
        </w:rPr>
        <w:t>磨内</w:t>
      </w:r>
      <w:r>
        <w:rPr>
          <w:sz w:val="24"/>
        </w:rPr>
        <w:t>孔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sectPr>
      <w:footerReference w:type="default" r:id="rId27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5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5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  <w:rPr>
        <w:color w:val="000000"/>
      </w:r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color w:val="000000"/>
    </w:rPr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题目 Char"/>
    <w:qFormat/>
    <w:rPr>
      <w:kern w:val="2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oleObject" Target="embeddings/oleObject2.bin"/><Relationship Id="rId8" Type="http://schemas.openxmlformats.org/officeDocument/2006/relationships/image" Target="media/image5.wmf"/><Relationship Id="rId9" Type="http://schemas.openxmlformats.org/officeDocument/2006/relationships/oleObject" Target="embeddings/oleObject3.bin"/><Relationship Id="rId10" Type="http://schemas.openxmlformats.org/officeDocument/2006/relationships/image" Target="media/image6.wmf"/><Relationship Id="rId11" Type="http://schemas.openxmlformats.org/officeDocument/2006/relationships/oleObject" Target="embeddings/oleObject4.bin"/><Relationship Id="rId12" Type="http://schemas.openxmlformats.org/officeDocument/2006/relationships/image" Target="media/image6.wmf"/><Relationship Id="rId13" Type="http://schemas.openxmlformats.org/officeDocument/2006/relationships/oleObject" Target="embeddings/oleObject5.bin"/><Relationship Id="rId14" Type="http://schemas.openxmlformats.org/officeDocument/2006/relationships/image" Target="media/image7.wmf"/><Relationship Id="rId15" Type="http://schemas.openxmlformats.org/officeDocument/2006/relationships/oleObject" Target="embeddings/oleObject6.bin"/><Relationship Id="rId16" Type="http://schemas.openxmlformats.org/officeDocument/2006/relationships/image" Target="media/image8.wmf"/><Relationship Id="rId17" Type="http://schemas.openxmlformats.org/officeDocument/2006/relationships/oleObject" Target="embeddings/oleObject7.bin"/><Relationship Id="rId18" Type="http://schemas.openxmlformats.org/officeDocument/2006/relationships/image" Target="media/image9.wmf"/><Relationship Id="rId19" Type="http://schemas.openxmlformats.org/officeDocument/2006/relationships/oleObject" Target="embeddings/oleObject8.bin"/><Relationship Id="rId20" Type="http://schemas.openxmlformats.org/officeDocument/2006/relationships/image" Target="media/image10.wmf"/><Relationship Id="rId21" Type="http://schemas.openxmlformats.org/officeDocument/2006/relationships/oleObject" Target="embeddings/oleObject9.bin"/><Relationship Id="rId22" Type="http://schemas.openxmlformats.org/officeDocument/2006/relationships/image" Target="media/image11.wmf"/><Relationship Id="rId23" Type="http://schemas.openxmlformats.org/officeDocument/2006/relationships/oleObject" Target="embeddings/oleObject10.bin"/><Relationship Id="rId24" Type="http://schemas.openxmlformats.org/officeDocument/2006/relationships/image" Target="media/image12.wmf"/><Relationship Id="rId25" Type="http://schemas.openxmlformats.org/officeDocument/2006/relationships/oleObject" Target="embeddings/oleObject11.bin"/><Relationship Id="rId26" Type="http://schemas.openxmlformats.org/officeDocument/2006/relationships/image" Target="media/image13.wmf"/><Relationship Id="rId27" Type="http://schemas.openxmlformats.org/officeDocument/2006/relationships/footer" Target="footer1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WEN</cp:lastModifiedBy>
  <cp:lastPrinted>2019-05-16T15:17:00Z</cp:lastPrinted>
  <dcterms:modified xsi:type="dcterms:W3CDTF">2021-09-27T07:49:09Z</dcterms:modified>
  <cp:revision>26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2052-11.1.0.9991</vt:lpwstr>
  </property>
</Properties>
</file>