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段由一个或多个指令组成，每条指令为一个数据字，数据字由字母和数字组成。例如：</w:t>
      </w:r>
    </w:p>
    <w:p>
      <w:r>
        <w:t>N05 G00 X-10.0 Y-10.0 Z8.0 S1000 M03 M07</w:t>
      </w:r>
    </w:p>
    <w:p>
      <w:r>
        <w:t>为一个程序段，其中，数据字N05为程序段顺序号；数据字G00使刀具快速定位到某一点；X、Y、Z为坐标尺寸地址码，其后的数字为坐标数值，坐标数值带+、-符号，+号可以省略；S为机床主轴转速代码，S1000表示机床主轴转速为1000r/min；M03规定主轴顺时针旋转；M07规定开切削液。在程序段中，程序段的长度和数据字的个数可变，而且数据字的先后顺序无严格规定。</w:t>
      </w:r>
    </w:p>
    <w:p/>
    <w:p>
      <w:r>
        <w:t>上面程序段中带有小数点的坐标尺寸表示的是毫米长度。在数据输入中，若漏输入小数点，有的数控系统认为该数值为脉冲数，其长度等于脉冲数乘以脉冲当量。因此，在输入数据或检查程序时对小数点要给予特别关注。</w:t>
      </w:r>
    </w:p>
    <w:p/>
    <w:p>
      <w:pPr>
        <w:pStyle w:val="Heading2"/>
      </w:pPr>
      <w:r>
        <w:t>四、数控加工工序综合举例</w:t>
      </w:r>
    </w:p>
    <w:p>
      <w:r>
        <w:t>图2-56所示为某零件的零件图，图中A、B面和外形85mm×56mm四面已加工。本工序拟采用立式数控铣床加工凸台的四面和C面。试编写该工序的加工程序。</w:t>
      </w:r>
    </w:p>
    <w:p/>
    <w:p>
      <w:r>
        <w:t>根据零件图的尺寸和技术要求，选用直径为$\phi20\mathrm{mm}$的高速钢立铣刀加工，把加工过程分为粗铣和精铣两个工步。图2-57a是该工序的工序简图。图中标明了所选择的坐标系，示意了对刀位置和切入、切出方式以及切入、切出点，给出了刀具示意图和刀心轨迹图。按刀心轨迹在工件坐标系内计算了各基点的绝对坐标（图2-57b）。根据工艺手册的推荐，确定切削用量：主轴转速为500r/min，进给速度为120mm/min。精加工余量定为0.5mm。</w:t>
      </w:r>
    </w:p>
    <w:p/>
    <w:p>
      <w:r>
        <w:rPr>
          <w:b/>
          <w:color w:val="004600"/>
        </w:rPr>
        <w:t>[图示说明：图2-56为零件图，零件外形尺寸为长85mm，宽56mm，厚度30mm，凸台尺寸为长$65\pm0.05\mathrm{mm}$，宽$36\pm0.05\mathrm{mm}$，凸台顶面距离底面高度为$12_{-0.070}^0\mathrm{mm}$，凸台圆角为R5，凸台面及C面Ra3.2，其余面Ra6.3，材料为45钢。]</w:t>
      </w:r>
    </w:p>
    <w:p>
      <w:r>
        <w:rPr>
          <w:b/>
          <w:color w:val="004600"/>
        </w:rPr>
        <w:t>[图示说明：图2-57为数控加工工序图，a为工序简图，包含坐标系、刀心轨迹、刀具示意，对刀点P，基点$P_0$到$P_{10}$的位置示意；b为刀心轨迹基点与基点绝对坐标表，单位mm，基点走刀路径为$P\rightarrow P_0\rightarrow P_1\rightarrow P_2\rightarrow P_3\rightarrow P_4\rightarrow P_5\rightarrow P_6\rightarrow P_7\rightarrow P_8\rightarrow P_9\rightarrow P_{10}$，各基点坐标：$P(-12,12,40)$，$P_0(0,11,-11.965)$，其余各点$Z=-11.965\mathrm{mm}$，$P_1(0,-41)$，$P_2(15,-56)$，$P_3(70,-56)$，$P_4(85,-41)$，$P_5(85,-15)$，$P_6(70,0)$，$P_7(15,0)$，$P_8(0,-15)$，$P_9(-5,-20)$，$P_{10}(-11,-20)$。]</w:t>
      </w:r>
    </w:p>
    <w:p/>
    <w:p>
      <w:r>
        <w:t>按精加工工步编写的加工程序见表2-17。</w:t>
      </w:r>
    </w:p>
    <w:p>
      <w:r>
        <w:rPr>
          <w:b/>
          <w:color w:val="004600"/>
        </w:rPr>
        <w:t>[表格说明：表2-17为按精加工工步编程，包含程序和程序段说明两列。各行内容如下：程序008，说明为程序号；程序N01 G92 X-12.0 Y12.0 Z40.0，说明为对刀点P（2mm塞尺对刀）；程序N02 G90 G00 X0.0 Y11.0 Z-11.965，说明为绝对坐标，快速移动至$P_0$；程序N03 G01 Y-41.0 S500 M03 F120 M08，说明为直线插补至$P_1$；主轴转速为500r/min，顺时针；进给速度为120mm/min；开切削液；程序N04 G03 X15.0 Y-56.0 R15.0，说明为逆时针圆弧插补至$P_2$（左下角圆角）；程序N05 G01 X70.0，说明为直线插补至$P_3$；程序N06 G03 X85.0 Y-41.0 R15.0，说明为右下角圆角至$P_4$；程序N07 G01 Y-15.0，说明为直线插补至$P_5$；程序N08 G03 X70.0 Y0.0 R15.0，说明为右上角圆角至$P_6$；程序N09 G01 X15.0，说明为直线插补至$P_7$；程序N10 G03 X0.0 Y-15.0 R15.0，说明为左上角圆角至$P_8$；程序N11 G02 X-5.0 Y-20.0 R5.0，说明为退出加工，关切削液；程序N12 G01 X-11.0 M09，无额外说明；程序008，说明为程序号；程序N13 G00 X-12.0 Y12.0 Z40.0，说明为快速返回对刀点P；程序N14 M05，说明为主轴停转；程序N15 M30，说明为程序结束。]</w:t>
      </w:r>
    </w:p>
    <w:p/>
    <w:p>
      <w:r>
        <w:t>粗加工工步应留出精加工工步的加工余量（0.5mm），可通过刀心轨迹的移动来实现。可以看出，粗加工中所有基点的数值需要随刀心轨迹的移动而重新计算，这是很麻烦的。实际上，可以利用数控系统提供的刀具补偿功能，按凸台轮廓的实际尺寸编程，加工时刀具偏移一个刀具半径（本例中刀具向前进方向的右边偏移10mm），即可加工出合格的零件。</w:t>
      </w:r>
    </w:p>
    <w:p/>
    <w:p>
      <w:r>
        <w:t>表2-18是为上述工序编写的具有刀具补偿功能的加工程序。程序中，将刀具半径10mm设置在存储器中，当要把该程序用于粗加工时，只要将存储器中的刀具半径数值修改为10.5mm，不需要修改程序中各基点的坐标值。</w:t>
      </w:r>
    </w:p>
    <w:p>
      <w:r>
        <w:rPr>
          <w:b/>
          <w:color w:val="004600"/>
        </w:rPr>
        <w:t>[表格说明：表2-18为利用数控系统的刀具补偿功能编程，包含程序和程序段说明两列。各行内容如下：程序008，说明为程序号；程序#101=10，说明为刀具半径为10mm；程序N01 G92 X-22.0 Y42.0 Z40.0，说明为对刀点P（X方向，2mm塞尺对刀）；程序N02 G90 G00 Z-11.965 S500 M03，说明为绝对坐标Z方向下刀，主轴顺时针转动；程序N03 G17 G42 G00 X0.0 Y22.0 M08 D101，说明为刀具右偏10mm，在XY平面内快进，开切削液；程序N04 G01 Y-31.0 F120，说明为直线插补至$P_1$，进给速度为120mm/min；程序N05 G03 X5.0 Y-36.0 R5.0，说明为逆时针圆弧插补至$P_2$（左下角圆角）；程序N06 G01 X60.0，说明为直线插补至$P_3$；程序N07 G03 X65.0 Y-31.0 R5.0，说明为右下角圆角至$P_4$；程序N08 G01 Y-5.0，说明为直线插补至$P_5$；程序N09 G03 X60.0 Y0.0 R5.0，说明为右上角圆角至$P_6$；程序N10 G01 X5.0，说明为直线插补至$P_7$；程序N11 G03 X0.0 Y-5.0 R5.0，说明为左上角圆角至$P_8$；程序N12 G02 X-15.0 Y-20.0 R15.0，说明为退出加工，关切削液；程序N13 G01 X-21.0 M09，无额外说明；程序N14 G40 G00 X-22.0 Y42.0 Z40.0，说明为注销刀具补偿，快速返回对刀点P；程序N15 M05，说明为主轴停转；程序N16 M30，说明为程序结束。]</w:t>
      </w:r>
    </w:p>
    <w:p/>
    <w:p>
      <w:r>
        <w:t>编程人员应熟悉所用数控系统提供的各种编程功能，掌握更多的编程技巧，把程序编写得更好。</w:t>
      </w:r>
    </w:p>
    <w:p/>
    <w:p>
      <w:pPr>
        <w:pStyle w:val="Heading2"/>
      </w:pPr>
      <w:r>
        <w:t>五、工序安全与程序试运行</w:t>
      </w:r>
    </w:p>
    <w:p>
      <w:r>
        <w:t>数控工序的工序安全问题不容忽视。数控工序的不安全因素主要来源于加工程序中的错误。将一个错误的加工程序直接用于加工是很危险的。例如，程序中若将G01错误地写成G00，即把本来是进给指令错误地输入成快进指令，则必然会发生撞刀事故。再如，在立式数控钻铣床上，若将工件坐标系设在机床工作台台面上，程序中错误地把G00后的Z坐标数值写成0.00或负值，则刀具必将与工件或工作台相撞。另外，程序中的任何坐标数据错误都会导致产生废品或发生其他安全事故等。因此，对编写完的程序一定要经过认真检查和校验，进行首件试加工。只有确认程序无误后，才可投入使用。</w:t>
      </w:r>
    </w:p>
    <w:p/>
    <w:p>
      <w:pPr>
        <w:pStyle w:val="Heading1"/>
      </w:pPr>
      <w:r>
        <w:t>第九节 成组加工工艺设计</w:t>
      </w:r>
    </w:p>
    <w:p>
      <w:pPr>
        <w:pStyle w:val="Heading2"/>
      </w:pPr>
      <w:r>
        <w:t>一、成组技术的基本原理</w:t>
      </w:r>
    </w:p>
    <w:p>
      <w:r>
        <w:t>随着科学技术飞跃发展及市场竞争日益激烈，机械产品的更新速度越来越快，产品品种日益增多，每种产品的生产批量越来越少。据统计，多品种中小批生产企业约占机械工业企业总数的75%~80%。由于那些按传统生产方式组织生产的中小批生产企业劳动生产率低，生产周期长，产品成本高，因此在市场竞争中常处于不利的地位。</w:t>
      </w:r>
    </w:p>
    <w:p/>
    <w:p>
      <w:r>
        <w:t>事实上，不同的机械产品，虽然其用途和功能各不相同，但是每种产品中所包含的零件都可以分为以下三类：</w:t>
      </w:r>
    </w:p>
    <w:p>
      <w:r>
        <w:t>（1）A类 复杂件或特殊件，这类零件在产品中数量少，但结构复杂，产值高。不同产品的A类零件之间差别很大，因而再用性低。例如，机床床身、主轴箱箱体、床鞍以及各种发动机中的一些大件等均属于此类。</w:t>
      </w:r>
    </w:p>
    <w:p>
      <w:r>
        <w:t>（2）B类 相似件，这类零件在产品中的种类多，数量大，其特点是相似程度高，多为中等复杂程度，如各种轴、套、法兰盘、支座、盖板和齿轮等。</w:t>
      </w:r>
    </w:p>
    <w:p>
      <w:r>
        <w:t>（3）C类 简单件或标准件，这类零件结构简单，再用性高，多为低值件。例如，螺钉、螺母、垫圈等，一般均已组织大量生产。</w:t>
      </w:r>
    </w:p>
    <w:p/>
    <w:p>
      <w:r>
        <w:t>相似件在功能结构和加工工艺等方面存在着大量的相似特征，充分利用这种客观存在的相似性特征，将本来各不相同、杂乱无章的多种生产对象组织起来，按相似性分类成族（组），并按族制定加工工艺进行生产制造，这就是成组工艺。由于成组工艺扩大了生产批量，因而便于采用高效率的生产方式组织生产，从而显著提高了劳动生产率。成组技术就是在成组工艺基础上发展起来的一项新技术，它在设计、经营和管理等其他领域都有应用。</w:t>
      </w:r>
    </w:p>
    <w:p/>
    <w:p>
      <w:pPr>
        <w:pStyle w:val="Heading2"/>
      </w:pPr>
      <w:r>
        <w:t>二、零件的分类编码</w:t>
      </w:r>
    </w:p>
    <w:p>
      <w:r>
        <w:t>所谓零件的分类编码就是用数字来描绘零件的名称、几何形状、工艺特征、尺寸和精度等，使零件名称和特征数字化。这些代表零件名称和特征的每一位数字被称为特征码。</w:t>
      </w:r>
    </w:p>
    <w:p/>
    <w:p>
      <w:r>
        <w:t>目前，世界上采用的分类编码系统有几十种，我国于1984年制定了“机械零件分类编码系统（JLBM—1系统）”。该系统由名称类别矩阵、形状及加工码、辅助码三部分共15个码位组成。其中第一~二码位为名称类别矩阵（表2-19）；第三~九码位为形状及加工（表2-20、表2-21）；第十、第十一、第十二码位分别为材料、毛坯原始形状和热处理（表2-22）；第十三和第十四码位为主要尺寸；第十五码位为精度（表2-23）。其编码示例如图2-59所示。</w:t>
      </w:r>
    </w:p>
    <w:p/>
    <w:p>
      <w:r>
        <w:rPr>
          <w:b/>
          <w:color w:val="004600"/>
        </w:rPr>
        <w:t>[表格说明：表2-19为名称类别矩阵（第一~二码位），行是第一位，列是第二位，第一位分为0到9共10类零件类型，第二位0到9对应各类下的细分。第一位0为轮盘类，第二位0盘、盖，1防护盖，2法兰盘，3带轮，4手轮捏手，5离合器体，6分度盘刻度盘环，7滚轮，8活塞，9其他；第一位1为环套类，第二位0垫圈片，1环、套，2螺母，3衬套轴套，4外螺纹套直管接头，5法兰套，6半联轴器，7液压缸气缸，9其他；第一位2为销、杆、轴类（回转类零件），第二位0销、堵短圆柱，1圆杆圆管，2螺杆螺栓螺钉，3阀杆阀芯活塞杆，4短轴，5长轴，6蜗杆丝杠，7手把手柄操纵杆，9其他；第一位3为齿轮类（回转类零件），第二位0圆柱外齿轮，1圆柱内齿轮，2锥齿轮，3蜗轮，4链轮棘轮，5螺旋锥齿轮，6复合齿轮，7圆柱齿条，9其他；第一位4为异形件（回转类零件），第二位0异形盘套，1弯管接头弯头，2偏心件，3扇形件弓形件，4叉形接头叉轴，5凸轮凸轮轴，6阀体，9其他；第一位5为专用类（回转类零件），第二位9其他；第一位6为杆条类（非回转类零件），第二位0杆、条，1杠杆摆杆，2连杆，3撑杆拉杆，4扳手，5键镶（压）条，6梁，7齿条，8拨叉，9其他；第一位7为板块类（非回转类零件），第二位0板、块，1防护板盖板、门板，2支承板垫板，3压板连接板，4定位块棘爪，5导向块滑块、板，6阀块分油器，7凸轮板，9其他；第一位8为座架类（非回转类零件），第二位0轴承座，1支座，2弯板，3底座机架，4支架，9其他；第一位9为箱壳体类（非回转类零件），第二位0罩、盖，1容器，2壳体，3箱体，4立柱，5机身，6工作台，9其他。]</w:t>
      </w:r>
    </w:p>
    <w:p/>
    <w:p>
      <w:r>
        <w:rPr>
          <w:b/>
          <w:color w:val="004600"/>
        </w:rPr>
        <w:t>[表格说明：表2-20为回转类零件分类表（第三~九码位），码位分为第三、四、五、六、七、八、九位，特征分别为外部形状及加工、内部形状及加工、平面曲面加工、辅助加工（非同轴孔、成形、刻线），对应的项号0到9。第三位特征是基本形状，第四位是功能要素，第五位是基本形状，第六位是功能要素，第七位是外（端）面，第八位是内面，第九位是辅助加工。项号0：第三位光滑，第四位无，第五位无轴线孔，第六位无，第七位无，第八位无，第九位无；项号1：第三位单向台阶，第四位环槽，第五位非加工孔，第六位环槽，第七位单一平面不等分平面，第八位单一平面不等分平面，第九位轴向；项号2：第三位双向台阶，第四位螺纹，第五位通孔下的光滑、单向台阶，第六位螺纹，第七位平行面等分平面，第八位平行面等分平面，第九位径向；项号3：第三位球、曲面，第四位1+2，第五位双向台阶，第六位1+2，第七位槽、键槽，第八位槽、键槽，第九位轴向；项号4：第三位正多边形，第四位锥面，第五位不通孔下的单侧，第六位锥面，第七位花键，第八位花键，第九位径向；项号5：第三位非圆对称截面，第四位1+4，第五位双侧，第六位1+4，第七位齿形，第八位齿形，第九位倾斜孔；项号6：第三位弓、扇形或4、5以外，第四位2+4，第五位球、曲面，第六位2+4，第七位2+5，第八位3+5，第九位多种孔组合；项号7：第三位多轴线下的平行轴线，第四位1+2+4，第五位深孔，第六位1+2+4，第七位3+5或4+5，第八位4+5，第九位成形；项号8：第三位弯曲、相交轴线，第四位传动螺纹，第五位相交孔平行孔，第六位传动螺纹，第七位曲面，第八位曲面，第九位机械刻线；项号9：第三位其他，第四位其他，第五位其他，第六位其他，第七位其他，第八位其他，第九位其他。]</w:t>
      </w:r>
    </w:p>
    <w:p/>
    <w:p>
      <w:r>
        <w:rPr>
          <w:b/>
          <w:color w:val="004600"/>
        </w:rPr>
        <w:t>[表格说明：表2-21为非回转类零件分类表（第三~九码位），码位分为第三、四、五、六、七、八、九位，特征分别为外部形状及加工、主孔内部形状及加工、辅助加工（辅助孔、成形），对应的项号0到9。第三位是总体形状，第四位是平面加工，第五位是曲面加工，第六位是外形要素加工，第七位是主孔及要素加工，第八位是内部平面加工，第九位是辅助加工。项号0：第三位轮廓边缘由直线组成，第四位无，第五位无，第六位无，第七位无，第八位无，第九位无；项号1：第三位无弯曲下的轮廓边缘由直线和曲线组成，第四位一侧平面及台阶平面，第五位回转面加工，第六位外部一般直线沟槽，第七位单一轴线下的光滑、单向台阶或单向不通孔，第八位单一轴向沟槽，第九位圆周排列的孔；项号2：第三位无弯曲下的板或条与圆柱体组合，第四位两侧平行平面及台阶平面，第五位回转定位槽，第六位直线定位导向槽，第七位单一轴线下的双向台阶双向不通孔，第八位多个轴向沟槽，第九位直线排列的孔；项号3：第三位有弯曲下的轮廓边缘由直线或直线+曲线组成，第四位双向平面，第五位一般曲线沟槽，第六位直线定位导向凸起，第七位无螺纹多轴线下的平行轴线，第八位主孔内花键，第九位两个方向配置孔；项号4：第三位有弯曲下的板或条与圆柱体组合，第四位斜交面，第五位简单曲面，第六位1+2，第七位无螺纹多轴线下的垂直或相交轴线，第八位主孔内等分平面，第九位多个方向配置孔；项号5：第三位块状，第四位多向平面下的两个两侧平行平面（即四面需加工），第五位复合曲面，第六位2+3，第七位有螺纹下的单一轴线，第八位1+3，第九位单个方向排列的孔；项号6：第三位有分离面，第四位多向平面下的2+3或3+5，第五位1+4，第六位1+3或1+2+3，第七位有螺纹下的多轴线，第八位2+3，第九位多个方向排列的孔；项号7：第三位箱壳座架无分离面下的矩形体组合，第四位多向平面下的六个平面需加工，第五位2+4，第六位齿形齿纹，第七位有其他功能要素（功能锥、功能槽、球面、曲面等）下的单一轴线，第八位异形孔，第九位无辅助孔；项号8：第三位箱壳座架无分离面下的矩形体与圆柱体组合，第四位斜交面，第五位3+4，第六位刻线，第七位有其他功能要素下的多轴线，第八位内腔平面及窗口平面加工，第九位有辅助孔；项号9：第三位其他，第四位其他，第五位其他，第六位其他，第七位其他，第八位其他，第九位其他。]</w:t>
      </w:r>
    </w:p>
    <w:p/>
    <w:p>
      <w:r>
        <w:rPr>
          <w:b/>
          <w:color w:val="004600"/>
        </w:rPr>
        <w:t>[表格说明：表2-22为材料、毛坯、热处理分类表（第十~十二码位），码位为第十、十一、十二位，特征分别为材料、毛坯原始形状、热处理，项号0到9。项号0：第十位灰铸铁，第十一位棒材，第十二位无；项号1：第十位特殊铸铁，第十一位冷拉材，第十二位发蓝；项号2：第十位普通碳钢，第十一位管材（异形管），第十二位退火、正火及时效；项号3：第十位优质碳钢，第十一位型材，第十二位调质；项号4：第十位合金钢，第十一位板材，第十二位淬火；项号5：第十位铜和铜合金，第十一位铸件，第十二位高、中、工频淬火；项号6：第十位铝和铝合金，第十一位锻件，第十二位渗碳+4或5；项号7：第十位其他非铁金属及其合金，第十一位铆焊件，第十二位渗氮处理；项号8：第十位非金属，第十一位铸塑成型件，第十二位电镀；项号9：第十位其他，第十一位其他，第十二位其他。]</w:t>
      </w:r>
    </w:p>
    <w:p/>
    <w:p>
      <w:r>
        <w:rPr>
          <w:b/>
          <w:color w:val="004600"/>
        </w:rPr>
        <w:t>[表格说明：表2-23为主要尺寸、精度分类表（第十三~十五码位），码位为第十三、十四、十五位，特征第十三、十四位为主要尺寸，分直径或宽度（D或B）/mm的大型、中型、小型，长度（L或A）/mm的大型、中型、小型，第十五位为精度，项号0到9。项号0：直径或宽度大型≤14，中型≤8，小型≤3；长度大型≤50，中型≤18，小型≤10；精度低精度。项号1：直径或宽度大型&gt;14~20，中型&gt;8~14，小型&gt;3~6；长度大型&gt;50~120，中型&gt;18~30，小型&gt;10~16；精度中等精度的内、外回转面加工。项号2：直径或宽度大型&gt;20~58，中型&gt;14~20，小型&gt;6~10；长度大型&gt;120~250，中型&gt;30~50，小型&gt;16~25；精度中等精度的平面加工。项号3：直径或宽度大型&gt;58~90，中型&gt;20~30，小型&gt;10~18；长度大型&gt;250~500，中型&gt;50~120，小型&gt;25~40；精度中等精度的1+2。项号4：直径或宽度大型&gt;90~160，中型&gt;30~58，小型&gt;18~30；长度大型&gt;500~800，中型&gt;120~250，小型&gt;40~60；精度高精度的外回转面加工。项号5：直径或宽度大型&gt;160~400，中型&gt;58~90，小型&gt;30~45；长度大型&gt;800~1250，中型&gt;250~500，小型&gt;60~85；精度高精度的内回转面加工。项号6：直径或宽度大型&gt;400~630，中型&gt;90~160，小型&gt;45~65；长度大型&gt;1250~2000，中型&gt;500~800，小型&gt;85~120；精度高精度的4+5。项号7：直径或宽度大型&gt;630~1000，中型&gt;160~440，小型&gt;65~90；长度大型&gt;2000~3150，中型&gt;800~1250，小型&gt;120~160；精度高精度的平面加工。项号8：直径或宽度大型&gt;1000~1600，中型&gt;440~630，小型&gt;90~120；长度大型&gt;3150~5000，中型&gt;1250~2000，小型&gt;160~200；精度4或5，或6加7。项号9：直径或宽度大型&gt;1600，中型&gt;630，小型&gt;120；长度大型&gt;5000，中型&gt;2000，小型&gt;200；精度超高精度。]</w:t>
      </w:r>
    </w:p>
    <w:p/>
    <w:p>
      <w:r>
        <w:rPr>
          <w:b/>
          <w:color w:val="004600"/>
        </w:rPr>
        <w:t>[图示说明：图2-58为JLBM—1分类编码系统的结构框图，展示15个码位的组成：第一位、第二位为名称类别矩阵，分名称类别粗分类和细分类，粗分类分回转体零件（轮盘类、环套类、销杆轴类、齿轮类、异形件、专用类）和非回转体零件（杆条类、板块类、座架类、箱壳体类）；第三到第九位为形状及加工码，分回转体零件和非回转体零件两类，回转体零件的形状加工码分外部形状及加工、内部形状及加工、平面曲面加工、辅助加工，非回转体零件的分外部形状及加工、主孔内部形状及加工、辅助加工；第十到第十五位为辅助码，分别为材料、毛坯原始形状、热处理、主要尺寸（直径或宽度、长度）、精度。]</w:t>
      </w:r>
    </w:p>
    <w:p/>
    <w:p>
      <w:r>
        <w:rPr>
          <w:b/>
          <w:color w:val="004600"/>
        </w:rPr>
        <w:t>[图示说明：图2-59为JLBM—1分类编码系统编码示例，a为回转类零件锥套，材料45钢锻件，编码为151024301365533；b为非回转体零件座，材料HT150，编码为730200302050755，分别对应各码位的特征含义。]</w:t>
      </w:r>
    </w:p>
    <w:p/>
    <w:p>
      <w:pPr>
        <w:pStyle w:val="Heading2"/>
      </w:pPr>
      <w:r>
        <w:t>三、成组工艺</w:t>
      </w:r>
    </w:p>
    <w:p>
      <w:pPr>
        <w:pStyle w:val="Heading3"/>
      </w:pPr>
      <w:r>
        <w:t>1. 零件组（族）的划分</w:t>
      </w:r>
    </w:p>
    <w:p>
      <w:r>
        <w:t>零件分类成组的方法主要有：视检法、生产流程分析法和编码分类法等。</w:t>
      </w:r>
    </w:p>
    <w:p>
      <w:r>
        <w:t>（1）视检法 视检法是由有经验的技术人员直接根据零件的相似特征进行分类。由于这种分类法要完全凭借个人的经验，因此难免带有片面性。</w:t>
      </w:r>
    </w:p>
    <w:p>
      <w:r>
        <w:t>（2）生产流程分析法 直接按零件的加工工艺分类，把加工工艺相同的零件划在同一组中。这时，主要考虑零件制造过程的相似性，而不拘泥于零件结构的相似性。例如，图2-60所示的一组零件，从设计角度看似乎没有共同之处，但从工艺角度看，这几个零件都是铸件，都要加工一个垂直于端面的中孔，使用相同的机床，可以归属于同一零件加工组。</w:t>
      </w:r>
    </w:p>
    <w:p/>
    <w:p>
      <w:r>
        <w:t>生产流程分析法划分零件组时只需要零件的工艺信息，按工艺过程和使用设备的相似程度对零件进行分组。具体步骤有：</w:t>
      </w:r>
    </w:p>
    <w:p>
      <w:r>
        <w:t>1）整理零件清单、每种零件的工艺路线卡及其所用设备清单。</w:t>
      </w:r>
    </w:p>
    <w:p>
      <w:r>
        <w:t>2）将零件按工艺过程类别分组，将工序（主要的）类型、数目和顺序完全一致的放在一起，称为基本组。</w:t>
      </w:r>
    </w:p>
    <w:p>
      <w:r>
        <w:t>3）将基本组合并成零件组或生产单元。并组的原则是尽量减少跨组加工的零件，即保证在生产单元内能完成进入该单元的零件的全部或大部分工序。</w:t>
      </w:r>
    </w:p>
    <w:p>
      <w:r>
        <w:t>4）调整机床负荷。根据工厂生产纲领和零件工时定额，计算出生产单元中各机床的负荷率，然后进行负荷平衡。通过在各生产单元间调整部分零件的办法调整负荷率，使各生产单元的负荷大致相等，并尽量使每一单元内的设备负荷达到平衡。</w:t>
      </w:r>
    </w:p>
    <w:p/>
    <w:p>
      <w:r>
        <w:t>表2-24是用生产流程分析法分组的简单示例，可以看出，这种分类法能同时产生零件组和机床组，形象直观，且容易操作。</w:t>
      </w:r>
    </w:p>
    <w:p/>
    <w:p>
      <w:r>
        <w:rPr>
          <w:b/>
          <w:color w:val="004600"/>
        </w:rPr>
        <w:t>[图示说明：图2-60为一组外形不同而工艺相似的零件，共6个零件，结构外形各不同，工艺均为铸件加工垂直端面的中孔。]</w:t>
      </w:r>
    </w:p>
    <w:p>
      <w:r>
        <w:rPr>
          <w:b/>
          <w:color w:val="004600"/>
        </w:rPr>
        <w:t>[表格说明：表2-24为生产流程分析法的零件分组，分为两部分，第一部分机床对应零件号1到20，第二部分机床对应重排后的零件号。第一部分内容：车床对应零件1、2、4、5、7、8、9、11、12、13、14、16、17、18、19、20有加工；立式铣床对应零件1、2、4、7、9、12、14、20有加工；卧式铣床对应零件4、6、8、11、13、16、17、18、19有加工；刨床对应零件3、5、8、12、15有加工；钻床对应零件1、2、3、4、7、8、9、10、11、12、13、14、16、17、18、20有加工；外圆磨床对应零件1、2、3、8、12、15、17、19有加工；平面磨床对应零件3、5、12、15有加工；镗床对应零件3、10、12有加工。第二部分重排零件号后，第一组机床对应零件1、2、20、7、11、14、9、5、4、18、12、8：车床对应全部零件有加工，立式铣床对应全部零件有加工，钻床对应全部零件有加工，外圆磨床对应零件1、2、20、5有加工。第二组机床对应零件17、15、19、3、13、6、16、10：车床对应全部零件有加工，卧式铣床对应全部零件有加工，钻床对应零件17、15、19、3、13、6、16有加工，外圆磨床对应零件17、15、19有加工，刨床对应零件19、3、13、6、16有加工，钻床、平面磨床、镗床对应零件3、13、6、16、10有加工。]</w:t>
      </w:r>
    </w:p>
    <w:p/>
    <w:p>
      <w:r>
        <w:t>（3）编码分类法 根据零件编码划分零件组的方法主要有：特征码位法、码域法和特征位码域法。</w:t>
      </w:r>
    </w:p>
    <w:p>
      <w:r>
        <w:t>1）特征码位法 在零件编码时，凡规定码位的码值相同者归属于一组，称为特征码位法。例如，选1、2、6、7、14、15码位为特征码位编码时，只要这几个码位的码值相同就归为一组。其他码位可为全码域任一码值。</w:t>
      </w:r>
    </w:p>
    <w:p>
      <w:r>
        <w:rPr>
          <w:b/>
          <w:color w:val="004600"/>
        </w:rPr>
        <w:t>[图示说明：图2-61为特征码位法分类，表格行是码值0到9，列是码位1到15，选中的码位码值相同的零件归为一组，示例中零件042473063189714、043583023155814、043693083215614可分为一组。]</w:t>
      </w:r>
    </w:p>
    <w:p/>
    <w:p>
      <w:r>
        <w:t>2）码域法 对码位的码值规定一个码域（范围），当零件的码位值均在规定的码域内则可归为一组，称为码域法。码位1选定码域为2，其码值为1和2；码位2选定码域为4，其码值为0~3；依次类推。未做特别规定的码位为全码域。只要零件的编码属于上述码域，就可归属于一组。</w:t>
      </w:r>
    </w:p>
    <w:p>
      <w:r>
        <w:rPr>
          <w:b/>
          <w:color w:val="004600"/>
        </w:rPr>
        <w:t>[图示说明：图2-62为码域法分类，表格行是码值0到9，列是码位1到15，各码位规定不同码值范围，符合范围的零件归为一组，示例中零件230241476318922、23351382315511、111782498563432可分为一组。]</w:t>
      </w:r>
    </w:p>
    <w:p/>
    <w:p>
      <w:r>
        <w:t>3）特征位码域法 特征位码域法是前述两种方法的综合。码位3、5为特征码位，其余码位有的规定了码域，有的仍为全码域。这种分类法既考虑了零件分类的主要特征，也放宽了对零件相似性的要求。</w:t>
      </w:r>
    </w:p>
    <w:p>
      <w:r>
        <w:rPr>
          <w:b/>
          <w:color w:val="004600"/>
        </w:rPr>
        <w:t>[图示说明：图2-63为特征位码域法分类，表格行是码值0到9，列是码位1到15，部分码位为特征码位，其余设码域，符合要求的零件归为一组，示例中零件230202424763100、120000335823111、220203436983210可分为一组。]</w:t>
      </w:r>
    </w:p>
    <w:p/>
    <w:p>
      <w:pPr>
        <w:pStyle w:val="Heading3"/>
      </w:pPr>
      <w:r>
        <w:t>2. 设计主样件和制定典型工艺</w:t>
      </w:r>
    </w:p>
    <w:p>
      <w:r>
        <w:t>在零件划分为组（族）以后，每组选定一个能包括该组全部结构要素的零件作为主样件（多半是假想件，或称虚拟零件），并对其编制工艺规程。主样件的工艺规程适用于组内所有零件。</w:t>
      </w:r>
    </w:p>
    <w:p>
      <w:r>
        <w:rPr>
          <w:b/>
          <w:color w:val="004600"/>
        </w:rPr>
        <w:t>[图示说明：图2-64为样件法工艺过程举例，四个零件的工艺过程分别为：零件1：C1—C2—XJ；零件2：C1—C2—XJ；零件3：C1—C2—XJ—X；零件4：C1—C2—XJ—Z；主样件包含所有结构要素，工艺过程为C1—C2—XJ—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