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wmf" ContentType="image/x-wmf"/>
  <Override PartName="/word/media/image9.wmf" ContentType="image/x-wmf"/>
  <Override PartName="/word/media/image18.wmf" ContentType="image/x-wmf"/>
  <Override PartName="/word/media/image20.wmf" ContentType="image/x-wmf"/>
  <Override PartName="/word/media/image12.wmf" ContentType="image/x-wmf"/>
  <Override PartName="/word/media/image3.wmf" ContentType="image/x-wmf"/>
  <Override PartName="/word/media/image8.wmf" ContentType="image/x-wmf"/>
  <Override PartName="/word/media/image17.wmf" ContentType="image/x-wmf"/>
  <Override PartName="/word/media/image21.png" ContentType="image/png"/>
  <Override PartName="/word/media/image19.wmf" ContentType="image/x-wmf"/>
  <Override PartName="/word/media/image1.png" ContentType="image/png"/>
  <Override PartName="/word/media/image2.png" ContentType="image/png"/>
  <Override PartName="/word/media/image15.wmf" ContentType="image/x-wmf"/>
  <Override PartName="/word/media/image6.wmf" ContentType="image/x-wmf"/>
  <Override PartName="/word/media/image4.emf" ContentType="image/x-emf"/>
  <Override PartName="/word/media/image10.wmf" ContentType="image/x-wmf"/>
  <Override PartName="/word/media/image14.wmf" ContentType="image/x-wmf"/>
  <Override PartName="/word/media/image5.wmf" ContentType="image/x-wmf"/>
  <Override PartName="/word/media/image16.wmf" ContentType="image/x-wmf"/>
  <Override PartName="/word/media/image7.wmf" ContentType="image/x-wmf"/>
  <Override PartName="/word/media/image11.wmf" ContentType="image/x-wmf"/>
  <Override PartName="/word/embeddings/oleObject13.bin" ContentType="application/vnd.openxmlformats-officedocument.oleObject"/>
  <Override PartName="/word/embeddings/oleObject12.bin" ContentType="application/vnd.openxmlformats-officedocument.oleObject"/>
  <Override PartName="/word/embeddings/oleObject11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8.bin" ContentType="application/vnd.openxmlformats-officedocument.oleObject"/>
  <Override PartName="/word/embeddings/oleObject7.bin" ContentType="application/vnd.openxmlformats-officedocument.oleObject"/>
  <Override PartName="/word/embeddings/oleObject19.bin" ContentType="application/vnd.openxmlformats-officedocument.oleObject"/>
  <Override PartName="/word/embeddings/oleObject6.bin" ContentType="application/vnd.openxmlformats-officedocument.oleObject"/>
  <Override PartName="/word/embeddings/oleObject20.bin" ContentType="application/vnd.openxmlformats-officedocument.oleObject"/>
  <Override PartName="/word/embeddings/oleObject18.bin" ContentType="application/vnd.openxmlformats-officedocument.oleObject"/>
  <Override PartName="/word/embeddings/oleObject5.bin" ContentType="application/vnd.openxmlformats-officedocument.oleObject"/>
  <Override PartName="/word/embeddings/oleObject17.bin" ContentType="application/vnd.openxmlformats-officedocument.oleObject"/>
  <Override PartName="/word/embeddings/oleObject4.bin" ContentType="application/vnd.openxmlformats-officedocument.oleObject"/>
  <Override PartName="/word/embeddings/oleObject16.bin" ContentType="application/vnd.openxmlformats-officedocument.oleObject"/>
  <Override PartName="/word/embeddings/oleObject3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14.bin" ContentType="application/vnd.openxmlformats-officedocument.oleObject"/>
  <Override PartName="/word/embeddings/oleObject1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</w:p>
    <w:p>
      <w:pPr>
        <w:pStyle w:val="Normal"/>
        <w:jc w:val="start"/>
        <w:rPr>
          <w:sz w:val="28"/>
          <w:u w:val="single"/>
        </w:rPr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        </w:t>
      </w:r>
    </w:p>
    <w:p>
      <w:pPr>
        <w:pStyle w:val="Normal"/>
        <w:spacing w:lineRule="atLeast" w:line="360" w:before="240" w:after="0"/>
        <w:jc w:val="start"/>
        <w:rPr>
          <w:sz w:val="24"/>
        </w:rPr>
      </w:pPr>
      <w:r>
        <w:rPr>
          <w:sz w:val="24"/>
        </w:rPr>
        <w:t>一．解释下列工艺学名词：（每题</w:t>
      </w:r>
      <w:r>
        <w:rPr>
          <w:sz w:val="24"/>
        </w:rPr>
        <w:t>3</w:t>
      </w:r>
      <w:r>
        <w:rPr>
          <w:sz w:val="24"/>
        </w:rPr>
        <w:t>分，共</w:t>
      </w:r>
      <w:r>
        <w:rPr>
          <w:sz w:val="24"/>
        </w:rPr>
        <w:t>15</w:t>
      </w:r>
      <w:r>
        <w:rPr>
          <w:sz w:val="24"/>
        </w:rPr>
        <w:t>分）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1</w:t>
      </w:r>
      <w:r>
        <w:rPr>
          <w:sz w:val="24"/>
        </w:rPr>
        <w:t>．生产过程</w:t>
      </w:r>
      <w:r>
        <w:rPr>
          <w:sz w:val="24"/>
        </w:rPr>
        <w:softHyphen/>
      </w:r>
      <w:r>
        <w:rPr>
          <w:rFonts w:cs="宋体;SimSun" w:ascii="宋体;SimSun" w:hAnsi="宋体;SimSun"/>
          <w:sz w:val="24"/>
        </w:rPr>
        <w:t>——</w:t>
      </w:r>
      <w:r>
        <w:rPr>
          <w:sz w:val="24"/>
        </w:rPr>
        <w:t>从确定产品意向直至产品销售或报废的整个过程。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2</w:t>
      </w:r>
      <w:r>
        <w:rPr>
          <w:sz w:val="24"/>
        </w:rPr>
        <w:t>．工时定额——又成功需时间定额，是指一个零件完成一道工序所需要时间的规定值。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3</w:t>
      </w:r>
      <w:r>
        <w:rPr>
          <w:sz w:val="24"/>
        </w:rPr>
        <w:t>．自激振动——在不受外界周期力的作用下，系统发生的不衰减的振动。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4</w:t>
      </w:r>
      <w:r>
        <w:rPr>
          <w:sz w:val="24"/>
        </w:rPr>
        <w:t>．工序——一个（或一组）工人，在一个工作地，对一个（或同时完成的多个）工件所连续完成的工作。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>
          <w:sz w:val="24"/>
        </w:rPr>
      </w:pPr>
      <w:r>
        <w:rPr>
          <w:sz w:val="24"/>
        </w:rPr>
        <w:t>5</w:t>
      </w:r>
      <w:r>
        <w:rPr>
          <w:sz w:val="24"/>
        </w:rPr>
        <w:t>．基准——用于确定其他几何要素（点、线、面）位置关系的几何要素（点、线、面）。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</w:rPr>
        <w:t>二．试述在滚齿加工中，素线和导线各由什么形成？属于什么形成方法？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firstLine="63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滚刀切削刃与工件的对滚运动形成素线，滚刀的轴向进给运动形成导线，属于范成法加工。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spacing w:lineRule="atLeast" w:line="360"/>
        <w:jc w:val="start"/>
        <w:rPr/>
      </w:pPr>
      <w:r>
        <w:rPr>
          <w:sz w:val="24"/>
        </w:rPr>
        <w:t>三．指出五种类型的铣床，并说明他们的特点（</w:t>
      </w:r>
      <w:r>
        <w:rPr>
          <w:sz w:val="24"/>
        </w:rPr>
        <w:t>1</w:t>
      </w:r>
      <w:r>
        <w:rPr>
          <w:sz w:val="24"/>
        </w:rPr>
        <w:t>5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卧式铣床——主轴水平放置，主要用于各种槽和台阶面的加工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立式铣床——主轴垂直放置，主要用于大平面、曲面、型腔等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龙门铣床——主轴箱使用龙门架的形式支撑，用于加工大型零件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万能铣床——通过附件，可以快速改变为卧式或立式铣床，实现卧式铣床和立式铣床的加工功能。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工具铣床——铣床主轴可以设置一定角度，工作台运动有联动附件，可以实现如铲背铣（铣后刀面）。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/>
        <w:t>四．</w:t>
      </w:r>
      <w:r>
        <w:rPr>
          <w:sz w:val="24"/>
        </w:rPr>
        <w:t>工件在切削过程中，切屑由哪个变形区的什么变形形成的，用什么参数衡量其变形程度</w:t>
      </w:r>
      <w:r>
        <w:rPr>
          <w:rFonts w:ascii="宋体;SimSun" w:hAnsi="宋体;SimSun"/>
          <w:sz w:val="24"/>
        </w:rPr>
        <w:t xml:space="preserve">?  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sz w:val="24"/>
        </w:rPr>
        <w:t>切屑由第一变形区的剪切变形形成的，如图中的</w:t>
      </w:r>
      <w:r>
        <w:rPr>
          <w:sz w:val="24"/>
        </w:rPr>
        <w:t>I</w:t>
      </w:r>
      <w:r>
        <w:rPr>
          <w:sz w:val="24"/>
        </w:rPr>
        <w:t>区。</w:t>
      </w:r>
      <w:r>
        <w:rPr>
          <w:rFonts w:ascii="宋体;SimSun" w:hAnsi="宋体;SimSun"/>
          <w:sz w:val="24"/>
          <w:lang w:val="en-US" w:eastAsia="en-US"/>
        </w:rPr>
        <w:drawing>
          <wp:inline distT="0" distB="0" distL="0" distR="0">
            <wp:extent cx="3676650" cy="230886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4" t="-22" r="-14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bCs/>
          <w:sz w:val="24"/>
          <w:szCs w:val="24"/>
        </w:rPr>
        <w:t>变形程度的度量</w:t>
      </w:r>
      <w:r>
        <w:rPr>
          <w:rFonts w:ascii="宋体;SimSun" w:hAnsi="宋体;SimSun"/>
          <w:bCs/>
          <w:sz w:val="24"/>
          <w:szCs w:val="24"/>
        </w:rPr>
        <w:t>——</w:t>
      </w:r>
      <w:r>
        <w:rPr>
          <w:rFonts w:ascii="宋体;SimSun" w:hAnsi="宋体;SimSun"/>
          <w:bCs/>
          <w:sz w:val="24"/>
          <w:szCs w:val="24"/>
        </w:rPr>
        <w:t>剪切角</w:t>
      </w:r>
      <w:r>
        <w:rPr>
          <w:rFonts w:cs="宋体;SimSun" w:ascii="宋体;SimSun" w:hAnsi="宋体;SimSun"/>
          <w:bCs/>
          <w:i/>
          <w:sz w:val="24"/>
          <w:szCs w:val="24"/>
        </w:rPr>
        <w:t>ф</w:t>
      </w:r>
      <w:r>
        <w:rPr>
          <w:rFonts w:ascii="宋体;SimSun" w:hAnsi="宋体;SimSun" w:cs="宋体;SimSun"/>
          <w:bCs/>
          <w:sz w:val="24"/>
          <w:szCs w:val="24"/>
        </w:rPr>
        <w:t>，但不易测量，因此可以用滑移系数、长度变形系数或厚度变形系数来衡量。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  <w:lang w:val="en-US" w:eastAsia="en-US"/>
        </w:rPr>
        <w:drawing>
          <wp:inline distT="0" distB="0" distL="0" distR="0">
            <wp:extent cx="3808730" cy="188087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5" t="-30" r="-15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>五．什么是误差复映规律？简要说明误差复映系数与哪些因素有关。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误差复映规律是指在加工后，加工前工件的误差按一定的比例仍然保留在工件上的现象，该比例系数即为误差复映系数。它是由于工艺系统存在弹性变形引起的。加工时，工件原来的误差使切削深度发生变化，从而引起切削力变化，在系统刚度的影响下，刀具产生“让刀”，从而产生加工误差。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误差复映系数与系统刚度成反比，与切削系数成正比，切削系数和工件材料、热处理状态，刀具材料与几何参数、切削用量有关。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>六．在切削加工中，产生表面粗糙度值的因素有哪些？切削用量（切削速度、进给量和背吃刀量）和表面粗糙度值的关系？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影响表面粗糙度的原因有三个：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切削刀痕所留下的残留面积；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工件表面地塑性变形；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切削过程中的振动。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残留面积与进给量和切削深度有关，与切削速度无关，切削速度增加时，切削力减小，切削区温度增加，因此塑性变形减少，振动减小，因此表面粗糙度值减少。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进给量增加，残留面积增大，同时切削力增大，振动增大，因此表面粗糙度值增加。</w:t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  <w:t>背吃刀量（切削深度）增加，切削力增加，振动增大，因此表面粗糙度值增加。</w:t>
      </w:r>
    </w:p>
    <w:p>
      <w:pPr>
        <w:pStyle w:val="Normal"/>
        <w:spacing w:lineRule="atLeast" w:line="360" w:before="0" w:after="12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jc w:val="start"/>
        <w:rPr>
          <w:sz w:val="24"/>
          <w:szCs w:val="24"/>
        </w:rPr>
      </w:pPr>
      <w:r>
        <w:rPr>
          <w:sz w:val="24"/>
          <w:szCs w:val="24"/>
        </w:rPr>
        <w:t>七．加工一孔内</w:t>
      </w:r>
      <w:r>
        <w:rPr>
          <w:rFonts w:ascii="宋体;SimSun" w:hAnsi="宋体;SimSun"/>
          <w:sz w:val="24"/>
          <w:szCs w:val="24"/>
        </w:rPr>
        <w:t>键槽，要求如左图所示，由于内孔要求较高，需淬火后磨，相关工序如下：镗内孔、插键槽、磨内孔。工序图如下。计算尺寸</w:t>
      </w:r>
      <w:r>
        <w:rPr>
          <w:rFonts w:ascii="宋体;SimSun" w:hAnsi="宋体;SimSun"/>
          <w:sz w:val="24"/>
          <w:szCs w:val="24"/>
        </w:rPr>
        <w:t>M</w:t>
      </w:r>
      <w:r>
        <w:rPr>
          <w:rFonts w:ascii="宋体;SimSun" w:hAnsi="宋体;SimSun"/>
          <w:sz w:val="24"/>
          <w:szCs w:val="24"/>
        </w:rPr>
        <w:t>及偏差</w:t>
      </w:r>
      <w:r>
        <w:rPr>
          <w:rFonts w:ascii="宋体;SimSun" w:hAnsi="宋体;SimSun"/>
          <w:sz w:val="24"/>
          <w:szCs w:val="24"/>
        </w:rPr>
        <w:t>T</w:t>
      </w:r>
      <w:r>
        <w:rPr>
          <w:rFonts w:ascii="宋体;SimSun" w:hAnsi="宋体;SimSun"/>
          <w:sz w:val="24"/>
          <w:szCs w:val="24"/>
        </w:rPr>
        <w:t>。</w:t>
      </w:r>
      <w:r>
        <w:rPr>
          <w:sz w:val="24"/>
        </w:rPr>
        <w:t>（</w:t>
      </w:r>
      <w:r>
        <w:rPr>
          <w:sz w:val="24"/>
        </w:rPr>
        <w:t>20</w:t>
      </w:r>
      <w:r>
        <w:rPr>
          <w:sz w:val="24"/>
        </w:rPr>
        <w:t>分）</w: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2">
                <wp:simplePos x="0" y="0"/>
                <wp:positionH relativeFrom="page">
                  <wp:posOffset>5234940</wp:posOffset>
                </wp:positionH>
                <wp:positionV relativeFrom="paragraph">
                  <wp:posOffset>46990</wp:posOffset>
                </wp:positionV>
                <wp:extent cx="1328420" cy="1316990"/>
                <wp:effectExtent l="0" t="0" r="0" b="0"/>
                <wp:wrapSquare wrapText="bothSides"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13169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object w:dxaOrig="2889" w:dyaOrig="2759">
                                <v:shapetype id="_x0000_tole_rId4" coordsize="21600,21600" o:spt="ole_rId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104.55pt;height:103.7pt" filled="f" o:ole="">
                                  <v:imagedata r:id="rId5" o:title=""/>
                                </v:shape>
                                <o:OLEObject Type="Embed" ProgID="" ShapeID="ole_rId4" DrawAspect="Content" ObjectID="_270783702" r:id="rId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4.6pt;height:103.7pt;mso-wrap-distance-left:9pt;mso-wrap-distance-right:9pt;mso-wrap-distance-top:0pt;mso-wrap-distance-bottom:0pt;margin-top:3.7pt;mso-position-vertical-relative:text;margin-left:412.2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object w:dxaOrig="2889" w:dyaOrig="2759">
                          <v:shapetype id="_x0000_tole_rId6" coordsize="21600,21600" o:spt="ole_rId6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6" type="_x0000_tole_rId6" style="width:104.55pt;height:103.7pt" filled="f" o:ole="">
                            <v:imagedata r:id="rId7" o:title=""/>
                          </v:shape>
                          <o:OLEObject Type="Embed" ProgID="" ShapeID="ole_rId6" DrawAspect="Content" ObjectID="_1140717598" r:id="rId6"/>
                        </w:objec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start"/>
        <w:rPr/>
      </w:pPr>
      <w:r>
        <w:rPr/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4">
                <wp:simplePos x="0" y="0"/>
                <wp:positionH relativeFrom="page">
                  <wp:posOffset>1234440</wp:posOffset>
                </wp:positionH>
                <wp:positionV relativeFrom="paragraph">
                  <wp:posOffset>176530</wp:posOffset>
                </wp:positionV>
                <wp:extent cx="3601720" cy="1027430"/>
                <wp:effectExtent l="0" t="0" r="0" b="0"/>
                <wp:wrapSquare wrapText="bothSides"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1720" cy="10274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object w:dxaOrig="5672" w:dyaOrig="1618">
                                <v:shapetype id="_x0000_tole_rId8" coordsize="21600,21600" o:spt="ole_rId8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8" type="_x0000_tole_rId8" style="width:283.6pt;height:80.9pt" filled="f" o:ole="">
                                  <v:imagedata r:id="rId9" o:title=""/>
                                </v:shape>
                                <o:OLEObject Type="Embed" ProgID="" ShapeID="ole_rId8" DrawAspect="Content" ObjectID="_2014140847" r:id="rId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83.6pt;height:80.9pt;mso-wrap-distance-left:9pt;mso-wrap-distance-right:9pt;mso-wrap-distance-top:0pt;mso-wrap-distance-bottom:0pt;margin-top:13.9pt;mso-position-vertical-relative:text;margin-left:97.2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object w:dxaOrig="5672" w:dyaOrig="1618">
                          <v:shapetype id="_x0000_tole_rId10" coordsize="21600,21600" o:spt="ole_rId10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0" type="_x0000_tole_rId10" style="width:283.6pt;height:80.9pt" filled="f" o:ole="">
                            <v:imagedata r:id="rId11" o:title=""/>
                          </v:shape>
                          <o:OLEObject Type="Embed" ProgID="" ShapeID="ole_rId10" DrawAspect="Content" ObjectID="_361298396" r:id="rId10"/>
                        </w:objec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jc w:val="center"/>
        <w:textAlignment w:val="bottom"/>
        <w:rPr/>
      </w:pPr>
      <w:r>
        <w:rPr/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>
          <w:sz w:val="24"/>
          <w:szCs w:val="24"/>
        </w:rPr>
        <w:t>解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>
          <w:sz w:val="24"/>
          <w:szCs w:val="24"/>
        </w:rPr>
        <w:t>键槽设计尺寸</w:t>
      </w:r>
      <w:r>
        <w:rPr>
          <w:sz w:val="24"/>
          <w:szCs w:val="24"/>
        </w:rPr>
        <w:object w:dxaOrig="580" w:dyaOrig="380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29pt;height:19pt" filled="f" o:ole="">
            <v:imagedata r:id="rId13" o:title=""/>
          </v:shape>
          <o:OLEObject Type="Embed" ProgID="" ShapeID="ole_rId12" DrawAspect="Content" ObjectID="_862667887" r:id="rId12"/>
        </w:object>
      </w:r>
      <w:r>
        <w:rPr>
          <w:sz w:val="24"/>
          <w:szCs w:val="24"/>
        </w:rPr>
        <w:t>由铣键槽工序尺寸</w:t>
      </w:r>
      <w:r>
        <w:rPr>
          <w:rFonts w:ascii="宋体;SimSun" w:hAnsi="宋体;SimSun"/>
          <w:sz w:val="24"/>
        </w:rPr>
        <w:object w:dxaOrig="499" w:dyaOrig="380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24.95pt;height:19.45pt" filled="f" o:ole="">
            <v:imagedata r:id="rId15" o:title=""/>
          </v:shape>
          <o:OLEObject Type="Embed" ProgID="" ShapeID="ole_rId14" DrawAspect="Content" ObjectID="_1950075012" r:id="rId14"/>
        </w:object>
      </w:r>
      <w:r>
        <w:rPr>
          <w:sz w:val="24"/>
          <w:szCs w:val="24"/>
        </w:rPr>
        <w:t>和</w:t>
      </w:r>
      <w:r>
        <w:rPr>
          <w:rFonts w:ascii="宋体;SimSun" w:hAnsi="宋体;SimSun"/>
          <w:sz w:val="24"/>
          <w:szCs w:val="24"/>
        </w:rPr>
        <w:t>镗内孔</w:t>
      </w:r>
      <w:r>
        <w:rPr>
          <w:sz w:val="24"/>
          <w:szCs w:val="24"/>
        </w:rPr>
        <w:t>工序尺寸</w:t>
      </w:r>
      <w:r>
        <w:rPr>
          <w:sz w:val="24"/>
          <w:szCs w:val="24"/>
        </w:rPr>
        <w:object w:dxaOrig="880" w:dyaOrig="380"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44pt;height:19pt" filled="f" o:ole="">
            <v:imagedata r:id="rId17" o:title=""/>
          </v:shape>
          <o:OLEObject Type="Embed" ProgID="" ShapeID="ole_rId16" DrawAspect="Content" ObjectID="_1569270008" r:id="rId16"/>
        </w:object>
      </w:r>
      <w:r>
        <w:rPr>
          <w:sz w:val="24"/>
          <w:szCs w:val="24"/>
        </w:rPr>
        <w:t>与磨</w:t>
      </w:r>
      <w:r>
        <w:rPr>
          <w:rFonts w:ascii="宋体;SimSun" w:hAnsi="宋体;SimSun"/>
          <w:sz w:val="24"/>
          <w:szCs w:val="24"/>
        </w:rPr>
        <w:t>内孔</w:t>
      </w:r>
      <w:r>
        <w:rPr>
          <w:sz w:val="24"/>
          <w:szCs w:val="24"/>
        </w:rPr>
        <w:t>工序尺寸</w:t>
      </w:r>
      <w:r>
        <w:rPr>
          <w:sz w:val="24"/>
          <w:szCs w:val="24"/>
        </w:rPr>
        <w:object w:dxaOrig="840" w:dyaOrig="380"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42pt;height:19pt" filled="f" o:ole="">
            <v:imagedata r:id="rId19" o:title=""/>
          </v:shape>
          <o:OLEObject Type="Embed" ProgID="" ShapeID="ole_rId18" DrawAspect="Content" ObjectID="_908402991" r:id="rId18"/>
        </w:object>
      </w:r>
      <w:r>
        <w:rPr>
          <w:sz w:val="24"/>
          <w:szCs w:val="24"/>
        </w:rPr>
        <w:t>共同保证。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>
          <w:sz w:val="24"/>
          <w:szCs w:val="24"/>
        </w:rPr>
        <w:t>可列出尺寸链如图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/>
        <w:object w:dxaOrig="8108" w:dyaOrig="5310"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160.1pt;height:104.85pt" filled="f" o:ole="">
            <v:imagedata r:id="rId21" o:title=""/>
          </v:shape>
          <o:OLEObject Type="Embed" ProgID="" ShapeID="ole_rId20" DrawAspect="Content" ObjectID="_1223580874" r:id="rId20"/>
        </w:objec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/>
      </w:pPr>
      <w:r>
        <w:rPr>
          <w:sz w:val="24"/>
        </w:rPr>
        <w:t>图中，</w:t>
      </w:r>
      <w:r>
        <w:rPr>
          <w:sz w:val="24"/>
          <w:szCs w:val="24"/>
        </w:rPr>
        <w:object w:dxaOrig="580" w:dyaOrig="380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29pt;height:19pt" filled="f" o:ole="">
            <v:imagedata r:id="rId23" o:title=""/>
          </v:shape>
          <o:OLEObject Type="Embed" ProgID="" ShapeID="ole_rId22" DrawAspect="Content" ObjectID="_2048937325" r:id="rId22"/>
        </w:object>
      </w:r>
      <w:r>
        <w:rPr/>
        <w:t>为封闭环，</w:t>
      </w:r>
      <w:r>
        <w:rPr>
          <w:rFonts w:eastAsia="Times New Roman"/>
        </w:rPr>
        <w:t xml:space="preserve"> 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t>因此：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object w:dxaOrig="3100" w:dyaOrig="480"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155pt;height:24pt" filled="f" o:ole="">
            <v:imagedata r:id="rId25" o:title=""/>
          </v:shape>
          <o:OLEObject Type="Embed" ProgID="" ShapeID="ole_rId24" DrawAspect="Content" ObjectID="_269843971" r:id="rId24"/>
        </w:object>
      </w:r>
    </w:p>
    <w:p>
      <w:pPr>
        <w:pStyle w:val="Normal"/>
        <w:rPr/>
      </w:pPr>
      <w:r>
        <w:rPr/>
        <w:t>上偏差：</w:t>
      </w:r>
      <w:r>
        <w:rPr>
          <w:rFonts w:eastAsia="Times New Roman"/>
        </w:rPr>
        <w:t xml:space="preserve"> </w:t>
      </w:r>
      <w:r>
        <w:rPr/>
        <w:object w:dxaOrig="2680" w:dyaOrig="360"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34pt;height:18pt" filled="f" o:ole="">
            <v:imagedata r:id="rId27" o:title=""/>
          </v:shape>
          <o:OLEObject Type="Embed" ProgID="" ShapeID="ole_rId26" DrawAspect="Content" ObjectID="_912327367" r:id="rId26"/>
        </w:object>
      </w:r>
      <w:r>
        <w:rPr/>
        <w:t>，</w:t>
      </w:r>
      <w:r>
        <w:rPr/>
        <w:object w:dxaOrig="1540" w:dyaOrig="360">
          <v:shapetype id="_x0000_tole_rId28" coordsize="21600,21600" o:spt="ole_rId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77pt;height:18pt" filled="f" o:ole="">
            <v:imagedata r:id="rId29" o:title=""/>
          </v:shape>
          <o:OLEObject Type="Embed" ProgID="" ShapeID="ole_rId28" DrawAspect="Content" ObjectID="_715286328" r:id="rId28"/>
        </w:object>
      </w:r>
    </w:p>
    <w:p>
      <w:pPr>
        <w:pStyle w:val="Normal"/>
        <w:rPr/>
      </w:pPr>
      <w:r>
        <w:rPr/>
        <w:t>上偏差：</w:t>
      </w:r>
      <w:r>
        <w:rPr>
          <w:rFonts w:eastAsia="Times New Roman"/>
        </w:rPr>
        <w:t xml:space="preserve"> </w:t>
      </w:r>
      <w:r>
        <w:rPr/>
        <w:object w:dxaOrig="2299" w:dyaOrig="360"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14.95pt;height:18pt" filled="f" o:ole="">
            <v:imagedata r:id="rId31" o:title=""/>
          </v:shape>
          <o:OLEObject Type="Embed" ProgID="" ShapeID="ole_rId30" DrawAspect="Content" ObjectID="_386770725" r:id="rId30"/>
        </w:object>
      </w:r>
      <w:r>
        <w:rPr/>
        <w:t>，</w:t>
      </w:r>
      <w:r>
        <w:rPr/>
        <w:object w:dxaOrig="1300" w:dyaOrig="360">
          <v:shapetype id="_x0000_tole_rId32" coordsize="21600,21600" o:spt="ole_rId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65pt;height:18pt" filled="f" o:ole="">
            <v:imagedata r:id="rId33" o:title=""/>
          </v:shape>
          <o:OLEObject Type="Embed" ProgID="" ShapeID="ole_rId32" DrawAspect="Content" ObjectID="_1424169843" r:id="rId32"/>
        </w:object>
      </w:r>
    </w:p>
    <w:p>
      <w:pPr>
        <w:pStyle w:val="Normal"/>
        <w:rPr/>
      </w:pPr>
      <w:r>
        <w:rPr/>
        <w:object w:dxaOrig="3900" w:dyaOrig="380"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195pt;height:19pt" filled="f" o:ole="">
            <v:imagedata r:id="rId35" o:title=""/>
          </v:shape>
          <o:OLEObject Type="Embed" ProgID="" ShapeID="ole_rId34" DrawAspect="Content" ObjectID="_31160674" r:id="rId34"/>
        </w:objec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/>
      </w:pPr>
      <w:r>
        <w:rPr>
          <w:rFonts w:ascii="宋体;SimSun" w:hAnsi="宋体;SimSun"/>
          <w:sz w:val="24"/>
        </w:rPr>
        <w:t>八．简述不变成本和可变成本对零件加工经济方案选择的影响。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tLeast" w:line="360"/>
        <w:ind w:start="36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可变费用：直接与生产量成正比的那部分费用。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tLeast" w:line="360"/>
        <w:ind w:start="36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不变用费：与生产批量无直接关系的那部分费用。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tLeast" w:line="360"/>
        <w:ind w:start="360" w:end="0"/>
        <w:textAlignment w:val="bottom"/>
        <w:rPr/>
      </w:pPr>
      <w:r>
        <w:rPr>
          <w:rFonts w:ascii="宋体;SimSun" w:hAnsi="宋体;SimSun"/>
          <w:sz w:val="24"/>
        </w:rPr>
        <w:t>工艺成本可写为：</w:t>
      </w:r>
      <w:r>
        <w:rPr/>
        <w:object w:dxaOrig="1320" w:dyaOrig="279"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66pt;height:14.25pt" filled="f" o:ole="">
            <v:imagedata r:id="rId37" o:title=""/>
          </v:shape>
          <o:OLEObject Type="Embed" ProgID="" ShapeID="ole_rId36" DrawAspect="Content" ObjectID="_1909871296" r:id="rId36"/>
        </w:object>
      </w:r>
      <w:r>
        <w:rPr/>
        <w:t>，</w:t>
      </w:r>
      <w:r>
        <w:rPr>
          <w:rFonts w:ascii="宋体;SimSun" w:hAnsi="宋体;SimSun"/>
          <w:sz w:val="24"/>
        </w:rPr>
        <w:t>式中：</w:t>
      </w:r>
      <w:r>
        <w:rPr>
          <w:rFonts w:ascii="宋体;SimSun" w:hAnsi="宋体;SimSun"/>
          <w:i/>
          <w:sz w:val="24"/>
        </w:rPr>
        <w:t>X</w:t>
      </w:r>
      <w:r>
        <w:rPr>
          <w:rFonts w:ascii="宋体;SimSun" w:hAnsi="宋体;SimSun"/>
          <w:sz w:val="24"/>
        </w:rPr>
        <w:t>为计划生产量，</w:t>
      </w:r>
      <w:r>
        <w:rPr>
          <w:rFonts w:ascii="宋体;SimSun" w:hAnsi="宋体;SimSun"/>
          <w:i/>
          <w:sz w:val="24"/>
        </w:rPr>
        <w:t>b</w:t>
      </w:r>
      <w:r>
        <w:rPr>
          <w:rFonts w:ascii="宋体;SimSun" w:hAnsi="宋体;SimSun"/>
          <w:sz w:val="24"/>
        </w:rPr>
        <w:t xml:space="preserve"> </w:t>
      </w:r>
      <w:r>
        <w:rPr>
          <w:rFonts w:ascii="宋体;SimSun" w:hAnsi="宋体;SimSun"/>
          <w:sz w:val="24"/>
        </w:rPr>
        <w:t>为不变费用，</w:t>
      </w:r>
      <w:r>
        <w:rPr>
          <w:rFonts w:ascii="宋体;SimSun" w:hAnsi="宋体;SimSun"/>
          <w:i/>
          <w:sz w:val="24"/>
        </w:rPr>
        <w:t>m</w:t>
      </w:r>
      <w:r>
        <w:rPr>
          <w:rFonts w:ascii="宋体;SimSun" w:hAnsi="宋体;SimSun"/>
          <w:sz w:val="24"/>
        </w:rPr>
        <w:t xml:space="preserve"> </w:t>
      </w:r>
      <w:r>
        <w:rPr>
          <w:rFonts w:ascii="宋体;SimSun" w:hAnsi="宋体;SimSun"/>
          <w:sz w:val="24"/>
        </w:rPr>
        <w:t>为个变费用。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tLeast" w:line="36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如果有多个工艺方案（例如三个方案），对应不同的不变成本和可变成本，工艺成本可分别表达位：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tLeast" w:line="360"/>
        <w:ind w:firstLine="1155" w:end="0"/>
        <w:textAlignment w:val="bottom"/>
        <w:rPr>
          <w:rFonts w:ascii="宋体;SimSun" w:hAnsi="宋体;SimSun"/>
          <w:sz w:val="24"/>
        </w:rPr>
      </w:pPr>
      <w:r>
        <w:rPr/>
        <w:object w:dxaOrig="1500" w:dyaOrig="340">
          <v:shapetype id="_x0000_tole_rId38" coordsize="21600,21600" o:spt="ole_rId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75pt;height:17.25pt" filled="f" o:ole="">
            <v:imagedata r:id="rId39" o:title=""/>
          </v:shape>
          <o:OLEObject Type="Embed" ProgID="" ShapeID="ole_rId38" DrawAspect="Content" ObjectID="_1395932006" r:id="rId38"/>
        </w:object>
      </w:r>
    </w:p>
    <w:p>
      <w:pPr>
        <w:pStyle w:val="Normal"/>
        <w:ind w:firstLine="1155" w:end="0"/>
        <w:rPr/>
      </w:pPr>
      <w:r>
        <w:rPr/>
        <w:object w:dxaOrig="1579" w:dyaOrig="340">
          <v:shapetype id="_x0000_tole_rId40" coordsize="21600,21600" o:spt="ole_rId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78.7pt;height:17.25pt" filled="f" o:ole="">
            <v:imagedata r:id="rId41" o:title=""/>
          </v:shape>
          <o:OLEObject Type="Embed" ProgID="" ShapeID="ole_rId40" DrawAspect="Content" ObjectID="_639199421" r:id="rId40"/>
        </w:object>
      </w:r>
    </w:p>
    <w:p>
      <w:pPr>
        <w:pStyle w:val="Normal"/>
        <w:ind w:firstLine="1155" w:end="0"/>
        <w:rPr/>
      </w:pPr>
      <w:r>
        <w:rPr/>
        <w:object w:dxaOrig="1540" w:dyaOrig="360">
          <v:shapetype id="_x0000_tole_rId42" coordsize="21600,21600" o:spt="ole_rId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77.2pt;height:18pt" filled="f" o:ole="">
            <v:imagedata r:id="rId43" o:title=""/>
          </v:shape>
          <o:OLEObject Type="Embed" ProgID="" ShapeID="ole_rId42" DrawAspect="Content" ObjectID="_506588789" r:id="rId42"/>
        </w:object>
      </w:r>
    </w:p>
    <w:p>
      <w:pPr>
        <w:pStyle w:val="Normal"/>
        <w:ind w:firstLine="420" w:end="0"/>
        <w:rPr/>
      </w:pPr>
      <w:r>
        <w:rPr/>
        <w:t>不同的方案有不同的最大产量，因此，在不同的产量条件的总成本如图所示：</w:t>
      </w:r>
    </w:p>
    <w:p>
      <w:pPr>
        <w:pStyle w:val="Normal"/>
        <w:ind w:firstLine="420" w:end="0"/>
        <w:rPr/>
      </w:pPr>
      <w:r>
        <w:rPr>
          <w:lang w:val="en-US" w:eastAsia="en-US"/>
        </w:rPr>
        <w:drawing>
          <wp:inline distT="0" distB="0" distL="0" distR="0">
            <wp:extent cx="5418455" cy="3124200"/>
            <wp:effectExtent l="0" t="0" r="0" b="0"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 l="-11" t="-18" r="-11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5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420" w:end="0"/>
        <w:rPr/>
      </w:pPr>
      <w:r>
        <w:rPr/>
        <w:t>因此可以看出，针对不同的产量</w:t>
      </w:r>
      <w:r>
        <w:rPr>
          <w:i/>
        </w:rPr>
        <w:t>X</w:t>
      </w:r>
      <w:r>
        <w:rPr>
          <w:i/>
          <w:szCs w:val="21"/>
          <w:vertAlign w:val="subscript"/>
        </w:rPr>
        <w:t>1</w:t>
      </w:r>
      <w:r>
        <w:rPr/>
        <w:t>、</w:t>
      </w:r>
      <w:r>
        <w:rPr/>
        <w:t>X</w:t>
      </w:r>
      <w:r>
        <w:rPr>
          <w:szCs w:val="21"/>
          <w:vertAlign w:val="subscript"/>
        </w:rPr>
        <w:t>2</w:t>
      </w:r>
      <w:r>
        <w:rPr/>
        <w:t>、</w:t>
      </w:r>
      <w:r>
        <w:rPr/>
        <w:t>X</w:t>
      </w:r>
      <w:r>
        <w:rPr>
          <w:szCs w:val="21"/>
          <w:vertAlign w:val="subscript"/>
        </w:rPr>
        <w:t>3</w:t>
      </w:r>
      <w:r>
        <w:rPr/>
        <w:t>、</w:t>
      </w:r>
      <w:r>
        <w:rPr/>
        <w:t>X</w:t>
      </w:r>
      <w:r>
        <w:rPr>
          <w:szCs w:val="21"/>
          <w:vertAlign w:val="subscript"/>
        </w:rPr>
        <w:t>4</w:t>
      </w:r>
      <w:r>
        <w:rPr/>
        <w:t>，所对应的最低成本是不一样的。一般来说，产量小时，有小的固定成本的方案好。</w:t>
      </w:r>
    </w:p>
    <w:sectPr>
      <w:headerReference w:type="default" r:id="rId45"/>
      <w:footerReference w:type="default" r:id="rId46"/>
      <w:type w:val="nextPage"/>
      <w:pgSz w:w="11906" w:h="16838"/>
      <w:pgMar w:left="1418" w:right="1134" w:gutter="0" w:header="720" w:top="1775" w:footer="595" w:bottom="1140"/>
      <w:pgNumType w:fmt="decimal"/>
      <w:formProt w:val="false"/>
      <w:textDirection w:val="lrTb"/>
      <w:docGrid w:type="default" w:linePitch="28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PAGE </w:instrText>
    </w:r>
    <w:r>
      <w:rPr>
        <w:rStyle w:val="PageNumber"/>
        <w:sz w:val="24"/>
      </w:rPr>
      <w:fldChar w:fldCharType="separate"/>
    </w:r>
    <w:r>
      <w:rPr>
        <w:rStyle w:val="PageNumber"/>
        <w:sz w:val="24"/>
      </w:rPr>
      <w:t>4</w:t>
    </w:r>
    <w:r>
      <w:rPr>
        <w:rStyle w:val="PageNumber"/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NUMPAGES \* ARABIC </w:instrText>
    </w:r>
    <w:r>
      <w:rPr>
        <w:rStyle w:val="PageNumber"/>
        <w:sz w:val="24"/>
      </w:rPr>
      <w:fldChar w:fldCharType="separate"/>
    </w:r>
    <w:r>
      <w:rPr>
        <w:rStyle w:val="PageNumber"/>
        <w:sz w:val="24"/>
      </w:rPr>
      <w:t>4</w:t>
    </w:r>
    <w:r>
      <w:rPr>
        <w:rStyle w:val="PageNumber"/>
        <w:sz w:val="24"/>
      </w:rPr>
      <w:fldChar w:fldCharType="end"/>
    </w:r>
    <w:r>
      <w:rPr>
        <w:rStyle w:val="PageNumber"/>
        <w:sz w:val="24"/>
      </w:rPr>
      <w:t>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start"/>
      <w:rPr>
        <w:rFonts w:ascii="宋体;SimSun" w:hAnsi="宋体;SimSun"/>
      </w:rPr>
    </w:pPr>
    <w:r>
      <w:rPr>
        <w:rFonts w:ascii="宋体;SimSun" w:hAnsi="宋体;SimSun"/>
        <w:sz w:val="18"/>
      </w:rPr>
      <w:t>课程编号：</w:t>
    </w:r>
    <w:r>
      <w:rPr>
        <w:sz w:val="18"/>
      </w:rPr>
      <w:t>XJ076046</w:t>
    </w:r>
    <w:r>
      <w:rPr>
        <w:rFonts w:ascii="宋体;SimSun" w:hAnsi="宋体;SimSun"/>
        <w:sz w:val="18"/>
      </w:rPr>
      <w:t xml:space="preserve">   </w:t>
    </w:r>
    <w:r>
      <w:rPr>
        <w:rFonts w:ascii="宋体;SimSun" w:hAnsi="宋体;SimSun"/>
        <w:sz w:val="24"/>
      </w:rPr>
      <w:t>北京理工大学</w:t>
    </w:r>
    <w:r>
      <w:rPr>
        <w:rFonts w:ascii="宋体;SimSun" w:hAnsi="宋体;SimSun"/>
        <w:sz w:val="24"/>
      </w:rPr>
      <w:t>2004——</w:t>
    </w:r>
    <w:r>
      <w:rPr>
        <w:rFonts w:ascii="宋体;SimSun" w:hAnsi="宋体;SimSun"/>
        <w:sz w:val="24"/>
      </w:rPr>
      <w:t>200</w:t>
    </w:r>
    <w:r>
      <w:rPr>
        <w:rFonts w:ascii="宋体;SimSun" w:hAnsi="宋体;SimSun"/>
        <w:sz w:val="24"/>
      </w:rPr>
      <w:t>5</w:t>
    </w:r>
    <w:r>
      <w:rPr>
        <w:rFonts w:ascii="宋体;SimSun" w:hAnsi="宋体;SimSun"/>
        <w:sz w:val="24"/>
      </w:rPr>
      <w:t>学年第一学期</w:t>
    </w:r>
  </w:p>
  <w:p>
    <w:pPr>
      <w:pStyle w:val="Normal"/>
      <w:jc w:val="center"/>
      <w:rPr>
        <w:rFonts w:ascii="宋体;SimSun" w:hAnsi="宋体;SimSun"/>
        <w:sz w:val="32"/>
      </w:rPr>
    </w:pPr>
    <w:r>
      <w:rPr>
        <w:rFonts w:ascii="宋体;SimSun" w:hAnsi="宋体;SimSun"/>
        <w:sz w:val="32"/>
      </w:rPr>
      <w:t>2002</w:t>
    </w:r>
    <w:r>
      <w:rPr>
        <w:rFonts w:ascii="宋体;SimSun" w:hAnsi="宋体;SimSun"/>
        <w:sz w:val="32"/>
      </w:rPr>
      <w:t>级工业工程专业机械制造工程学终考试卷</w:t>
    </w:r>
    <w:r>
      <w:rPr>
        <w:rFonts w:ascii="宋体;SimSun" w:hAnsi="宋体;SimSun"/>
        <w:sz w:val="32"/>
      </w:rPr>
      <w:t>B</w:t>
    </w:r>
  </w:p>
  <w:p>
    <w:pPr>
      <w:pStyle w:val="Normal"/>
      <w:jc w:val="center"/>
      <w:rPr>
        <w:rFonts w:ascii="宋体;SimSun" w:hAnsi="宋体;SimSun"/>
        <w:sz w:val="32"/>
      </w:rPr>
    </w:pPr>
    <w:r>
      <w:rPr>
        <w:rFonts w:ascii="宋体;SimSun" w:hAnsi="宋体;SimSun"/>
        <w:sz w:val="32"/>
      </w:rPr>
      <w:t>标准答案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doNotExpandShiftReturn/>
    <w:usePrinterMetrics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;SimSun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2z0">
    <w:name w:val="WW8Num2z0"/>
    <w:qFormat/>
    <w:rPr>
      <w:rFonts w:ascii="宋体;SimSun" w:hAnsi="宋体;SimSun" w:eastAsia="宋体;SimSun"/>
      <w:b w:val="false"/>
      <w:i w:val="false"/>
      <w:sz w:val="21"/>
      <w:u w:val="none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宋体;SimSun" w:hAnsi="宋体;SimSun" w:cs="宋体;SimSun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1"/>
      <w:u w:val="none"/>
    </w:rPr>
  </w:style>
  <w:style w:type="character" w:styleId="WW8Num10z0">
    <w:name w:val="WW8Num10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oleObject" Target="embeddings/oleObject1.bin"/><Relationship Id="rId5" Type="http://schemas.openxmlformats.org/officeDocument/2006/relationships/image" Target="media/image3.wmf"/><Relationship Id="rId6" Type="http://schemas.openxmlformats.org/officeDocument/2006/relationships/oleObject" Target="embeddings/oleObject2.bin"/><Relationship Id="rId7" Type="http://schemas.openxmlformats.org/officeDocument/2006/relationships/image" Target="media/image3.wmf"/><Relationship Id="rId8" Type="http://schemas.openxmlformats.org/officeDocument/2006/relationships/oleObject" Target="embeddings/oleObject3.bin"/><Relationship Id="rId9" Type="http://schemas.openxmlformats.org/officeDocument/2006/relationships/image" Target="media/image4.emf"/><Relationship Id="rId10" Type="http://schemas.openxmlformats.org/officeDocument/2006/relationships/oleObject" Target="embeddings/oleObject4.bin"/><Relationship Id="rId11" Type="http://schemas.openxmlformats.org/officeDocument/2006/relationships/image" Target="media/image4.e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4" Type="http://schemas.openxmlformats.org/officeDocument/2006/relationships/image" Target="media/image21.png"/><Relationship Id="rId45" Type="http://schemas.openxmlformats.org/officeDocument/2006/relationships/header" Target="header1.xml"/><Relationship Id="rId46" Type="http://schemas.openxmlformats.org/officeDocument/2006/relationships/footer" Target="footer1.xml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2005-11-02T01:52:00Z</dcterms:created>
  <dc:creator>乔立红</dc:creator>
  <dc:description/>
  <cp:keywords/>
  <dc:language>en-US</dc:language>
  <cp:lastModifiedBy>杨志兵</cp:lastModifiedBy>
  <cp:lastPrinted>2005-11-06T22:54:00Z</cp:lastPrinted>
  <dcterms:modified xsi:type="dcterms:W3CDTF">2005-11-06T15:06:00Z</dcterms:modified>
  <cp:revision>14</cp:revision>
  <dc:subject/>
  <dc:title>北京理工大学九一级机械制造工艺学</dc:title>
</cp:coreProperties>
</file>