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embeddings/oleObject13.bin" ContentType="application/vnd.openxmlformats-officedocument.oleObject"/>
  <Override PartName="/word/embeddings/oleObject12.bin" ContentType="application/vnd.openxmlformats-officedocument.oleObject"/>
  <Override PartName="/word/embeddings/oleObject11.bin" ContentType="application/vnd.openxmlformats-officedocument.oleObject"/>
  <Override PartName="/word/embeddings/oleObject10.bin" ContentType="application/vnd.openxmlformats-officedocument.oleObject"/>
  <Override PartName="/word/embeddings/oleObject9.bin" ContentType="application/vnd.openxmlformats-officedocument.oleObject"/>
  <Override PartName="/word/embeddings/oleObject8.bin" ContentType="application/vnd.openxmlformats-officedocument.oleObject"/>
  <Override PartName="/word/embeddings/oleObject7.bin" ContentType="application/vnd.openxmlformats-officedocument.oleObject"/>
  <Override PartName="/word/embeddings/oleObject6.bin" ContentType="application/vnd.openxmlformats-officedocument.oleObject"/>
  <Override PartName="/word/embeddings/oleObject21.bin" ContentType="application/vnd.openxmlformats-officedocument.oleObject"/>
  <Override PartName="/word/embeddings/oleObject19.bin" ContentType="application/vnd.openxmlformats-officedocument.oleObject"/>
  <Override PartName="/word/embeddings/oleObject20.bin" ContentType="application/vnd.openxmlformats-officedocument.oleObject"/>
  <Override PartName="/word/embeddings/oleObject18.bin" ContentType="application/vnd.openxmlformats-officedocument.oleObject"/>
  <Override PartName="/word/embeddings/oleObject5.bin" ContentType="application/vnd.openxmlformats-officedocument.oleObject"/>
  <Override PartName="/word/embeddings/oleObject17.bin" ContentType="application/vnd.openxmlformats-officedocument.oleObject"/>
  <Override PartName="/word/embeddings/oleObject4.bin" ContentType="application/vnd.openxmlformats-officedocument.oleObject"/>
  <Override PartName="/word/embeddings/oleObject16.bin" ContentType="application/vnd.openxmlformats-officedocument.oleObject"/>
  <Override PartName="/word/embeddings/oleObject3.bin" ContentType="application/vnd.openxmlformats-officedocument.oleObject"/>
  <Override PartName="/word/embeddings/oleObject15.bin" ContentType="application/vnd.openxmlformats-officedocument.oleObject"/>
  <Override PartName="/word/embeddings/oleObject2.bin" ContentType="application/vnd.openxmlformats-officedocument.oleObject"/>
  <Override PartName="/word/embeddings/oleObject14.bin" ContentType="application/vnd.openxmlformats-officedocument.oleObject"/>
  <Override PartName="/word/embeddings/oleObject1.bin" ContentType="application/vnd.openxmlformats-officedocument.oleObject"/>
  <Override PartName="/word/media/image1.wmf" ContentType="image/x-wmf"/>
  <Override PartName="/word/media/image2.wmf" ContentType="image/x-wmf"/>
  <Override PartName="/word/media/image3.wmf" ContentType="image/x-wmf"/>
  <Override PartName="/word/media/image4.wmf" ContentType="image/x-wmf"/>
  <Override PartName="/word/media/image5.wmf" ContentType="image/x-wmf"/>
  <Override PartName="/word/media/image6.wmf" ContentType="image/x-wmf"/>
  <Override PartName="/word/media/image10.wmf" ContentType="image/x-wmf"/>
  <Override PartName="/word/media/image7.wmf" ContentType="image/x-wmf"/>
  <Override PartName="/word/media/image11.wmf" ContentType="image/x-wmf"/>
  <Override PartName="/word/media/image8.wmf" ContentType="image/x-wmf"/>
  <Override PartName="/word/media/image12.wmf" ContentType="image/x-wmf"/>
  <Override PartName="/word/media/image9.wmf" ContentType="image/x-wmf"/>
  <Override PartName="/word/media/image13.wmf" ContentType="image/x-wm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rFonts w:ascii="宋体;SimSun" w:hAnsi="宋体;SimSun"/>
          <w:sz w:val="18"/>
        </w:rPr>
        <w:t>编号（</w:t>
      </w:r>
      <w:r>
        <w:rPr>
          <w:rFonts w:ascii="宋体;SimSun" w:hAnsi="宋体;SimSun"/>
          <w:sz w:val="18"/>
        </w:rPr>
        <w:t>23</w:t>
      </w:r>
      <w:r>
        <w:rPr>
          <w:rFonts w:ascii="宋体;SimSun" w:hAnsi="宋体;SimSun"/>
          <w:sz w:val="18"/>
        </w:rPr>
        <w:t xml:space="preserve">）       </w:t>
      </w:r>
      <w:r>
        <w:rPr>
          <w:rFonts w:ascii="宋体;SimSun" w:hAnsi="宋体;SimSun"/>
          <w:sz w:val="24"/>
        </w:rPr>
        <w:t>北京理工大学远程教育</w:t>
      </w:r>
      <w:r>
        <w:rPr>
          <w:rFonts w:ascii="宋体;SimSun" w:hAnsi="宋体;SimSun"/>
          <w:sz w:val="24"/>
        </w:rPr>
        <w:t>200</w:t>
      </w:r>
      <w:r>
        <w:rPr>
          <w:rFonts w:ascii="宋体;SimSun" w:hAnsi="宋体;SimSun"/>
          <w:sz w:val="24"/>
        </w:rPr>
        <w:t>4</w:t>
      </w:r>
      <w:r>
        <w:rPr>
          <w:rFonts w:ascii="宋体;SimSun" w:hAnsi="宋体;SimSun"/>
          <w:sz w:val="24"/>
        </w:rPr>
        <w:t>-200</w:t>
      </w:r>
      <w:r>
        <w:rPr>
          <w:rFonts w:ascii="宋体;SimSun" w:hAnsi="宋体;SimSun"/>
          <w:sz w:val="24"/>
        </w:rPr>
        <w:t>5</w:t>
      </w:r>
      <w:r>
        <w:rPr>
          <w:rFonts w:ascii="宋体;SimSun" w:hAnsi="宋体;SimSun"/>
          <w:sz w:val="24"/>
        </w:rPr>
        <w:t>学年第二学期</w:t>
      </w:r>
    </w:p>
    <w:p>
      <w:pPr>
        <w:pStyle w:val="Normal"/>
        <w:spacing w:lineRule="auto" w:line="480"/>
        <w:jc w:val="center"/>
        <w:rPr/>
      </w:pPr>
      <w:r>
        <w:rPr>
          <w:rFonts w:ascii="宋体;SimSun" w:hAnsi="宋体;SimSun"/>
          <w:sz w:val="32"/>
        </w:rPr>
        <w:t>《机械制造工程学》期末试卷</w:t>
      </w:r>
      <w:r>
        <w:rPr>
          <w:rFonts w:ascii="宋体;SimSun" w:hAnsi="宋体;SimSun"/>
          <w:sz w:val="32"/>
        </w:rPr>
        <w:t>(</w:t>
      </w:r>
      <w:r>
        <w:rPr>
          <w:rFonts w:ascii="宋体;SimSun" w:hAnsi="宋体;SimSun"/>
          <w:sz w:val="32"/>
        </w:rPr>
        <w:t>B</w:t>
      </w:r>
      <w:r>
        <w:rPr>
          <w:rFonts w:ascii="宋体;SimSun" w:hAnsi="宋体;SimSun"/>
          <w:sz w:val="32"/>
        </w:rPr>
        <w:t>卷</w:t>
      </w:r>
      <w:r>
        <w:rPr>
          <w:rFonts w:ascii="宋体;SimSun" w:hAnsi="宋体;SimSun"/>
          <w:sz w:val="32"/>
        </w:rPr>
        <w:t xml:space="preserve">) </w:t>
      </w:r>
    </w:p>
    <w:p>
      <w:pPr>
        <w:pStyle w:val="Normal"/>
        <w:spacing w:lineRule="exact" w:line="320"/>
        <w:rPr>
          <w:rFonts w:ascii="宋体;SimSun" w:hAnsi="宋体;SimSun"/>
          <w:sz w:val="28"/>
          <w:u w:val="single"/>
        </w:rPr>
      </w:pPr>
      <w:r>
        <w:rPr>
          <w:rFonts w:ascii="宋体;SimSun" w:hAnsi="宋体;SimSun"/>
          <w:sz w:val="28"/>
          <w:u w:val="single"/>
        </w:rPr>
      </w:r>
    </w:p>
    <w:p>
      <w:pPr>
        <w:pStyle w:val="Normal"/>
        <w:spacing w:lineRule="atLeast" w:line="360" w:before="240" w:after="0"/>
        <w:jc w:val="start"/>
        <w:rPr>
          <w:sz w:val="24"/>
        </w:rPr>
      </w:pPr>
      <w:r>
        <w:rPr>
          <w:sz w:val="24"/>
        </w:rPr>
        <w:t>一．解释下列工艺学名词：（每题</w:t>
      </w:r>
      <w:r>
        <w:rPr>
          <w:sz w:val="24"/>
        </w:rPr>
        <w:t>3</w:t>
      </w:r>
      <w:r>
        <w:rPr>
          <w:sz w:val="24"/>
        </w:rPr>
        <w:t>分，共</w:t>
      </w:r>
      <w:r>
        <w:rPr>
          <w:sz w:val="24"/>
        </w:rPr>
        <w:t>15</w:t>
      </w:r>
      <w:r>
        <w:rPr>
          <w:sz w:val="24"/>
        </w:rPr>
        <w:t>分）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1</w:t>
      </w:r>
      <w:r>
        <w:rPr>
          <w:sz w:val="24"/>
        </w:rPr>
        <w:t>．工步——在一道工序中，是用同一把刀，对同一个加工表面所完成的加工过程成为工步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2</w:t>
      </w:r>
      <w:r>
        <w:rPr>
          <w:sz w:val="24"/>
        </w:rPr>
        <w:t>．工艺规程——用文字形式记录下来的工艺过程，是工艺过程的文字表达形式，具有一定的法律意义。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3</w:t>
      </w:r>
      <w:r>
        <w:rPr>
          <w:sz w:val="24"/>
        </w:rPr>
        <w:t>．基准——用来描述其他几何元素（点、线、面）位置关系的几何元素（点、线、面）。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480" w:end="0"/>
        <w:jc w:val="start"/>
        <w:rPr/>
      </w:pPr>
      <w:r>
        <w:rPr>
          <w:sz w:val="24"/>
        </w:rPr>
        <w:t>4</w:t>
      </w:r>
      <w:r>
        <w:rPr>
          <w:sz w:val="24"/>
        </w:rPr>
        <w:t>．成组技术——利用相似性原理，根据工件形状及制造属性把多种零件分组，利用共同特征进行设计、制造和管理的技术。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  <w:t>5</w:t>
      </w:r>
      <w:r>
        <w:rPr>
          <w:sz w:val="24"/>
        </w:rPr>
        <w:t>．节拍时间——在流水加工中，获得一个产品（零件）的时间。</w:t>
      </w:r>
    </w:p>
    <w:p>
      <w:pPr>
        <w:pStyle w:val="Normal"/>
        <w:tabs>
          <w:tab w:val="clear" w:pos="420"/>
          <w:tab w:val="left" w:pos="1800" w:leader="none"/>
        </w:tabs>
        <w:spacing w:lineRule="atLeast" w:line="360" w:before="0" w:after="120"/>
        <w:ind w:firstLine="480" w:end="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/>
      </w:pPr>
      <w:r>
        <w:rPr>
          <w:rFonts w:ascii="宋体;SimSun" w:hAnsi="宋体;SimSun"/>
          <w:sz w:val="24"/>
        </w:rPr>
        <w:t>二．常见的螺纹加工都有哪些方法？针对其中的两种方法各试举一例说明。</w:t>
      </w:r>
      <w:r>
        <w:rPr>
          <w:sz w:val="24"/>
        </w:rPr>
        <w:t>（</w:t>
      </w:r>
      <w:r>
        <w:rPr>
          <w:sz w:val="24"/>
        </w:rPr>
        <w:t>10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firstLine="36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螺纹加工常见方法：（车、攻、铣、磨、滚、挤）</w:t>
      </w:r>
    </w:p>
    <w:p>
      <w:pPr>
        <w:pStyle w:val="Normal"/>
        <w:widowControl/>
        <w:numPr>
          <w:ilvl w:val="0"/>
          <w:numId w:val="3"/>
        </w:numPr>
        <w:tabs>
          <w:tab w:val="clear" w:pos="420"/>
          <w:tab w:val="left" w:pos="3403" w:leader="none"/>
        </w:tabs>
        <w:autoSpaceDE w:val="false"/>
        <w:spacing w:lineRule="atLeast" w:line="360" w:before="0" w:after="120"/>
        <w:textAlignment w:val="bottom"/>
        <w:rPr>
          <w:sz w:val="24"/>
        </w:rPr>
      </w:pPr>
      <w:r>
        <w:rPr>
          <w:rFonts w:ascii="宋体;SimSun" w:hAnsi="宋体;SimSun"/>
          <w:sz w:val="24"/>
        </w:rPr>
        <w:t>在车床上用螺纹车刀车外螺纹或用</w:t>
      </w:r>
      <w:r>
        <w:rPr>
          <w:sz w:val="24"/>
        </w:rPr>
        <w:t>镗刀车内螺纹</w:t>
      </w:r>
      <w:r>
        <w:rPr>
          <w:rFonts w:ascii="宋体;SimSun" w:hAnsi="宋体;SimSun"/>
          <w:sz w:val="24"/>
        </w:rPr>
        <w:t>，通过工件旋转和刀具的轴向进给运动合成螺纹的螺旋线，刀刃形状形成牙型，</w:t>
      </w:r>
      <w:r>
        <w:rPr>
          <w:sz w:val="24"/>
        </w:rPr>
        <w:t>属于成型法加工。</w:t>
      </w:r>
    </w:p>
    <w:p>
      <w:pPr>
        <w:pStyle w:val="Normal"/>
        <w:widowControl/>
        <w:numPr>
          <w:ilvl w:val="0"/>
          <w:numId w:val="3"/>
        </w:numPr>
        <w:tabs>
          <w:tab w:val="clear" w:pos="420"/>
          <w:tab w:val="left" w:pos="3403" w:leader="none"/>
        </w:tabs>
        <w:autoSpaceDE w:val="false"/>
        <w:spacing w:lineRule="atLeast" w:line="360" w:before="0" w:after="120"/>
        <w:textAlignment w:val="bottom"/>
        <w:rPr>
          <w:sz w:val="24"/>
        </w:rPr>
      </w:pPr>
      <w:r>
        <w:rPr>
          <w:sz w:val="24"/>
        </w:rPr>
        <w:t>用丝锥攻内螺纹或用板牙套外螺纹，通过刀具的旋转和轴向进给，实现螺旋线的切削，由丝锥的牙型或板牙保证螺纹齿形，属于成型法加工。</w:t>
      </w:r>
    </w:p>
    <w:p>
      <w:pPr>
        <w:pStyle w:val="Normal"/>
        <w:widowControl/>
        <w:numPr>
          <w:ilvl w:val="0"/>
          <w:numId w:val="3"/>
        </w:numPr>
        <w:tabs>
          <w:tab w:val="clear" w:pos="420"/>
          <w:tab w:val="left" w:pos="3403" w:leader="none"/>
        </w:tabs>
        <w:autoSpaceDE w:val="false"/>
        <w:spacing w:lineRule="atLeast" w:line="360" w:before="0" w:after="120"/>
        <w:textAlignment w:val="bottom"/>
        <w:rPr>
          <w:sz w:val="24"/>
        </w:rPr>
      </w:pPr>
      <w:r>
        <w:rPr>
          <w:sz w:val="24"/>
        </w:rPr>
        <w:t>在加工中心上进行大直径内、外螺纹加工，工作台的旋转和铣刀进给形成螺旋线，铣刀的旋转做切削运动，刀具刀刃回转切线形成螺纹齿形，属于相切法加工。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/>
        <w:jc w:val="start"/>
        <w:rPr/>
      </w:pPr>
      <w:r>
        <w:rPr>
          <w:sz w:val="24"/>
        </w:rPr>
        <w:t>三．请给出精基准的选择原则，并请说明理由。（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numPr>
          <w:ilvl w:val="0"/>
          <w:numId w:val="5"/>
        </w:numPr>
        <w:spacing w:lineRule="atLeast" w:line="360"/>
        <w:jc w:val="start"/>
        <w:rPr>
          <w:sz w:val="24"/>
        </w:rPr>
      </w:pPr>
      <w:r>
        <w:rPr>
          <w:sz w:val="24"/>
        </w:rPr>
        <w:t>尽可能考虑使基准重合（工序基准），以利于减少定位误差。</w:t>
      </w:r>
    </w:p>
    <w:p>
      <w:pPr>
        <w:pStyle w:val="Normal"/>
        <w:numPr>
          <w:ilvl w:val="0"/>
          <w:numId w:val="5"/>
        </w:numPr>
        <w:spacing w:lineRule="atLeast" w:line="360"/>
        <w:jc w:val="start"/>
        <w:rPr>
          <w:sz w:val="24"/>
        </w:rPr>
      </w:pPr>
      <w:r>
        <w:rPr>
          <w:sz w:val="24"/>
        </w:rPr>
        <w:t>定位基准有一定的加工精度，并安装方便。</w:t>
      </w:r>
    </w:p>
    <w:p>
      <w:pPr>
        <w:pStyle w:val="Normal"/>
        <w:numPr>
          <w:ilvl w:val="0"/>
          <w:numId w:val="5"/>
        </w:numPr>
        <w:spacing w:lineRule="atLeast" w:line="360"/>
        <w:jc w:val="start"/>
        <w:rPr>
          <w:sz w:val="24"/>
        </w:rPr>
      </w:pPr>
      <w:r>
        <w:rPr>
          <w:sz w:val="24"/>
        </w:rPr>
        <w:t>定位基准应尽量靠近加工表面，使得在加工中切削力引起的变形和振动最小。</w:t>
      </w:r>
    </w:p>
    <w:p>
      <w:pPr>
        <w:pStyle w:val="Normal"/>
        <w:numPr>
          <w:ilvl w:val="0"/>
          <w:numId w:val="5"/>
        </w:numPr>
        <w:spacing w:lineRule="atLeast" w:line="360"/>
        <w:jc w:val="start"/>
        <w:rPr>
          <w:sz w:val="24"/>
        </w:rPr>
      </w:pPr>
      <w:r>
        <w:rPr>
          <w:sz w:val="24"/>
        </w:rPr>
        <w:t>基准单一化（多数工序都使用同一基准），方便工艺设计与生产准备。</w:t>
      </w:r>
    </w:p>
    <w:p>
      <w:pPr>
        <w:pStyle w:val="Normal"/>
        <w:spacing w:lineRule="atLeast" w:line="36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/>
        <w:t>四．</w:t>
      </w:r>
      <w:r>
        <w:rPr>
          <w:sz w:val="24"/>
        </w:rPr>
        <w:t>试论述</w:t>
      </w:r>
      <w:r>
        <w:rPr>
          <w:rFonts w:ascii="宋体;SimSun" w:hAnsi="宋体;SimSun" w:cs="宋体;SimSun"/>
          <w:sz w:val="24"/>
        </w:rPr>
        <w:t>珩</w:t>
      </w:r>
      <w:r>
        <w:rPr>
          <w:sz w:val="24"/>
        </w:rPr>
        <w:t>磨加工的原理和加工特点（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ind w:firstLine="540" w:end="0"/>
        <w:jc w:val="start"/>
        <w:rPr/>
      </w:pPr>
      <w:r>
        <w:rPr>
          <w:rFonts w:ascii="宋体;SimSun" w:hAnsi="宋体;SimSun" w:cs="宋体;SimSun"/>
          <w:sz w:val="24"/>
        </w:rPr>
        <w:t>珩</w:t>
      </w:r>
      <w:r>
        <w:rPr>
          <w:sz w:val="24"/>
        </w:rPr>
        <w:t>磨加工的刀具是油石，油石通过弹性体与刀柄连接，</w:t>
      </w:r>
      <w:r>
        <w:rPr>
          <w:rFonts w:ascii="宋体;SimSun" w:hAnsi="宋体;SimSun"/>
          <w:sz w:val="24"/>
        </w:rPr>
        <w:t>使珩磨头上的油石以一定的恒力（大致</w:t>
      </w:r>
      <w:r>
        <w:rPr>
          <w:rFonts w:ascii="宋体;SimSun" w:hAnsi="宋体;SimSun"/>
          <w:sz w:val="24"/>
        </w:rPr>
        <w:t>0.2-0.3 MPa</w:t>
      </w:r>
      <w:r>
        <w:rPr>
          <w:rFonts w:ascii="宋体;SimSun" w:hAnsi="宋体;SimSun"/>
          <w:sz w:val="24"/>
        </w:rPr>
        <w:t>）压在被加工表面，同时做近似无规运动（旋转和轴向往复运动）。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rFonts w:ascii="宋体;SimSun" w:hAnsi="宋体;SimSun"/>
          <w:sz w:val="24"/>
        </w:rPr>
        <w:t>通过一定的加工时间，使高点的局部余量被去除，可以提高形状和尺寸精度，以及减少表面粗糙度值。加工精度在</w:t>
      </w:r>
      <w:r>
        <w:rPr>
          <w:rFonts w:ascii="宋体;SimSun" w:hAnsi="宋体;SimSun"/>
          <w:sz w:val="24"/>
        </w:rPr>
        <w:t>0.01-0.001mm</w:t>
      </w:r>
      <w:r>
        <w:rPr>
          <w:rFonts w:ascii="宋体;SimSun" w:hAnsi="宋体;SimSun"/>
          <w:sz w:val="24"/>
        </w:rPr>
        <w:t>之间，表面粗糙度值</w:t>
      </w:r>
      <w:r>
        <w:rPr>
          <w:rFonts w:ascii="宋体;SimSun" w:hAnsi="宋体;SimSun"/>
          <w:sz w:val="24"/>
        </w:rPr>
        <w:t>Ra</w:t>
      </w:r>
      <w:r>
        <w:rPr>
          <w:rFonts w:ascii="宋体;SimSun" w:hAnsi="宋体;SimSun"/>
          <w:sz w:val="24"/>
        </w:rPr>
        <w:t>在</w:t>
      </w:r>
      <w:r>
        <w:rPr>
          <w:rFonts w:ascii="宋体;SimSun" w:hAnsi="宋体;SimSun"/>
          <w:sz w:val="24"/>
        </w:rPr>
        <w:t>0.8-0.1</w:t>
      </w:r>
      <w:r>
        <w:rPr>
          <w:rFonts w:cs="宋体;SimSun" w:ascii="宋体;SimSun" w:hAnsi="宋体;SimSun"/>
          <w:i/>
          <w:sz w:val="24"/>
        </w:rPr>
        <w:t>μ</w:t>
      </w:r>
      <w:r>
        <w:rPr>
          <w:rFonts w:ascii="宋体;SimSun" w:hAnsi="宋体;SimSun"/>
          <w:sz w:val="24"/>
        </w:rPr>
        <w:t>m</w:t>
      </w:r>
      <w:r>
        <w:rPr>
          <w:rFonts w:ascii="宋体;SimSun" w:hAnsi="宋体;SimSun"/>
          <w:sz w:val="24"/>
        </w:rPr>
        <w:t>之间。</w:t>
      </w:r>
    </w:p>
    <w:p>
      <w:pPr>
        <w:pStyle w:val="Normal"/>
        <w:spacing w:lineRule="atLeast" w:line="360" w:before="0" w:after="120"/>
        <w:ind w:firstLine="540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  <w:t>主要用于孔的精加工，也可用于外圆柱面和平面精加工。</w:t>
      </w:r>
    </w:p>
    <w:p>
      <w:pPr>
        <w:pStyle w:val="Normal"/>
        <w:spacing w:lineRule="atLeast" w:line="360" w:before="0" w:after="120"/>
        <w:ind w:firstLine="540" w:end="0"/>
        <w:jc w:val="start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spacing w:lineRule="atLeast" w:line="360" w:before="0" w:after="120"/>
        <w:jc w:val="start"/>
        <w:rPr/>
      </w:pPr>
      <w:r>
        <w:rPr>
          <w:rFonts w:ascii="宋体;SimSun" w:hAnsi="宋体;SimSun"/>
          <w:sz w:val="24"/>
        </w:rPr>
        <w:t>五．机械加工中的振动有哪几种形式？试举出三种具体的减少振动的方法。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5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在机械加工过程中，工艺系统振动有自由振动、受迫振动和自激振动三种模式。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工艺系统在受到偶然外力的作用而产生的、衰减振动称自由振动，振动频率等于工艺系统故有振动频率。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工艺系统受到周期外力的作用而产生的、不衰减的、与外力周期相同的振动称受迫振动。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工艺系统在不受周期外力的作用而产生的、由系统内部提供振动能量的、不衰减的振动称自激振动。在振幅不断增加时则称为“颤振”。</w:t>
      </w:r>
    </w:p>
    <w:p>
      <w:pPr>
        <w:pStyle w:val="Normal"/>
        <w:spacing w:lineRule="atLeast" w:line="360" w:before="0" w:after="120"/>
        <w:ind w:firstLine="540" w:end="0"/>
        <w:jc w:val="start"/>
        <w:rPr/>
      </w:pPr>
      <w:r>
        <w:rPr>
          <w:sz w:val="24"/>
        </w:rPr>
        <w:t>工艺系统振动对加工质量影响主要是受迫振动和自激振动两类。</w:t>
      </w:r>
    </w:p>
    <w:p>
      <w:pPr>
        <w:pStyle w:val="Normal"/>
        <w:spacing w:lineRule="atLeast" w:line="360" w:before="0" w:after="120"/>
        <w:ind w:firstLine="540" w:end="0"/>
        <w:jc w:val="start"/>
        <w:rPr>
          <w:sz w:val="24"/>
        </w:rPr>
      </w:pPr>
      <w:r>
        <w:rPr>
          <w:sz w:val="24"/>
        </w:rPr>
        <w:t>减振方法：</w:t>
      </w:r>
    </w:p>
    <w:p>
      <w:pPr>
        <w:pStyle w:val="Normal"/>
        <w:numPr>
          <w:ilvl w:val="0"/>
          <w:numId w:val="2"/>
        </w:numPr>
        <w:spacing w:lineRule="atLeast" w:line="360" w:before="0" w:after="120"/>
        <w:jc w:val="start"/>
        <w:rPr>
          <w:sz w:val="24"/>
        </w:rPr>
      </w:pPr>
      <w:r>
        <w:rPr>
          <w:sz w:val="24"/>
        </w:rPr>
        <w:t>镗刀杆削扁，使刚度在不同方向不一样，形成“刚度椭圆”，在，加工时，保证削扁方向与切削点成特定角度，破坏自激振动条件。</w:t>
      </w:r>
    </w:p>
    <w:p>
      <w:pPr>
        <w:pStyle w:val="Normal"/>
        <w:numPr>
          <w:ilvl w:val="0"/>
          <w:numId w:val="2"/>
        </w:numPr>
        <w:spacing w:lineRule="atLeast" w:line="360" w:before="0" w:after="120"/>
        <w:jc w:val="start"/>
        <w:rPr>
          <w:sz w:val="24"/>
        </w:rPr>
      </w:pPr>
      <w:r>
        <w:rPr>
          <w:sz w:val="24"/>
        </w:rPr>
        <w:t>车刀或镗刀杆内装碰撞削振装置，利用碰撞块消耗振动能量，提高系统阻尼。</w:t>
      </w:r>
    </w:p>
    <w:p>
      <w:pPr>
        <w:pStyle w:val="Normal"/>
        <w:numPr>
          <w:ilvl w:val="0"/>
          <w:numId w:val="2"/>
        </w:numPr>
        <w:spacing w:lineRule="atLeast" w:line="360" w:before="0" w:after="120"/>
        <w:jc w:val="start"/>
        <w:rPr>
          <w:sz w:val="24"/>
        </w:rPr>
      </w:pPr>
      <w:r>
        <w:rPr>
          <w:sz w:val="24"/>
        </w:rPr>
        <w:t>在车削或磨削花键外圆时提高或降低工件转速，改变激振力频率，避开共振区域，减小系统振幅。</w:t>
      </w:r>
    </w:p>
    <w:p>
      <w:pPr>
        <w:pStyle w:val="Normal"/>
        <w:numPr>
          <w:ilvl w:val="0"/>
          <w:numId w:val="2"/>
        </w:numPr>
        <w:spacing w:lineRule="atLeast" w:line="360" w:before="0" w:after="120"/>
        <w:jc w:val="start"/>
        <w:rPr>
          <w:sz w:val="24"/>
        </w:rPr>
      </w:pPr>
      <w:r>
        <w:rPr>
          <w:sz w:val="24"/>
        </w:rPr>
        <w:t>采用把电动机与机床床身隔离的方法（如把电机单独安装在地面上、使用橡胶垫安装电机），减小精密加工机床振动。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</w:r>
    </w:p>
    <w:p>
      <w:pPr>
        <w:pStyle w:val="Normal"/>
        <w:spacing w:lineRule="atLeast" w:line="360" w:before="0" w:after="120"/>
        <w:jc w:val="start"/>
        <w:rPr>
          <w:sz w:val="24"/>
        </w:rPr>
      </w:pPr>
      <w:r>
        <w:rPr>
          <w:sz w:val="24"/>
        </w:rPr>
      </w:r>
    </w:p>
    <w:p>
      <w:pPr>
        <w:pStyle w:val="Normal"/>
        <w:rPr/>
      </w:pPr>
      <w:r>
        <w:rPr>
          <w:rFonts w:ascii="宋体;SimSun" w:hAnsi="宋体;SimSun"/>
          <w:sz w:val="24"/>
        </w:rPr>
        <w:t>六．如下图所示为</w:t>
      </w:r>
      <w:r>
        <w:rPr>
          <w:sz w:val="24"/>
        </w:rPr>
        <w:t>套筒零件内孔的轴向设计尺寸</w:t>
      </w:r>
      <w:r>
        <w:rPr>
          <w:rFonts w:ascii="宋体;SimSun" w:hAnsi="宋体;SimSun"/>
          <w:sz w:val="24"/>
        </w:rPr>
        <w:t>要求，相关工序如下：</w:t>
      </w:r>
      <w:r>
        <w:rPr>
          <w:sz w:val="24"/>
        </w:rPr>
        <w:t>钻小孔</w:t>
      </w:r>
      <w:r>
        <w:rPr>
          <w:rFonts w:ascii="宋体;SimSun" w:hAnsi="宋体;SimSun"/>
          <w:sz w:val="24"/>
        </w:rPr>
        <w:t>、切断，扩大孔。其工序图（轴向尺寸要求）如下图所示。计算工序尺寸</w:t>
      </w:r>
      <w:r>
        <w:rPr>
          <w:rFonts w:ascii="宋体;SimSun" w:hAnsi="宋体;SimSun"/>
          <w:sz w:val="24"/>
        </w:rPr>
        <w:object w:dxaOrig="300" w:dyaOrig="380">
          <v:shapetype id="_x0000_tole_rId2" coordsize="21600,21600" o:spt="ole_rId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" type="_x0000_tole_rId2" style="width:15pt;height:19.45pt" filled="f" o:ole="">
            <v:imagedata r:id="rId3" o:title=""/>
          </v:shape>
          <o:OLEObject Type="Embed" ProgID="" ShapeID="ole_rId2" DrawAspect="Content" ObjectID="_1781526156" r:id="rId2"/>
        </w:object>
      </w:r>
      <w:r>
        <w:rPr>
          <w:rFonts w:ascii="宋体;SimSun" w:hAnsi="宋体;SimSun"/>
          <w:sz w:val="24"/>
        </w:rPr>
        <w:t>和</w:t>
      </w:r>
      <w:r>
        <w:rPr>
          <w:rFonts w:ascii="宋体;SimSun" w:hAnsi="宋体;SimSun"/>
          <w:sz w:val="24"/>
        </w:rPr>
        <w:object w:dxaOrig="340" w:dyaOrig="380">
          <v:shapetype id="_x0000_tole_rId4" coordsize="21600,21600" o:spt="ole_rId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" type="_x0000_tole_rId4" style="width:17pt;height:19.2pt" filled="f" o:ole="">
            <v:imagedata r:id="rId5" o:title=""/>
          </v:shape>
          <o:OLEObject Type="Embed" ProgID="" ShapeID="ole_rId4" DrawAspect="Content" ObjectID="_1014489401" r:id="rId4"/>
        </w:object>
      </w:r>
      <w:r>
        <w:rPr>
          <w:rFonts w:ascii="宋体;SimSun" w:hAnsi="宋体;SimSun"/>
          <w:sz w:val="24"/>
        </w:rPr>
        <w:t>。</w:t>
      </w:r>
      <w:r>
        <w:rPr>
          <w:sz w:val="24"/>
        </w:rPr>
        <w:t>（</w:t>
      </w:r>
      <w:r>
        <w:rPr>
          <w:sz w:val="24"/>
        </w:rPr>
        <w:t>20</w:t>
      </w:r>
      <w:r>
        <w:rPr>
          <w:sz w:val="24"/>
        </w:rPr>
        <w:t>分）</w:t>
      </w:r>
      <w:r>
        <mc:AlternateContent>
          <mc:Choice Requires="wps">
            <w:drawing>
              <wp:anchor behindDoc="0" distT="0" distB="0" distL="114300" distR="114300" simplePos="0" locked="0" layoutInCell="0" allowOverlap="1" relativeHeight="2">
                <wp:simplePos x="0" y="0"/>
                <wp:positionH relativeFrom="page">
                  <wp:posOffset>655320</wp:posOffset>
                </wp:positionH>
                <wp:positionV relativeFrom="paragraph">
                  <wp:posOffset>936625</wp:posOffset>
                </wp:positionV>
                <wp:extent cx="5136515" cy="1443355"/>
                <wp:effectExtent l="0" t="0" r="0" b="0"/>
                <wp:wrapSquare wrapText="bothSides"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36515" cy="1443355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object w:dxaOrig="3101" w:dyaOrig="2436">
                                <v:shapetype id="_x0000_tole_rId6" coordsize="21600,21600" o:spt="ole_rId6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6" type="_x0000_tole_rId6" style="width:102pt;height:80.1pt" filled="f" o:ole="">
                                  <v:imagedata r:id="rId7" o:title=""/>
                                </v:shape>
                                <o:OLEObject Type="Embed" ProgID="" ShapeID="ole_rId6" DrawAspect="Content" ObjectID="_759455495" r:id="rId6"/>
                              </w:object>
                            </w:r>
                            <w:r>
                              <w:rPr/>
                              <w:object w:dxaOrig="2930" w:dyaOrig="2416">
                                <v:shapetype id="_x0000_tole_rId8" coordsize="21600,21600" o:spt="ole_rId8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8" type="_x0000_tole_rId8" style="width:97.85pt;height:80.8pt" filled="f" o:ole="">
                                  <v:imagedata r:id="rId9" o:title=""/>
                                </v:shape>
                                <o:OLEObject Type="Embed" ProgID="" ShapeID="ole_rId8" DrawAspect="Content" ObjectID="_1367763142" r:id="rId8"/>
                              </w:object>
                            </w:r>
                            <w:r>
                              <w:rPr/>
                              <w:object w:dxaOrig="2930" w:dyaOrig="2450">
                                <v:shapetype id="_x0000_tole_rId10" coordsize="21600,21600" o:spt="ole_rId10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0" type="_x0000_tole_rId10" style="width:96.1pt;height:80.6pt" filled="f" o:ole="">
                                  <v:imagedata r:id="rId11" o:title=""/>
                                </v:shape>
                                <o:OLEObject Type="Embed" ProgID="" ShapeID="ole_rId10" DrawAspect="Content" ObjectID="_1873900023" r:id="rId10"/>
                              </w:object>
                            </w:r>
                            <w:r>
                              <w:rPr/>
                              <w:object w:dxaOrig="2903" w:dyaOrig="2400">
                                <v:shapetype id="_x0000_tole_rId12" coordsize="21600,21600" o:spt="ole_rId1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12" type="_x0000_tole_rId12" style="width:97.65pt;height:80.75pt" filled="f" o:ole="">
                                  <v:imagedata r:id="rId13" o:title=""/>
                                </v:shape>
                                <o:OLEObject Type="Embed" ProgID="" ShapeID="ole_rId12" DrawAspect="Content" ObjectID="_1363728725" r:id="rId12"/>
                              </w:objec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eastAsia="Times New Roman"/>
                              </w:rPr>
                              <w:t xml:space="preserve">    </w:t>
                            </w:r>
                            <w:r>
                              <w:rPr/>
                              <w:t>零件图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 </w:t>
                            </w:r>
                            <w:r>
                              <w:rPr/>
                              <w:t>钻小孔</w:t>
                            </w:r>
                            <w:r>
                              <w:rPr>
                                <w:rFonts w:ascii="宋体;SimSun" w:hAnsi="宋体;SimSun"/>
                              </w:rPr>
                              <w:t>工序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         </w:t>
                            </w:r>
                            <w:r>
                              <w:rPr/>
                              <w:t>切断</w:t>
                            </w:r>
                            <w:r>
                              <w:rPr>
                                <w:rFonts w:eastAsia="Times New Roman"/>
                              </w:rPr>
                              <w:t xml:space="preserve">  </w:t>
                            </w:r>
                            <w:r>
                              <w:rPr>
                                <w:rFonts w:ascii="宋体;SimSun" w:hAnsi="宋体;SimSun"/>
                              </w:rPr>
                              <w:t xml:space="preserve">           扩大孔工序</w:t>
                            </w:r>
                          </w:p>
                        </w:txbxContent>
                      </wps:txbx>
                      <wps:bodyPr anchor="t" lIns="0" tIns="0" rIns="0" b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404.45pt;height:113.65pt;mso-wrap-distance-left:9pt;mso-wrap-distance-right:9pt;mso-wrap-distance-top:0pt;mso-wrap-distance-bottom:0pt;margin-top:73.75pt;mso-position-vertical-relative:text;margin-left:51.6pt;mso-position-horizontal-relative:page">
                <v:fill opacity="0f"/>
                <v:textbox inset="0in,0in,0in,0in"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object w:dxaOrig="3101" w:dyaOrig="2436">
                          <v:shapetype id="_x0000_tole_rId14" coordsize="21600,21600" o:spt="ole_rId1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4" type="_x0000_tole_rId14" style="width:102pt;height:80.1pt" filled="f" o:ole="">
                            <v:imagedata r:id="rId15" o:title=""/>
                          </v:shape>
                          <o:OLEObject Type="Embed" ProgID="" ShapeID="ole_rId14" DrawAspect="Content" ObjectID="_182604486" r:id="rId14"/>
                        </w:object>
                      </w:r>
                      <w:r>
                        <w:rPr/>
                        <w:object w:dxaOrig="2930" w:dyaOrig="2416">
                          <v:shapetype id="_x0000_tole_rId16" coordsize="21600,21600" o:spt="ole_rId16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6" type="_x0000_tole_rId16" style="width:97.85pt;height:80.8pt" filled="f" o:ole="">
                            <v:imagedata r:id="rId17" o:title=""/>
                          </v:shape>
                          <o:OLEObject Type="Embed" ProgID="" ShapeID="ole_rId16" DrawAspect="Content" ObjectID="_224821610" r:id="rId16"/>
                        </w:object>
                      </w:r>
                      <w:r>
                        <w:rPr/>
                        <w:object w:dxaOrig="2930" w:dyaOrig="2450">
                          <v:shapetype id="_x0000_tole_rId18" coordsize="21600,21600" o:spt="ole_rId18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18" type="_x0000_tole_rId18" style="width:96.1pt;height:80.6pt" filled="f" o:ole="">
                            <v:imagedata r:id="rId19" o:title=""/>
                          </v:shape>
                          <o:OLEObject Type="Embed" ProgID="" ShapeID="ole_rId18" DrawAspect="Content" ObjectID="_413418390" r:id="rId18"/>
                        </w:object>
                      </w:r>
                      <w:r>
                        <w:rPr/>
                        <w:object w:dxaOrig="2903" w:dyaOrig="2400">
                          <v:shapetype id="_x0000_tole_rId20" coordsize="21600,21600" o:spt="ole_rId20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20" type="_x0000_tole_rId20" style="width:97.65pt;height:80.75pt" filled="f" o:ole="">
                            <v:imagedata r:id="rId21" o:title=""/>
                          </v:shape>
                          <o:OLEObject Type="Embed" ProgID="" ShapeID="ole_rId20" DrawAspect="Content" ObjectID="_1110235004" r:id="rId20"/>
                        </w:objec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eastAsia="Times New Roman"/>
                        </w:rPr>
                        <w:t xml:space="preserve">    </w:t>
                      </w:r>
                      <w:r>
                        <w:rPr/>
                        <w:t>零件图</w:t>
                      </w:r>
                      <w:r>
                        <w:rPr>
                          <w:rFonts w:eastAsia="Times New Roman"/>
                        </w:rPr>
                        <w:t xml:space="preserve">            </w:t>
                      </w:r>
                      <w:r>
                        <w:rPr/>
                        <w:t>钻小孔</w:t>
                      </w:r>
                      <w:r>
                        <w:rPr>
                          <w:rFonts w:ascii="宋体;SimSun" w:hAnsi="宋体;SimSun"/>
                        </w:rPr>
                        <w:t>工序</w:t>
                      </w:r>
                      <w:r>
                        <w:rPr>
                          <w:rFonts w:eastAsia="Times New Roman"/>
                        </w:rPr>
                        <w:t xml:space="preserve">           </w:t>
                      </w:r>
                      <w:r>
                        <w:rPr/>
                        <w:t>切断</w:t>
                      </w:r>
                      <w:r>
                        <w:rPr>
                          <w:rFonts w:eastAsia="Times New Roman"/>
                        </w:rPr>
                        <w:t xml:space="preserve">  </w:t>
                      </w:r>
                      <w:r>
                        <w:rPr>
                          <w:rFonts w:ascii="宋体;SimSun" w:hAnsi="宋体;SimSun"/>
                        </w:rPr>
                        <w:t xml:space="preserve">           扩大孔工序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对于设计尺寸</w:t>
      </w:r>
      <w:r>
        <w:rPr/>
        <w:object w:dxaOrig="580" w:dyaOrig="380">
          <v:shapetype id="_x0000_tole_rId22" coordsize="21600,21600" o:spt="ole_rId2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2" type="_x0000_tole_rId22" style="width:29pt;height:19pt" filled="f" o:ole="">
            <v:imagedata r:id="rId23" o:title=""/>
          </v:shape>
          <o:OLEObject Type="Embed" ProgID="" ShapeID="ole_rId22" DrawAspect="Content" ObjectID="_384421473" r:id="rId22"/>
        </w:object>
      </w:r>
      <w:r>
        <w:rPr/>
        <w:t>，直接由工序尺寸</w:t>
      </w:r>
      <w:r>
        <w:rPr>
          <w:rFonts w:ascii="宋体;SimSun" w:hAnsi="宋体;SimSun"/>
          <w:sz w:val="24"/>
        </w:rPr>
        <w:object w:dxaOrig="340" w:dyaOrig="380">
          <v:shapetype id="_x0000_tole_rId24" coordsize="21600,21600" o:spt="ole_rId2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4" type="_x0000_tole_rId24" style="width:17pt;height:19.2pt" filled="f" o:ole="">
            <v:imagedata r:id="rId25" o:title=""/>
          </v:shape>
          <o:OLEObject Type="Embed" ProgID="" ShapeID="ole_rId24" DrawAspect="Content" ObjectID="_745255715" r:id="rId24"/>
        </w:object>
      </w:r>
      <w:r>
        <w:rPr/>
        <w:t>保证，因此可安排工序尺寸</w:t>
      </w:r>
      <w:r>
        <w:rPr>
          <w:rFonts w:ascii="宋体;SimSun" w:hAnsi="宋体;SimSun"/>
          <w:sz w:val="24"/>
        </w:rPr>
        <w:object w:dxaOrig="340" w:dyaOrig="380">
          <v:shapetype id="_x0000_tole_rId26" coordsize="21600,21600" o:spt="ole_rId2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6" type="_x0000_tole_rId26" style="width:17pt;height:19.2pt" filled="f" o:ole="">
            <v:imagedata r:id="rId27" o:title=""/>
          </v:shape>
          <o:OLEObject Type="Embed" ProgID="" ShapeID="ole_rId26" DrawAspect="Content" ObjectID="_44151139" r:id="rId26"/>
        </w:object>
      </w:r>
      <w:r>
        <w:rPr>
          <w:rFonts w:ascii="宋体;SimSun" w:hAnsi="宋体;SimSun"/>
          <w:sz w:val="24"/>
        </w:rPr>
        <w:t>为</w:t>
      </w:r>
      <w:r>
        <w:rPr/>
        <w:object w:dxaOrig="580" w:dyaOrig="380">
          <v:shapetype id="_x0000_tole_rId28" coordsize="21600,21600" o:spt="ole_rId2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8" type="_x0000_tole_rId28" style="width:29pt;height:19pt" filled="f" o:ole="">
            <v:imagedata r:id="rId29" o:title=""/>
          </v:shape>
          <o:OLEObject Type="Embed" ProgID="" ShapeID="ole_rId28" DrawAspect="Content" ObjectID="_2073851746" r:id="rId28"/>
        </w:object>
      </w:r>
      <w:r>
        <w:rPr/>
        <w:t>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对于设计尺寸</w:t>
      </w:r>
      <w:r>
        <w:rPr/>
        <w:object w:dxaOrig="560" w:dyaOrig="380">
          <v:shapetype id="_x0000_tole_rId30" coordsize="21600,21600" o:spt="ole_rId3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0" type="_x0000_tole_rId30" style="width:28pt;height:19pt" filled="f" o:ole="">
            <v:imagedata r:id="rId31" o:title=""/>
          </v:shape>
          <o:OLEObject Type="Embed" ProgID="" ShapeID="ole_rId30" DrawAspect="Content" ObjectID="_1746022229" r:id="rId30"/>
        </w:object>
      </w:r>
      <w:r>
        <w:rPr/>
        <w:t>，它由工序尺寸</w:t>
      </w:r>
      <w:r>
        <w:rPr>
          <w:rFonts w:ascii="宋体;SimSun" w:hAnsi="宋体;SimSun"/>
          <w:sz w:val="24"/>
        </w:rPr>
        <w:object w:dxaOrig="300" w:dyaOrig="380">
          <v:shapetype id="_x0000_tole_rId32" coordsize="21600,21600" o:spt="ole_rId3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2" type="_x0000_tole_rId32" style="width:15pt;height:19.45pt" filled="f" o:ole="">
            <v:imagedata r:id="rId33" o:title=""/>
          </v:shape>
          <o:OLEObject Type="Embed" ProgID="" ShapeID="ole_rId32" DrawAspect="Content" ObjectID="_1095789356" r:id="rId32"/>
        </w:object>
      </w:r>
      <w:r>
        <w:rPr>
          <w:rFonts w:ascii="宋体;SimSun" w:hAnsi="宋体;SimSun"/>
          <w:sz w:val="24"/>
        </w:rPr>
        <w:t>和</w:t>
      </w:r>
      <w:r>
        <w:rPr>
          <w:rFonts w:ascii="宋体;SimSun" w:hAnsi="宋体;SimSun"/>
          <w:sz w:val="24"/>
        </w:rPr>
        <w:object w:dxaOrig="340" w:dyaOrig="380">
          <v:shapetype id="_x0000_tole_rId34" coordsize="21600,21600" o:spt="ole_rId34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4" type="_x0000_tole_rId34" style="width:17pt;height:19.2pt" filled="f" o:ole="">
            <v:imagedata r:id="rId35" o:title=""/>
          </v:shape>
          <o:OLEObject Type="Embed" ProgID="" ShapeID="ole_rId34" DrawAspect="Content" ObjectID="_257856233" r:id="rId34"/>
        </w:object>
      </w:r>
      <w:r>
        <w:rPr>
          <w:rFonts w:ascii="宋体;SimSun" w:hAnsi="宋体;SimSun"/>
          <w:sz w:val="24"/>
        </w:rPr>
        <w:t>间接保证，因此列出尺寸链如下图。图中，</w:t>
      </w:r>
      <w:r>
        <w:rPr/>
        <w:t>设计尺寸</w:t>
      </w:r>
      <w:r>
        <w:rPr/>
        <w:object w:dxaOrig="560" w:dyaOrig="380">
          <v:shapetype id="_x0000_tole_rId36" coordsize="21600,21600" o:spt="ole_rId36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6" type="_x0000_tole_rId36" style="width:28pt;height:19pt" filled="f" o:ole="">
            <v:imagedata r:id="rId37" o:title=""/>
          </v:shape>
          <o:OLEObject Type="Embed" ProgID="" ShapeID="ole_rId36" DrawAspect="Content" ObjectID="_1561927967" r:id="rId36"/>
        </w:object>
      </w:r>
      <w:r>
        <w:rPr/>
        <w:t>为封闭环。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object w:dxaOrig="5618" w:dyaOrig="1816">
          <v:shapetype id="_x0000_tole_rId38" coordsize="21600,21600" o:spt="ole_rId38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8" type="_x0000_tole_rId38" style="width:173.85pt;height:56.55pt" filled="f" o:ole="">
            <v:imagedata r:id="rId39" o:title=""/>
          </v:shape>
          <o:OLEObject Type="Embed" ProgID="" ShapeID="ole_rId38" DrawAspect="Content" ObjectID="_1691455582" r:id="rId38"/>
        </w:objec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可解得：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基本尺寸</w:t>
      </w:r>
      <w:r>
        <w:rPr>
          <w:i/>
        </w:rPr>
        <w:t>A</w:t>
      </w:r>
      <w:r>
        <w:rPr>
          <w:szCs w:val="21"/>
          <w:vertAlign w:val="subscript"/>
        </w:rPr>
        <w:t>1</w:t>
      </w:r>
      <w:r>
        <w:rPr/>
        <w:t>=53-25=28</w:t>
      </w:r>
      <w:r>
        <w:rPr/>
        <w:t>；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上偏差：</w:t>
      </w:r>
      <w:r>
        <w:rPr/>
        <w:t>0.3=</w:t>
      </w:r>
      <w:r>
        <w:rPr>
          <w:i/>
        </w:rPr>
        <w:t>A</w:t>
      </w:r>
      <w:r>
        <w:rPr>
          <w:szCs w:val="21"/>
          <w:vertAlign w:val="subscript"/>
        </w:rPr>
        <w:t>2</w:t>
      </w:r>
      <w:r>
        <w:rPr>
          <w:szCs w:val="21"/>
          <w:vertAlign w:val="subscript"/>
        </w:rPr>
        <w:t>上</w:t>
      </w:r>
      <w:r>
        <w:rPr/>
        <w:t>-</w:t>
      </w:r>
      <w:r>
        <w:rPr>
          <w:i/>
        </w:rPr>
        <w:t>A</w:t>
      </w:r>
      <w:r>
        <w:rPr>
          <w:szCs w:val="21"/>
          <w:vertAlign w:val="subscript"/>
        </w:rPr>
        <w:t>1</w:t>
      </w:r>
      <w:r>
        <w:rPr>
          <w:szCs w:val="21"/>
          <w:vertAlign w:val="subscript"/>
        </w:rPr>
        <w:t>下</w:t>
      </w:r>
      <w:r>
        <w:rPr/>
        <w:t>，</w:t>
      </w:r>
      <w:r>
        <w:rPr/>
        <w:t>0.3=0-</w:t>
      </w:r>
      <w:r>
        <w:rPr>
          <w:i/>
        </w:rPr>
        <w:t>A</w:t>
      </w:r>
      <w:r>
        <w:rPr>
          <w:szCs w:val="21"/>
          <w:vertAlign w:val="subscript"/>
        </w:rPr>
        <w:t>1</w:t>
      </w:r>
      <w:r>
        <w:rPr>
          <w:szCs w:val="21"/>
          <w:vertAlign w:val="subscript"/>
        </w:rPr>
        <w:t>下</w:t>
      </w:r>
      <w:r>
        <w:rPr/>
        <w:t>，</w:t>
      </w:r>
      <w:r>
        <w:rPr>
          <w:rFonts w:eastAsia="Times New Roman"/>
          <w:i/>
        </w:rPr>
        <w:t xml:space="preserve"> </w:t>
      </w:r>
      <w:r>
        <w:rPr>
          <w:i/>
        </w:rPr>
        <w:t>A</w:t>
      </w:r>
      <w:r>
        <w:rPr>
          <w:szCs w:val="21"/>
          <w:vertAlign w:val="subscript"/>
        </w:rPr>
        <w:t>1</w:t>
      </w:r>
      <w:r>
        <w:rPr>
          <w:szCs w:val="21"/>
          <w:vertAlign w:val="subscript"/>
        </w:rPr>
        <w:t>下</w:t>
      </w:r>
      <w:r>
        <w:rPr/>
        <w:t>=-0.3</w:t>
      </w:r>
      <w:r>
        <w:rPr/>
        <w:t>，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下偏差：</w:t>
      </w:r>
      <w:r>
        <w:rPr/>
        <w:t>0=</w:t>
      </w:r>
      <w:r>
        <w:rPr>
          <w:i/>
        </w:rPr>
        <w:t>A</w:t>
      </w:r>
      <w:r>
        <w:rPr>
          <w:szCs w:val="21"/>
          <w:vertAlign w:val="subscript"/>
        </w:rPr>
        <w:t>2</w:t>
      </w:r>
      <w:r>
        <w:rPr>
          <w:szCs w:val="21"/>
          <w:vertAlign w:val="subscript"/>
        </w:rPr>
        <w:t>下</w:t>
      </w:r>
      <w:r>
        <w:rPr>
          <w:rFonts w:eastAsia="Times New Roman"/>
        </w:rPr>
        <w:t xml:space="preserve"> </w:t>
      </w:r>
      <w:r>
        <w:rPr/>
        <w:t>-</w:t>
      </w:r>
      <w:r>
        <w:rPr>
          <w:i/>
        </w:rPr>
        <w:t>A</w:t>
      </w:r>
      <w:r>
        <w:rPr>
          <w:szCs w:val="21"/>
          <w:vertAlign w:val="subscript"/>
        </w:rPr>
        <w:t>1</w:t>
      </w:r>
      <w:r>
        <w:rPr>
          <w:szCs w:val="21"/>
          <w:vertAlign w:val="subscript"/>
        </w:rPr>
        <w:t>上</w:t>
      </w:r>
      <w:r>
        <w:rPr/>
        <w:t>，</w:t>
      </w:r>
      <w:r>
        <w:rPr/>
        <w:t>0=-0.2-</w:t>
      </w:r>
      <w:r>
        <w:rPr>
          <w:i/>
        </w:rPr>
        <w:t>A</w:t>
      </w:r>
      <w:r>
        <w:rPr>
          <w:szCs w:val="21"/>
          <w:vertAlign w:val="subscript"/>
        </w:rPr>
        <w:t>1</w:t>
      </w:r>
      <w:r>
        <w:rPr>
          <w:szCs w:val="21"/>
          <w:vertAlign w:val="subscript"/>
        </w:rPr>
        <w:t>上</w:t>
      </w:r>
      <w:r>
        <w:rPr/>
        <w:t>，</w:t>
      </w:r>
      <w:r>
        <w:rPr>
          <w:rFonts w:eastAsia="Times New Roman"/>
          <w:i/>
        </w:rPr>
        <w:t xml:space="preserve"> </w:t>
      </w:r>
      <w:r>
        <w:rPr>
          <w:i/>
        </w:rPr>
        <w:t>A</w:t>
      </w:r>
      <w:r>
        <w:rPr>
          <w:szCs w:val="21"/>
          <w:vertAlign w:val="subscript"/>
        </w:rPr>
        <w:t>1</w:t>
      </w:r>
      <w:r>
        <w:rPr>
          <w:szCs w:val="21"/>
          <w:vertAlign w:val="subscript"/>
        </w:rPr>
        <w:t>上</w:t>
      </w:r>
      <w:r>
        <w:rPr/>
        <w:t>=-0.2</w:t>
      </w:r>
      <w:r>
        <w:rPr/>
        <w:t>，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textAlignment w:val="bottom"/>
        <w:rPr/>
      </w:pPr>
      <w:r>
        <w:rPr/>
        <w:t>因此，</w:t>
      </w:r>
      <w:r>
        <w:rPr>
          <w:rFonts w:ascii="宋体;SimSun" w:hAnsi="宋体;SimSun"/>
          <w:sz w:val="24"/>
        </w:rPr>
        <w:object w:dxaOrig="1040" w:dyaOrig="380">
          <v:shapetype id="_x0000_tole_rId40" coordsize="21600,21600" o:spt="ole_rId40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0" type="_x0000_tole_rId40" style="width:52pt;height:19.45pt" filled="f" o:ole="">
            <v:imagedata r:id="rId41" o:title=""/>
          </v:shape>
          <o:OLEObject Type="Embed" ProgID="" ShapeID="ole_rId40" DrawAspect="Content" ObjectID="_1596807591" r:id="rId40"/>
        </w:object>
      </w:r>
      <w:r>
        <w:rPr>
          <w:rFonts w:ascii="宋体;SimSun" w:hAnsi="宋体;SimSun"/>
          <w:sz w:val="24"/>
        </w:rPr>
        <w:t>，入体尺寸为</w:t>
      </w:r>
      <w:r>
        <w:rPr>
          <w:rFonts w:ascii="宋体;SimSun" w:hAnsi="宋体;SimSun"/>
          <w:sz w:val="24"/>
        </w:rPr>
        <w:object w:dxaOrig="1219" w:dyaOrig="380">
          <v:shapetype id="_x0000_tole_rId42" coordsize="21600,21600" o:spt="ole_rId42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2" type="_x0000_tole_rId42" style="width:60.95pt;height:19.45pt" filled="f" o:ole="">
            <v:imagedata r:id="rId43" o:title=""/>
          </v:shape>
          <o:OLEObject Type="Embed" ProgID="" ShapeID="ole_rId42" DrawAspect="Content" ObjectID="_81335552" r:id="rId42"/>
        </w:object>
      </w:r>
      <w:r>
        <w:rPr>
          <w:rFonts w:ascii="宋体;SimSun" w:hAnsi="宋体;SimSun"/>
          <w:sz w:val="24"/>
        </w:rPr>
        <w:t>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jc w:val="center"/>
        <w:textAlignment w:val="bottom"/>
        <w:rPr>
          <w:rFonts w:ascii="宋体;SimSun" w:hAnsi="宋体;SimSun"/>
          <w:sz w:val="24"/>
        </w:rPr>
      </w:pPr>
      <w:r>
        <w:rPr>
          <w:rFonts w:ascii="宋体;SimSun" w:hAnsi="宋体;SimSun"/>
          <w:sz w:val="24"/>
        </w:rPr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uto" w:line="360"/>
        <w:jc w:val="center"/>
        <w:textAlignment w:val="bottom"/>
        <w:rPr/>
      </w:pPr>
      <w:r>
        <w:rPr/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rFonts w:ascii="宋体;SimSun" w:hAnsi="宋体;SimSun"/>
          <w:sz w:val="24"/>
        </w:rPr>
        <w:t>七．什么是劳动生产率？通过工艺措施如何提高劳动生产率？</w:t>
      </w:r>
      <w:r>
        <w:rPr>
          <w:sz w:val="24"/>
        </w:rPr>
        <w:t>（</w:t>
      </w:r>
      <w:r>
        <w:rPr>
          <w:sz w:val="24"/>
        </w:rPr>
        <w:t>1</w:t>
      </w:r>
      <w:r>
        <w:rPr>
          <w:sz w:val="24"/>
        </w:rPr>
        <w:t>0</w:t>
      </w:r>
      <w:r>
        <w:rPr>
          <w:sz w:val="24"/>
        </w:rPr>
        <w:t>分）</w:t>
      </w:r>
    </w:p>
    <w:p>
      <w:pPr>
        <w:pStyle w:val="Normal"/>
        <w:widowControl/>
        <w:tabs>
          <w:tab w:val="clear" w:pos="420"/>
          <w:tab w:val="left" w:pos="3403" w:leader="none"/>
        </w:tabs>
        <w:autoSpaceDE w:val="false"/>
        <w:spacing w:lineRule="atLeast" w:line="360" w:before="0" w:after="120"/>
        <w:ind w:hanging="504" w:start="504" w:end="0"/>
        <w:textAlignment w:val="bottom"/>
        <w:rPr>
          <w:sz w:val="24"/>
        </w:rPr>
      </w:pPr>
      <w:r>
        <w:rPr>
          <w:sz w:val="24"/>
        </w:rPr>
        <w:t>答题要点：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ind w:firstLine="540" w:end="0"/>
        <w:textAlignment w:val="bottom"/>
        <w:rPr>
          <w:sz w:val="24"/>
        </w:rPr>
      </w:pPr>
      <w:r>
        <w:rPr>
          <w:sz w:val="24"/>
        </w:rPr>
        <w:t>一个人单位劳动时间内生产的产品数量，或生产单位产品所凝结的劳动时间。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提高劳动生产率的途径有两类：</w:t>
      </w:r>
    </w:p>
    <w:p>
      <w:pPr>
        <w:pStyle w:val="Normal"/>
        <w:widowControl/>
        <w:numPr>
          <w:ilvl w:val="0"/>
          <w:numId w:val="4"/>
        </w:numPr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从减少工序时间的角度提高劳动生产率；</w:t>
      </w:r>
    </w:p>
    <w:p>
      <w:pPr>
        <w:pStyle w:val="Normal"/>
        <w:widowControl/>
        <w:numPr>
          <w:ilvl w:val="0"/>
          <w:numId w:val="4"/>
        </w:numPr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从工艺安排的角度提高劳动生产率。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 w:before="156" w:after="0"/>
        <w:ind w:firstLine="540" w:end="0"/>
        <w:textAlignment w:val="bottom"/>
        <w:rPr>
          <w:sz w:val="24"/>
        </w:rPr>
      </w:pPr>
      <w:r>
        <w:rPr>
          <w:sz w:val="24"/>
        </w:rPr>
        <w:t>可以通过减少基本时间、辅助时间和服务时间来达到降低工序时间的目的。例如：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在车床上加工外圆柱面，变刀具中向进给为宽刀横向进给，利用钻头和外圆车刀联动进给，减少基本时间。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利用转位夹具或回转工作台，在一个零件的切削过程中可以对另一个零件进行装卸，重叠基本时间与辅助时间。</w:t>
      </w:r>
    </w:p>
    <w:p>
      <w:pPr>
        <w:pStyle w:val="Normal"/>
        <w:widowControl/>
        <w:numPr>
          <w:ilvl w:val="0"/>
          <w:numId w:val="1"/>
        </w:numPr>
        <w:tabs>
          <w:tab w:val="clear" w:pos="420"/>
          <w:tab w:val="left" w:pos="960" w:leader="none"/>
        </w:tabs>
        <w:autoSpaceDE w:val="false"/>
        <w:spacing w:lineRule="atLeast" w:line="360"/>
        <w:textAlignment w:val="bottom"/>
        <w:rPr>
          <w:sz w:val="24"/>
        </w:rPr>
      </w:pPr>
      <w:r>
        <w:rPr>
          <w:sz w:val="24"/>
        </w:rPr>
        <w:t>使用不重磨刀具或自动对刀装置，减少换刀时间（服务时间）。</w:t>
      </w:r>
    </w:p>
    <w:p>
      <w:pPr>
        <w:pStyle w:val="Normal"/>
        <w:widowControl/>
        <w:tabs>
          <w:tab w:val="clear" w:pos="420"/>
          <w:tab w:val="left" w:pos="960" w:leader="none"/>
        </w:tabs>
        <w:autoSpaceDE w:val="false"/>
        <w:spacing w:lineRule="atLeast" w:line="360" w:before="156" w:after="0"/>
        <w:textAlignment w:val="bottom"/>
        <w:rPr>
          <w:sz w:val="24"/>
        </w:rPr>
      </w:pPr>
      <w:r>
        <w:rPr>
          <w:sz w:val="24"/>
        </w:rPr>
        <w:t>在工艺安排中，通过使用高效加工方法、自动化设备和先进管理技术来降低单位产品所需工人劳动时间。例如：</w:t>
      </w:r>
    </w:p>
    <w:p>
      <w:pPr>
        <w:pStyle w:val="Normal"/>
        <w:widowControl/>
        <w:numPr>
          <w:ilvl w:val="0"/>
          <w:numId w:val="6"/>
        </w:numPr>
        <w:tabs>
          <w:tab w:val="clear" w:pos="420"/>
          <w:tab w:val="left" w:pos="960" w:leader="none"/>
        </w:tabs>
        <w:autoSpaceDE w:val="false"/>
        <w:spacing w:lineRule="atLeast" w:line="360" w:before="156" w:after="0"/>
        <w:textAlignment w:val="bottom"/>
        <w:rPr>
          <w:sz w:val="24"/>
        </w:rPr>
      </w:pPr>
      <w:r>
        <w:rPr>
          <w:sz w:val="24"/>
        </w:rPr>
        <w:t>把车螺纹改为滚（搓）螺纹大批量加工螺栓的螺纹，提高了加工效率。</w:t>
      </w:r>
    </w:p>
    <w:p>
      <w:pPr>
        <w:pStyle w:val="Normal"/>
        <w:widowControl/>
        <w:numPr>
          <w:ilvl w:val="0"/>
          <w:numId w:val="6"/>
        </w:numPr>
        <w:tabs>
          <w:tab w:val="clear" w:pos="420"/>
          <w:tab w:val="left" w:pos="960" w:leader="none"/>
        </w:tabs>
        <w:autoSpaceDE w:val="false"/>
        <w:spacing w:lineRule="atLeast" w:line="360" w:before="156" w:after="0"/>
        <w:textAlignment w:val="bottom"/>
        <w:rPr>
          <w:sz w:val="24"/>
        </w:rPr>
      </w:pPr>
      <w:r>
        <w:rPr>
          <w:sz w:val="24"/>
        </w:rPr>
        <w:t>使用自动车床加工小轴类零件，一个工人可以同时管理操作几十台机床，提高了工人牢度效率。</w:t>
      </w:r>
    </w:p>
    <w:sectPr>
      <w:footerReference w:type="default" r:id="rId44"/>
      <w:type w:val="nextPage"/>
      <w:pgSz w:w="10318" w:h="14570"/>
      <w:pgMar w:left="851" w:right="851" w:gutter="0" w:header="0" w:top="851" w:footer="357" w:bottom="567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Wingdings">
    <w:charset w:val="02"/>
    <w:family w:val="auto"/>
    <w:pitch w:val="variable"/>
  </w:font>
  <w:font w:name="Liberation Sans">
    <w:altName w:val="Arial"/>
    <w:charset w:val="01" w:characterSet="utf-8"/>
    <w:family w:val="swiss"/>
    <w:pitch w:val="variable"/>
  </w:font>
  <w:font w:name="宋体">
    <w:altName w:val="SimSun"/>
    <w:charset w:val="86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</w:r>
    <w:r>
      <mc:AlternateContent>
        <mc:Choice Requires="wps">
          <w:drawing>
            <wp:anchor behindDoc="0" distT="0" distB="0" distL="0" distR="0" simplePos="0" locked="0" layoutInCell="0" allowOverlap="1" relativeHeight="23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57785" cy="126365"/>
              <wp:effectExtent l="0" t="0" r="0" b="0"/>
              <wp:wrapSquare wrapText="bothSides"/>
              <wp:docPr id="2" name="Frame2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7785" cy="12636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6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4.55pt;height:9.95pt;mso-wrap-distance-left:0pt;mso-wrap-distance-right:0pt;mso-wrap-distance-top:0pt;mso-wrap-distance-bottom:0pt;margin-top:0.05pt;mso-position-vertical-relative:text;margin-left:213.1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6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420"/>
        </w:tabs>
        <w:ind w:start="420" w:hanging="42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960"/>
        </w:tabs>
        <w:ind w:start="960" w:hanging="420"/>
      </w:pPr>
    </w:lvl>
  </w:abstractNum>
  <w:abstractNum w:abstractNumId="3">
    <w:lvl w:ilvl="0">
      <w:start w:val="1"/>
      <w:numFmt w:val="bullet"/>
      <w:lvlText w:val=""/>
      <w:lvlJc w:val="start"/>
      <w:pPr>
        <w:tabs>
          <w:tab w:val="num" w:pos="960"/>
        </w:tabs>
        <w:ind w:start="960" w:hanging="42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numFmt w:val="bullet"/>
      <w:lvlText w:val=""/>
      <w:lvlJc w:val="start"/>
      <w:pPr>
        <w:tabs>
          <w:tab w:val="num" w:pos="720"/>
        </w:tabs>
        <w:ind w:start="72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420"/>
        </w:tabs>
        <w:ind w:start="420" w:hanging="42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420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;SimSun" w:cs="Times New Roman"/>
      <w:color w:val="auto"/>
      <w:kern w:val="2"/>
      <w:sz w:val="21"/>
      <w:szCs w:val="24"/>
      <w:lang w:val="en-US" w:eastAsia="zh-CN" w:bidi="ar-SA"/>
    </w:rPr>
  </w:style>
  <w:style w:type="character" w:styleId="WW8Num2z0">
    <w:name w:val="WW8Num2z0"/>
    <w:qFormat/>
    <w:rPr>
      <w:b w:val="false"/>
    </w:rPr>
  </w:style>
  <w:style w:type="character" w:styleId="WW8Num4z0">
    <w:name w:val="WW8Num4z0"/>
    <w:qFormat/>
    <w:rPr>
      <w:rFonts w:ascii="Wingdings" w:hAnsi="Wingdings" w:cs="Wingdings"/>
    </w:rPr>
  </w:style>
  <w:style w:type="character" w:styleId="WW8Num5z1">
    <w:name w:val="WW8Num5z1"/>
    <w:qFormat/>
    <w:rPr/>
  </w:style>
  <w:style w:type="character" w:styleId="WW8Num6z0">
    <w:name w:val="WW8Num6z0"/>
    <w:qFormat/>
    <w:rPr>
      <w:rFonts w:ascii="Wingdings" w:hAnsi="Wingdings" w:cs="Wingdings"/>
    </w:rPr>
  </w:style>
  <w:style w:type="character" w:styleId="WW8Num7z0">
    <w:name w:val="WW8Num7z0"/>
    <w:qFormat/>
    <w:rPr>
      <w:rFonts w:ascii="Wingdings" w:hAnsi="Wingdings" w:cs="Wingdings"/>
    </w:rPr>
  </w:style>
  <w:style w:type="character" w:styleId="Style14">
    <w:name w:val="默认段落字体"/>
    <w:qFormat/>
    <w:rPr/>
  </w:style>
  <w:style w:type="character" w:styleId="PageNumber">
    <w:name w:val="Page Number"/>
    <w:basedOn w:val="Style14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15">
    <w:name w:val="纯文本"/>
    <w:basedOn w:val="Normal"/>
    <w:qFormat/>
    <w:pPr/>
    <w:rPr>
      <w:rFonts w:ascii="宋体;SimSun" w:hAnsi="宋体;SimSun" w:cs="Courier New"/>
      <w:szCs w:val="21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2">
    <w:name w:val="列表 2"/>
    <w:basedOn w:val="Normal"/>
    <w:qFormat/>
    <w:pPr>
      <w:spacing w:lineRule="atLeast" w:line="360"/>
      <w:ind w:hanging="420" w:start="840" w:end="0"/>
      <w:jc w:val="start"/>
    </w:pPr>
    <w:rPr>
      <w:kern w:val="0"/>
      <w:sz w:val="24"/>
      <w:szCs w:val="20"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oleObject" Target="embeddings/oleObject1.bin"/><Relationship Id="rId3" Type="http://schemas.openxmlformats.org/officeDocument/2006/relationships/image" Target="media/image1.wmf"/><Relationship Id="rId4" Type="http://schemas.openxmlformats.org/officeDocument/2006/relationships/oleObject" Target="embeddings/oleObject2.bin"/><Relationship Id="rId5" Type="http://schemas.openxmlformats.org/officeDocument/2006/relationships/image" Target="media/image2.wmf"/><Relationship Id="rId6" Type="http://schemas.openxmlformats.org/officeDocument/2006/relationships/oleObject" Target="embeddings/oleObject3.bin"/><Relationship Id="rId7" Type="http://schemas.openxmlformats.org/officeDocument/2006/relationships/image" Target="media/image3.wmf"/><Relationship Id="rId8" Type="http://schemas.openxmlformats.org/officeDocument/2006/relationships/oleObject" Target="embeddings/oleObject4.bin"/><Relationship Id="rId9" Type="http://schemas.openxmlformats.org/officeDocument/2006/relationships/image" Target="media/image4.wmf"/><Relationship Id="rId10" Type="http://schemas.openxmlformats.org/officeDocument/2006/relationships/oleObject" Target="embeddings/oleObject5.bin"/><Relationship Id="rId11" Type="http://schemas.openxmlformats.org/officeDocument/2006/relationships/image" Target="media/image5.wmf"/><Relationship Id="rId12" Type="http://schemas.openxmlformats.org/officeDocument/2006/relationships/oleObject" Target="embeddings/oleObject6.bin"/><Relationship Id="rId13" Type="http://schemas.openxmlformats.org/officeDocument/2006/relationships/image" Target="media/image6.wmf"/><Relationship Id="rId14" Type="http://schemas.openxmlformats.org/officeDocument/2006/relationships/oleObject" Target="embeddings/oleObject7.bin"/><Relationship Id="rId15" Type="http://schemas.openxmlformats.org/officeDocument/2006/relationships/image" Target="media/image3.wmf"/><Relationship Id="rId16" Type="http://schemas.openxmlformats.org/officeDocument/2006/relationships/oleObject" Target="embeddings/oleObject8.bin"/><Relationship Id="rId17" Type="http://schemas.openxmlformats.org/officeDocument/2006/relationships/image" Target="media/image4.wmf"/><Relationship Id="rId18" Type="http://schemas.openxmlformats.org/officeDocument/2006/relationships/oleObject" Target="embeddings/oleObject9.bin"/><Relationship Id="rId19" Type="http://schemas.openxmlformats.org/officeDocument/2006/relationships/image" Target="media/image5.wmf"/><Relationship Id="rId20" Type="http://schemas.openxmlformats.org/officeDocument/2006/relationships/oleObject" Target="embeddings/oleObject10.bin"/><Relationship Id="rId21" Type="http://schemas.openxmlformats.org/officeDocument/2006/relationships/image" Target="media/image6.wmf"/><Relationship Id="rId22" Type="http://schemas.openxmlformats.org/officeDocument/2006/relationships/oleObject" Target="embeddings/oleObject11.bin"/><Relationship Id="rId23" Type="http://schemas.openxmlformats.org/officeDocument/2006/relationships/image" Target="media/image7.wmf"/><Relationship Id="rId24" Type="http://schemas.openxmlformats.org/officeDocument/2006/relationships/oleObject" Target="embeddings/oleObject12.bin"/><Relationship Id="rId25" Type="http://schemas.openxmlformats.org/officeDocument/2006/relationships/image" Target="media/image2.wmf"/><Relationship Id="rId26" Type="http://schemas.openxmlformats.org/officeDocument/2006/relationships/oleObject" Target="embeddings/oleObject13.bin"/><Relationship Id="rId27" Type="http://schemas.openxmlformats.org/officeDocument/2006/relationships/image" Target="media/image2.wmf"/><Relationship Id="rId28" Type="http://schemas.openxmlformats.org/officeDocument/2006/relationships/oleObject" Target="embeddings/oleObject14.bin"/><Relationship Id="rId29" Type="http://schemas.openxmlformats.org/officeDocument/2006/relationships/image" Target="media/image8.wmf"/><Relationship Id="rId30" Type="http://schemas.openxmlformats.org/officeDocument/2006/relationships/oleObject" Target="embeddings/oleObject15.bin"/><Relationship Id="rId31" Type="http://schemas.openxmlformats.org/officeDocument/2006/relationships/image" Target="media/image9.wmf"/><Relationship Id="rId32" Type="http://schemas.openxmlformats.org/officeDocument/2006/relationships/oleObject" Target="embeddings/oleObject16.bin"/><Relationship Id="rId33" Type="http://schemas.openxmlformats.org/officeDocument/2006/relationships/image" Target="media/image1.wmf"/><Relationship Id="rId34" Type="http://schemas.openxmlformats.org/officeDocument/2006/relationships/oleObject" Target="embeddings/oleObject17.bin"/><Relationship Id="rId35" Type="http://schemas.openxmlformats.org/officeDocument/2006/relationships/image" Target="media/image2.wmf"/><Relationship Id="rId36" Type="http://schemas.openxmlformats.org/officeDocument/2006/relationships/oleObject" Target="embeddings/oleObject18.bin"/><Relationship Id="rId37" Type="http://schemas.openxmlformats.org/officeDocument/2006/relationships/image" Target="media/image10.wmf"/><Relationship Id="rId38" Type="http://schemas.openxmlformats.org/officeDocument/2006/relationships/oleObject" Target="embeddings/oleObject19.bin"/><Relationship Id="rId39" Type="http://schemas.openxmlformats.org/officeDocument/2006/relationships/image" Target="media/image11.wmf"/><Relationship Id="rId40" Type="http://schemas.openxmlformats.org/officeDocument/2006/relationships/oleObject" Target="embeddings/oleObject20.bin"/><Relationship Id="rId41" Type="http://schemas.openxmlformats.org/officeDocument/2006/relationships/image" Target="media/image12.wmf"/><Relationship Id="rId42" Type="http://schemas.openxmlformats.org/officeDocument/2006/relationships/oleObject" Target="embeddings/oleObject21.bin"/><Relationship Id="rId43" Type="http://schemas.openxmlformats.org/officeDocument/2006/relationships/image" Target="media/image13.wmf"/><Relationship Id="rId44" Type="http://schemas.openxmlformats.org/officeDocument/2006/relationships/footer" Target="footer1.xml"/><Relationship Id="rId45" Type="http://schemas.openxmlformats.org/officeDocument/2006/relationships/numbering" Target="numbering.xml"/><Relationship Id="rId46" Type="http://schemas.openxmlformats.org/officeDocument/2006/relationships/fontTable" Target="fontTable.xml"/><Relationship Id="rId47" Type="http://schemas.openxmlformats.org/officeDocument/2006/relationships/settings" Target="settings.xml"/><Relationship Id="rId4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2005-03-27T04:03:00Z</dcterms:created>
  <dc:creator>j2mv9j</dc:creator>
  <dc:description/>
  <cp:keywords/>
  <dc:language>en-US</dc:language>
  <cp:lastModifiedBy>Zhibing Yang</cp:lastModifiedBy>
  <dcterms:modified xsi:type="dcterms:W3CDTF">2005-03-27T07:24:00Z</dcterms:modified>
  <cp:revision>9</cp:revision>
  <dc:subject/>
  <dc:title>编号（小五号）       北京理工大学远程教育2002-2003学年第二学期（小4号）</dc:title>
</cp:coreProperties>
</file>